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drawings/drawing2.xml" ContentType="application/vnd.openxmlformats-officedocument.drawingml.chartshapes+xml"/>
  <Override PartName="/word/charts/chart3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4.xml" ContentType="application/vnd.openxmlformats-officedocument.drawingml.chart+xml"/>
  <Override PartName="/word/charts/style19.xml" ContentType="application/vnd.ms-office.chartstyle+xml"/>
  <Override PartName="/word/charts/colors1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C9DE8C" w14:textId="18F56218" w:rsidR="00E616FA" w:rsidRDefault="00492761" w:rsidP="00E616FA">
      <w:pPr>
        <w:jc w:val="center"/>
        <w:rPr>
          <w:rFonts w:ascii="Garamond" w:hAnsi="Garamond"/>
          <w:sz w:val="36"/>
        </w:rPr>
      </w:pPr>
      <w:r>
        <w:rPr>
          <w:noProof/>
        </w:rPr>
        <w:drawing>
          <wp:anchor distT="0" distB="0" distL="114300" distR="114300" simplePos="0" relativeHeight="251692032" behindDoc="1" locked="0" layoutInCell="1" allowOverlap="1" wp14:anchorId="18C0E6B9" wp14:editId="5E29B73C">
            <wp:simplePos x="0" y="0"/>
            <wp:positionH relativeFrom="column">
              <wp:posOffset>1775130</wp:posOffset>
            </wp:positionH>
            <wp:positionV relativeFrom="paragraph">
              <wp:posOffset>-83820</wp:posOffset>
            </wp:positionV>
            <wp:extent cx="2245711" cy="1163117"/>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8" cstate="print">
                      <a:extLst>
                        <a:ext uri="{28A0092B-C50C-407E-A947-70E740481C1C}">
                          <a14:useLocalDpi xmlns:a14="http://schemas.microsoft.com/office/drawing/2010/main" val="0"/>
                        </a:ext>
                      </a:extLst>
                    </a:blip>
                    <a:srcRect r="12120"/>
                    <a:stretch/>
                  </pic:blipFill>
                  <pic:spPr bwMode="auto">
                    <a:xfrm>
                      <a:off x="0" y="0"/>
                      <a:ext cx="2245711" cy="1163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6B58D5" w14:textId="77777777" w:rsidR="00E616FA" w:rsidRPr="00C47DD4" w:rsidRDefault="00E616FA" w:rsidP="00E616FA">
      <w:pPr>
        <w:jc w:val="center"/>
        <w:rPr>
          <w:rFonts w:ascii="Garamond" w:hAnsi="Garamond"/>
          <w:sz w:val="36"/>
        </w:rPr>
      </w:pPr>
    </w:p>
    <w:p w14:paraId="723BB127" w14:textId="77777777" w:rsidR="00E616FA" w:rsidRDefault="00E616FA" w:rsidP="00E616FA">
      <w:pPr>
        <w:jc w:val="center"/>
        <w:rPr>
          <w:rFonts w:ascii="Garamond" w:hAnsi="Garamond"/>
          <w:b/>
          <w:sz w:val="32"/>
        </w:rPr>
      </w:pPr>
      <w:bookmarkStart w:id="0" w:name="_Hlk494285746"/>
      <w:bookmarkEnd w:id="0"/>
    </w:p>
    <w:p w14:paraId="770813D6" w14:textId="77777777" w:rsidR="00E616FA" w:rsidRDefault="00E616FA" w:rsidP="00E616FA">
      <w:pPr>
        <w:jc w:val="center"/>
        <w:rPr>
          <w:rFonts w:ascii="Garamond" w:hAnsi="Garamond"/>
          <w:b/>
          <w:sz w:val="32"/>
        </w:rPr>
      </w:pPr>
    </w:p>
    <w:p w14:paraId="0BEDDD86" w14:textId="77777777" w:rsidR="00E616FA" w:rsidRPr="00693655" w:rsidRDefault="00E616FA" w:rsidP="00E616FA">
      <w:pPr>
        <w:jc w:val="center"/>
        <w:rPr>
          <w:rFonts w:ascii="Garamond" w:hAnsi="Garamond"/>
          <w:sz w:val="52"/>
          <w:szCs w:val="64"/>
        </w:rPr>
      </w:pPr>
    </w:p>
    <w:p w14:paraId="3F581CFF" w14:textId="77777777" w:rsidR="00E616FA" w:rsidRPr="00693655" w:rsidRDefault="00E616FA" w:rsidP="00E616FA">
      <w:pPr>
        <w:jc w:val="center"/>
        <w:rPr>
          <w:rFonts w:ascii="Garamond" w:hAnsi="Garamond"/>
          <w:sz w:val="44"/>
          <w:szCs w:val="64"/>
        </w:rPr>
      </w:pPr>
      <w:r w:rsidRPr="00693655">
        <w:rPr>
          <w:rFonts w:ascii="Garamond" w:hAnsi="Garamond"/>
          <w:sz w:val="44"/>
          <w:szCs w:val="64"/>
        </w:rPr>
        <w:t>DIRECCIÓN DE TRANSPARENCIA FISCAL</w:t>
      </w:r>
    </w:p>
    <w:p w14:paraId="325D28C5" w14:textId="77777777" w:rsidR="00E616FA" w:rsidRPr="00C47DD4" w:rsidRDefault="00E616FA" w:rsidP="00E616FA">
      <w:pPr>
        <w:jc w:val="center"/>
        <w:rPr>
          <w:rFonts w:ascii="Garamond" w:hAnsi="Garamond"/>
          <w:b/>
        </w:rPr>
      </w:pPr>
    </w:p>
    <w:p w14:paraId="3AF1E801" w14:textId="77777777" w:rsidR="00E616FA" w:rsidRPr="00C47DD4" w:rsidRDefault="00E616FA" w:rsidP="00E616FA">
      <w:pPr>
        <w:jc w:val="center"/>
        <w:rPr>
          <w:b/>
        </w:rPr>
      </w:pPr>
    </w:p>
    <w:p w14:paraId="6D5E516B" w14:textId="77777777" w:rsidR="00E616FA" w:rsidRPr="00C47DD4" w:rsidRDefault="00E616FA" w:rsidP="00E616FA">
      <w:pPr>
        <w:jc w:val="center"/>
        <w:rPr>
          <w:b/>
        </w:rPr>
      </w:pPr>
    </w:p>
    <w:p w14:paraId="2ECA8254" w14:textId="77777777" w:rsidR="00E616FA" w:rsidRDefault="00E616FA" w:rsidP="00E616FA">
      <w:pPr>
        <w:jc w:val="center"/>
        <w:rPr>
          <w:b/>
        </w:rPr>
      </w:pPr>
    </w:p>
    <w:p w14:paraId="29F6AD6E" w14:textId="77777777" w:rsidR="00E616FA" w:rsidRDefault="00E616FA" w:rsidP="00E616FA">
      <w:pPr>
        <w:jc w:val="center"/>
        <w:rPr>
          <w:b/>
        </w:rPr>
      </w:pPr>
    </w:p>
    <w:p w14:paraId="7768116D" w14:textId="77777777" w:rsidR="002B455C" w:rsidRDefault="002B455C" w:rsidP="00E616FA">
      <w:pPr>
        <w:jc w:val="center"/>
        <w:rPr>
          <w:b/>
        </w:rPr>
      </w:pPr>
    </w:p>
    <w:p w14:paraId="114F7FD8" w14:textId="77777777" w:rsidR="002B455C" w:rsidRDefault="002B455C" w:rsidP="00E616FA">
      <w:pPr>
        <w:jc w:val="center"/>
        <w:rPr>
          <w:b/>
        </w:rPr>
      </w:pPr>
    </w:p>
    <w:p w14:paraId="31E83DF0" w14:textId="77777777" w:rsidR="002B455C" w:rsidRPr="00C47DD4" w:rsidRDefault="002B455C" w:rsidP="00E616FA">
      <w:pPr>
        <w:jc w:val="center"/>
        <w:rPr>
          <w:b/>
        </w:rPr>
      </w:pPr>
    </w:p>
    <w:p w14:paraId="359CEA11" w14:textId="77777777" w:rsidR="00E616FA" w:rsidRPr="00C47DD4" w:rsidRDefault="00E616FA" w:rsidP="00E616FA">
      <w:pPr>
        <w:jc w:val="center"/>
        <w:rPr>
          <w:b/>
        </w:rPr>
      </w:pPr>
    </w:p>
    <w:p w14:paraId="5FCC6BC2" w14:textId="77777777" w:rsidR="00E616FA" w:rsidRPr="00C47DD4" w:rsidRDefault="00E616FA" w:rsidP="00E616FA">
      <w:pPr>
        <w:jc w:val="center"/>
        <w:rPr>
          <w:b/>
        </w:rPr>
      </w:pPr>
    </w:p>
    <w:p w14:paraId="5227FE23" w14:textId="77777777" w:rsidR="00BF2538" w:rsidRPr="00BF2538" w:rsidRDefault="00E616FA" w:rsidP="00BF2538">
      <w:pPr>
        <w:jc w:val="center"/>
        <w:rPr>
          <w:rFonts w:ascii="Garamond" w:hAnsi="Garamond"/>
          <w:sz w:val="44"/>
          <w:szCs w:val="64"/>
        </w:rPr>
      </w:pPr>
      <w:r w:rsidRPr="00693655">
        <w:rPr>
          <w:rFonts w:ascii="Garamond" w:hAnsi="Garamond"/>
          <w:sz w:val="44"/>
          <w:szCs w:val="64"/>
        </w:rPr>
        <w:t xml:space="preserve">INFORME </w:t>
      </w:r>
      <w:r w:rsidR="00BF2538" w:rsidRPr="00BF2538">
        <w:rPr>
          <w:rFonts w:ascii="Garamond" w:hAnsi="Garamond"/>
          <w:sz w:val="44"/>
          <w:szCs w:val="64"/>
        </w:rPr>
        <w:t>DEL DESEMPEÑO DE LA POLÍTICA FISCAL Y ACTIVIDADES</w:t>
      </w:r>
    </w:p>
    <w:p w14:paraId="404EECA9" w14:textId="25A1F8FD" w:rsidR="002B455C" w:rsidRDefault="00BF2538" w:rsidP="00BF2538">
      <w:pPr>
        <w:jc w:val="center"/>
        <w:rPr>
          <w:rFonts w:ascii="Garamond" w:hAnsi="Garamond"/>
          <w:sz w:val="44"/>
          <w:szCs w:val="64"/>
        </w:rPr>
      </w:pPr>
      <w:r w:rsidRPr="00BF2538">
        <w:rPr>
          <w:rFonts w:ascii="Garamond" w:hAnsi="Garamond"/>
          <w:sz w:val="44"/>
          <w:szCs w:val="64"/>
        </w:rPr>
        <w:t xml:space="preserve">DEL PRIMER SEMESTRE </w:t>
      </w:r>
      <w:r w:rsidR="00E616FA" w:rsidRPr="00693655">
        <w:rPr>
          <w:rFonts w:ascii="Garamond" w:hAnsi="Garamond"/>
          <w:sz w:val="44"/>
          <w:szCs w:val="64"/>
        </w:rPr>
        <w:t>DE</w:t>
      </w:r>
      <w:r w:rsidR="00D42B30">
        <w:rPr>
          <w:rFonts w:ascii="Garamond" w:hAnsi="Garamond"/>
          <w:sz w:val="44"/>
          <w:szCs w:val="64"/>
        </w:rPr>
        <w:t>L</w:t>
      </w:r>
    </w:p>
    <w:p w14:paraId="2ED9DA8D" w14:textId="1A45B925" w:rsidR="00E616FA" w:rsidRPr="00693655" w:rsidRDefault="002B455C" w:rsidP="00E616FA">
      <w:pPr>
        <w:jc w:val="center"/>
        <w:rPr>
          <w:rFonts w:ascii="Garamond" w:hAnsi="Garamond"/>
          <w:sz w:val="44"/>
          <w:szCs w:val="64"/>
        </w:rPr>
      </w:pPr>
      <w:r>
        <w:rPr>
          <w:rFonts w:ascii="Garamond" w:hAnsi="Garamond"/>
          <w:sz w:val="44"/>
          <w:szCs w:val="64"/>
        </w:rPr>
        <w:t xml:space="preserve">EJECICIO FISCAL </w:t>
      </w:r>
      <w:r w:rsidR="00E616FA" w:rsidRPr="00693655">
        <w:rPr>
          <w:rFonts w:ascii="Garamond" w:hAnsi="Garamond"/>
          <w:sz w:val="44"/>
          <w:szCs w:val="64"/>
        </w:rPr>
        <w:t>202</w:t>
      </w:r>
      <w:r w:rsidR="00492761">
        <w:rPr>
          <w:rFonts w:ascii="Garamond" w:hAnsi="Garamond"/>
          <w:sz w:val="44"/>
          <w:szCs w:val="64"/>
        </w:rPr>
        <w:t>3</w:t>
      </w:r>
    </w:p>
    <w:p w14:paraId="41F8E66A" w14:textId="77777777" w:rsidR="00E616FA" w:rsidRPr="00C47DD4" w:rsidRDefault="00E616FA" w:rsidP="00E616FA">
      <w:pPr>
        <w:jc w:val="center"/>
        <w:rPr>
          <w:b/>
        </w:rPr>
      </w:pPr>
    </w:p>
    <w:p w14:paraId="04AC421C" w14:textId="77777777" w:rsidR="00E616FA" w:rsidRPr="00C47DD4" w:rsidRDefault="00E616FA" w:rsidP="00E616FA">
      <w:pPr>
        <w:jc w:val="center"/>
        <w:rPr>
          <w:b/>
        </w:rPr>
      </w:pPr>
      <w:r>
        <w:rPr>
          <w:noProof/>
          <w:lang w:val="es-GT" w:eastAsia="es-GT"/>
        </w:rPr>
        <w:drawing>
          <wp:anchor distT="0" distB="0" distL="114300" distR="114300" simplePos="0" relativeHeight="251667456" behindDoc="1" locked="0" layoutInCell="1" allowOverlap="1" wp14:anchorId="2F04C450" wp14:editId="64EC0774">
            <wp:simplePos x="0" y="0"/>
            <wp:positionH relativeFrom="margin">
              <wp:align>right</wp:align>
            </wp:positionH>
            <wp:positionV relativeFrom="paragraph">
              <wp:posOffset>8255</wp:posOffset>
            </wp:positionV>
            <wp:extent cx="3883710" cy="2647647"/>
            <wp:effectExtent l="0" t="0" r="254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9" cstate="print">
                      <a:extLst>
                        <a:ext uri="{28A0092B-C50C-407E-A947-70E740481C1C}">
                          <a14:useLocalDpi xmlns:a14="http://schemas.microsoft.com/office/drawing/2010/main" val="0"/>
                        </a:ext>
                      </a:extLst>
                    </a:blip>
                    <a:srcRect l="31946" t="55363" b="7920"/>
                    <a:stretch/>
                  </pic:blipFill>
                  <pic:spPr bwMode="auto">
                    <a:xfrm>
                      <a:off x="0" y="0"/>
                      <a:ext cx="3883710" cy="2647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70D83A" w14:textId="77777777" w:rsidR="00E616FA" w:rsidRPr="00C47DD4" w:rsidRDefault="00E616FA" w:rsidP="00E616FA">
      <w:pPr>
        <w:jc w:val="center"/>
        <w:rPr>
          <w:b/>
        </w:rPr>
      </w:pPr>
    </w:p>
    <w:p w14:paraId="072421C9" w14:textId="77777777" w:rsidR="00E616FA" w:rsidRPr="00C47DD4" w:rsidRDefault="00E616FA" w:rsidP="00E616FA">
      <w:pPr>
        <w:jc w:val="center"/>
        <w:rPr>
          <w:b/>
        </w:rPr>
      </w:pPr>
    </w:p>
    <w:p w14:paraId="1030C10A" w14:textId="77777777" w:rsidR="00E616FA" w:rsidRPr="00C47DD4" w:rsidRDefault="00E616FA" w:rsidP="00E616FA">
      <w:pPr>
        <w:jc w:val="center"/>
        <w:rPr>
          <w:b/>
        </w:rPr>
      </w:pPr>
    </w:p>
    <w:p w14:paraId="396A45C5" w14:textId="77777777" w:rsidR="00E616FA" w:rsidRPr="00C47DD4" w:rsidRDefault="00E616FA" w:rsidP="00E616FA">
      <w:pPr>
        <w:jc w:val="center"/>
        <w:rPr>
          <w:b/>
        </w:rPr>
      </w:pPr>
    </w:p>
    <w:p w14:paraId="3D0365B1" w14:textId="77777777" w:rsidR="00E616FA" w:rsidRPr="00C47DD4" w:rsidRDefault="00E616FA" w:rsidP="00E616FA">
      <w:pPr>
        <w:jc w:val="center"/>
        <w:rPr>
          <w:b/>
        </w:rPr>
      </w:pPr>
    </w:p>
    <w:p w14:paraId="466109F2" w14:textId="77777777" w:rsidR="00E616FA" w:rsidRPr="00C47DD4" w:rsidRDefault="00E616FA" w:rsidP="00E616FA">
      <w:pPr>
        <w:jc w:val="center"/>
        <w:rPr>
          <w:b/>
        </w:rPr>
      </w:pPr>
    </w:p>
    <w:p w14:paraId="13C7702B" w14:textId="77777777" w:rsidR="00E616FA" w:rsidRPr="00C47DD4" w:rsidRDefault="00E616FA" w:rsidP="00E616FA">
      <w:pPr>
        <w:jc w:val="center"/>
        <w:rPr>
          <w:b/>
        </w:rPr>
      </w:pPr>
    </w:p>
    <w:p w14:paraId="6526E0A2" w14:textId="77777777" w:rsidR="00E616FA" w:rsidRPr="00C47DD4" w:rsidRDefault="00E616FA" w:rsidP="00E616FA">
      <w:pPr>
        <w:jc w:val="center"/>
        <w:rPr>
          <w:b/>
        </w:rPr>
      </w:pPr>
    </w:p>
    <w:p w14:paraId="1F849DD7" w14:textId="77777777" w:rsidR="00E616FA" w:rsidRDefault="00E616FA" w:rsidP="00E616FA">
      <w:pPr>
        <w:jc w:val="center"/>
        <w:rPr>
          <w:b/>
        </w:rPr>
      </w:pPr>
    </w:p>
    <w:p w14:paraId="3DA805AA" w14:textId="77777777" w:rsidR="00E616FA" w:rsidRDefault="00E616FA" w:rsidP="00E616FA">
      <w:pPr>
        <w:jc w:val="center"/>
        <w:rPr>
          <w:b/>
        </w:rPr>
      </w:pPr>
    </w:p>
    <w:p w14:paraId="71EE2C50" w14:textId="77777777" w:rsidR="00E616FA" w:rsidRDefault="00E616FA" w:rsidP="00E616FA">
      <w:pPr>
        <w:jc w:val="center"/>
        <w:rPr>
          <w:b/>
        </w:rPr>
      </w:pPr>
    </w:p>
    <w:p w14:paraId="5926E5EF" w14:textId="77777777" w:rsidR="00E616FA" w:rsidRDefault="00E616FA" w:rsidP="00E616FA">
      <w:pPr>
        <w:jc w:val="center"/>
        <w:rPr>
          <w:b/>
        </w:rPr>
      </w:pPr>
    </w:p>
    <w:p w14:paraId="444FD8D1" w14:textId="77777777" w:rsidR="002B455C" w:rsidRDefault="002B455C" w:rsidP="00E616FA">
      <w:pPr>
        <w:jc w:val="center"/>
        <w:rPr>
          <w:b/>
        </w:rPr>
      </w:pPr>
    </w:p>
    <w:p w14:paraId="463D9F58" w14:textId="77777777" w:rsidR="002B455C" w:rsidRDefault="002B455C" w:rsidP="00E616FA">
      <w:pPr>
        <w:jc w:val="center"/>
        <w:rPr>
          <w:b/>
        </w:rPr>
      </w:pPr>
    </w:p>
    <w:p w14:paraId="4516CF81" w14:textId="77777777" w:rsidR="00E616FA" w:rsidRDefault="00E616FA" w:rsidP="00E616FA">
      <w:pPr>
        <w:jc w:val="center"/>
        <w:rPr>
          <w:b/>
        </w:rPr>
      </w:pPr>
    </w:p>
    <w:p w14:paraId="45481277" w14:textId="7B83DFE0" w:rsidR="00E616FA" w:rsidRPr="002B455C" w:rsidRDefault="00E616FA" w:rsidP="00E616FA">
      <w:pPr>
        <w:jc w:val="center"/>
        <w:rPr>
          <w:rFonts w:ascii="Garamond" w:hAnsi="Garamond"/>
          <w:sz w:val="32"/>
          <w:szCs w:val="64"/>
        </w:rPr>
      </w:pPr>
      <w:r w:rsidRPr="002B455C">
        <w:rPr>
          <w:rFonts w:ascii="Garamond" w:hAnsi="Garamond"/>
          <w:sz w:val="32"/>
          <w:szCs w:val="64"/>
        </w:rPr>
        <w:t xml:space="preserve">Guatemala, </w:t>
      </w:r>
      <w:r w:rsidR="00796E47">
        <w:rPr>
          <w:rFonts w:ascii="Garamond" w:hAnsi="Garamond"/>
          <w:sz w:val="32"/>
          <w:szCs w:val="64"/>
        </w:rPr>
        <w:t>agosto</w:t>
      </w:r>
      <w:r w:rsidR="00492761">
        <w:rPr>
          <w:rFonts w:ascii="Garamond" w:hAnsi="Garamond"/>
          <w:sz w:val="32"/>
          <w:szCs w:val="64"/>
        </w:rPr>
        <w:t xml:space="preserve"> de 2023</w:t>
      </w:r>
      <w:r w:rsidR="008C17FA">
        <w:rPr>
          <w:rFonts w:ascii="Garamond" w:hAnsi="Garamond"/>
          <w:sz w:val="32"/>
          <w:szCs w:val="64"/>
        </w:rPr>
        <w:t>.</w:t>
      </w:r>
    </w:p>
    <w:p w14:paraId="78F93AF1" w14:textId="51D9B682" w:rsidR="006358A6" w:rsidRDefault="006358A6" w:rsidP="009D4D2F">
      <w:pPr>
        <w:tabs>
          <w:tab w:val="left" w:pos="0"/>
          <w:tab w:val="left" w:pos="9214"/>
        </w:tabs>
        <w:autoSpaceDE w:val="0"/>
        <w:autoSpaceDN w:val="0"/>
        <w:adjustRightInd w:val="0"/>
        <w:rPr>
          <w:b/>
        </w:rPr>
      </w:pPr>
    </w:p>
    <w:p w14:paraId="283B86B3" w14:textId="77777777" w:rsidR="00D42B30" w:rsidRDefault="00D42B30" w:rsidP="009D4D2F">
      <w:pPr>
        <w:tabs>
          <w:tab w:val="left" w:pos="0"/>
          <w:tab w:val="left" w:pos="9214"/>
        </w:tabs>
        <w:autoSpaceDE w:val="0"/>
        <w:autoSpaceDN w:val="0"/>
        <w:adjustRightInd w:val="0"/>
        <w:rPr>
          <w:b/>
        </w:rPr>
      </w:pPr>
    </w:p>
    <w:p w14:paraId="313A18A1" w14:textId="77777777" w:rsidR="00B8388B" w:rsidRDefault="00B8388B" w:rsidP="009B198F">
      <w:pPr>
        <w:tabs>
          <w:tab w:val="left" w:pos="0"/>
          <w:tab w:val="left" w:pos="9214"/>
        </w:tabs>
        <w:autoSpaceDE w:val="0"/>
        <w:autoSpaceDN w:val="0"/>
        <w:adjustRightInd w:val="0"/>
        <w:ind w:firstLine="567"/>
        <w:jc w:val="center"/>
        <w:rPr>
          <w:b/>
        </w:rPr>
      </w:pPr>
    </w:p>
    <w:p w14:paraId="644FD0D6" w14:textId="77777777" w:rsidR="00B8388B" w:rsidRDefault="00B8388B" w:rsidP="009B198F">
      <w:pPr>
        <w:tabs>
          <w:tab w:val="left" w:pos="0"/>
          <w:tab w:val="left" w:pos="9214"/>
        </w:tabs>
        <w:autoSpaceDE w:val="0"/>
        <w:autoSpaceDN w:val="0"/>
        <w:adjustRightInd w:val="0"/>
        <w:ind w:firstLine="567"/>
        <w:jc w:val="center"/>
        <w:rPr>
          <w:b/>
        </w:rPr>
      </w:pPr>
    </w:p>
    <w:p w14:paraId="07231730" w14:textId="77777777" w:rsidR="00B8388B" w:rsidRDefault="00B8388B" w:rsidP="009B198F">
      <w:pPr>
        <w:tabs>
          <w:tab w:val="left" w:pos="0"/>
          <w:tab w:val="left" w:pos="9214"/>
        </w:tabs>
        <w:autoSpaceDE w:val="0"/>
        <w:autoSpaceDN w:val="0"/>
        <w:adjustRightInd w:val="0"/>
        <w:ind w:firstLine="567"/>
        <w:jc w:val="center"/>
        <w:rPr>
          <w:b/>
        </w:rPr>
      </w:pPr>
    </w:p>
    <w:p w14:paraId="0C5715FB" w14:textId="650B8CBD" w:rsidR="00025E2C" w:rsidRPr="00EC447B" w:rsidRDefault="009B198F" w:rsidP="009B198F">
      <w:pPr>
        <w:tabs>
          <w:tab w:val="left" w:pos="0"/>
          <w:tab w:val="left" w:pos="9214"/>
        </w:tabs>
        <w:autoSpaceDE w:val="0"/>
        <w:autoSpaceDN w:val="0"/>
        <w:adjustRightInd w:val="0"/>
        <w:ind w:firstLine="567"/>
        <w:jc w:val="center"/>
        <w:rPr>
          <w:b/>
          <w:lang w:val="es-GT"/>
        </w:rPr>
      </w:pPr>
      <w:r w:rsidRPr="006837A4">
        <w:rPr>
          <w:b/>
        </w:rPr>
        <w:t>CONTENIDO</w:t>
      </w:r>
    </w:p>
    <w:p w14:paraId="03F2FD5A" w14:textId="683D4ED2" w:rsidR="00EB5485" w:rsidRDefault="00EB5485" w:rsidP="009B198F">
      <w:pPr>
        <w:tabs>
          <w:tab w:val="left" w:pos="0"/>
          <w:tab w:val="left" w:pos="9214"/>
        </w:tabs>
        <w:autoSpaceDE w:val="0"/>
        <w:autoSpaceDN w:val="0"/>
        <w:adjustRightInd w:val="0"/>
        <w:ind w:firstLine="567"/>
        <w:jc w:val="center"/>
        <w:rPr>
          <w:b/>
          <w:sz w:val="20"/>
        </w:rPr>
      </w:pPr>
    </w:p>
    <w:p w14:paraId="1305CBF2" w14:textId="77777777" w:rsidR="00B8388B" w:rsidRPr="00EB5485" w:rsidRDefault="00B8388B" w:rsidP="009B198F">
      <w:pPr>
        <w:tabs>
          <w:tab w:val="left" w:pos="0"/>
          <w:tab w:val="left" w:pos="9214"/>
        </w:tabs>
        <w:autoSpaceDE w:val="0"/>
        <w:autoSpaceDN w:val="0"/>
        <w:adjustRightInd w:val="0"/>
        <w:ind w:firstLine="567"/>
        <w:jc w:val="center"/>
        <w:rPr>
          <w:b/>
          <w:sz w:val="20"/>
        </w:rPr>
      </w:pPr>
    </w:p>
    <w:p w14:paraId="5AA10053" w14:textId="76111723" w:rsidR="00054AA5" w:rsidRDefault="007C7DEE">
      <w:pPr>
        <w:pStyle w:val="TDC1"/>
        <w:rPr>
          <w:rFonts w:asciiTheme="minorHAnsi" w:eastAsiaTheme="minorEastAsia" w:hAnsiTheme="minorHAnsi" w:cstheme="minorBidi"/>
          <w:noProof/>
          <w:sz w:val="22"/>
          <w:szCs w:val="22"/>
          <w:lang w:val="es-GT" w:eastAsia="es-GT"/>
        </w:rPr>
      </w:pPr>
      <w:r w:rsidRPr="00C87438">
        <w:rPr>
          <w:b/>
          <w:highlight w:val="yellow"/>
        </w:rPr>
        <w:fldChar w:fldCharType="begin"/>
      </w:r>
      <w:r w:rsidR="009C2D46" w:rsidRPr="00C87438">
        <w:rPr>
          <w:b/>
          <w:highlight w:val="yellow"/>
        </w:rPr>
        <w:instrText xml:space="preserve"> TOC \o "1-3" \h \z \u </w:instrText>
      </w:r>
      <w:r w:rsidRPr="00C87438">
        <w:rPr>
          <w:b/>
          <w:highlight w:val="yellow"/>
        </w:rPr>
        <w:fldChar w:fldCharType="separate"/>
      </w:r>
      <w:hyperlink w:anchor="_Toc142920532" w:history="1">
        <w:r w:rsidR="00054AA5" w:rsidRPr="00565C7E">
          <w:rPr>
            <w:rStyle w:val="Hipervnculo"/>
            <w:noProof/>
          </w:rPr>
          <w:t>I.</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Entorno Macroeconómico</w:t>
        </w:r>
        <w:r w:rsidR="00054AA5">
          <w:rPr>
            <w:noProof/>
            <w:webHidden/>
          </w:rPr>
          <w:tab/>
        </w:r>
        <w:r w:rsidR="00054AA5">
          <w:rPr>
            <w:noProof/>
            <w:webHidden/>
          </w:rPr>
          <w:fldChar w:fldCharType="begin"/>
        </w:r>
        <w:r w:rsidR="00054AA5">
          <w:rPr>
            <w:noProof/>
            <w:webHidden/>
          </w:rPr>
          <w:instrText xml:space="preserve"> PAGEREF _Toc142920532 \h </w:instrText>
        </w:r>
        <w:r w:rsidR="00054AA5">
          <w:rPr>
            <w:noProof/>
            <w:webHidden/>
          </w:rPr>
        </w:r>
        <w:r w:rsidR="00054AA5">
          <w:rPr>
            <w:noProof/>
            <w:webHidden/>
          </w:rPr>
          <w:fldChar w:fldCharType="separate"/>
        </w:r>
        <w:r w:rsidR="0047246D">
          <w:rPr>
            <w:noProof/>
            <w:webHidden/>
          </w:rPr>
          <w:t>4</w:t>
        </w:r>
        <w:r w:rsidR="00054AA5">
          <w:rPr>
            <w:noProof/>
            <w:webHidden/>
          </w:rPr>
          <w:fldChar w:fldCharType="end"/>
        </w:r>
      </w:hyperlink>
    </w:p>
    <w:p w14:paraId="6D9643FF" w14:textId="293E8DA1" w:rsidR="00054AA5" w:rsidRDefault="0029595B">
      <w:pPr>
        <w:pStyle w:val="TDC2"/>
        <w:rPr>
          <w:rFonts w:asciiTheme="minorHAnsi" w:eastAsiaTheme="minorEastAsia" w:hAnsiTheme="minorHAnsi" w:cstheme="minorBidi"/>
          <w:noProof/>
          <w:sz w:val="22"/>
          <w:szCs w:val="22"/>
          <w:lang w:val="es-GT" w:eastAsia="es-GT"/>
        </w:rPr>
      </w:pPr>
      <w:hyperlink w:anchor="_Toc142920533" w:history="1">
        <w:r w:rsidR="00054AA5" w:rsidRPr="00565C7E">
          <w:rPr>
            <w:rStyle w:val="Hipervnculo"/>
            <w:noProof/>
            <w:lang w:val="es-MX"/>
          </w:rPr>
          <w:t>A.</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Entorno Macroeconómico Internacional</w:t>
        </w:r>
        <w:r w:rsidR="00054AA5">
          <w:rPr>
            <w:noProof/>
            <w:webHidden/>
          </w:rPr>
          <w:tab/>
        </w:r>
        <w:r w:rsidR="00054AA5">
          <w:rPr>
            <w:noProof/>
            <w:webHidden/>
          </w:rPr>
          <w:fldChar w:fldCharType="begin"/>
        </w:r>
        <w:r w:rsidR="00054AA5">
          <w:rPr>
            <w:noProof/>
            <w:webHidden/>
          </w:rPr>
          <w:instrText xml:space="preserve"> PAGEREF _Toc142920533 \h </w:instrText>
        </w:r>
        <w:r w:rsidR="00054AA5">
          <w:rPr>
            <w:noProof/>
            <w:webHidden/>
          </w:rPr>
        </w:r>
        <w:r w:rsidR="00054AA5">
          <w:rPr>
            <w:noProof/>
            <w:webHidden/>
          </w:rPr>
          <w:fldChar w:fldCharType="separate"/>
        </w:r>
        <w:r w:rsidR="0047246D">
          <w:rPr>
            <w:noProof/>
            <w:webHidden/>
          </w:rPr>
          <w:t>4</w:t>
        </w:r>
        <w:r w:rsidR="00054AA5">
          <w:rPr>
            <w:noProof/>
            <w:webHidden/>
          </w:rPr>
          <w:fldChar w:fldCharType="end"/>
        </w:r>
      </w:hyperlink>
    </w:p>
    <w:p w14:paraId="38BB714B" w14:textId="35BD8780" w:rsidR="00054AA5" w:rsidRDefault="0029595B">
      <w:pPr>
        <w:pStyle w:val="TDC2"/>
        <w:rPr>
          <w:rFonts w:asciiTheme="minorHAnsi" w:eastAsiaTheme="minorEastAsia" w:hAnsiTheme="minorHAnsi" w:cstheme="minorBidi"/>
          <w:noProof/>
          <w:sz w:val="22"/>
          <w:szCs w:val="22"/>
          <w:lang w:val="es-GT" w:eastAsia="es-GT"/>
        </w:rPr>
      </w:pPr>
      <w:hyperlink w:anchor="_Toc142920534" w:history="1">
        <w:r w:rsidR="00054AA5" w:rsidRPr="00565C7E">
          <w:rPr>
            <w:rStyle w:val="Hipervnculo"/>
            <w:noProof/>
            <w:lang w:val="es-MX"/>
          </w:rPr>
          <w:t>B.</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Entorno Macroeconómico Nacional</w:t>
        </w:r>
        <w:r w:rsidR="00054AA5">
          <w:rPr>
            <w:noProof/>
            <w:webHidden/>
          </w:rPr>
          <w:tab/>
        </w:r>
        <w:r w:rsidR="00054AA5">
          <w:rPr>
            <w:noProof/>
            <w:webHidden/>
          </w:rPr>
          <w:fldChar w:fldCharType="begin"/>
        </w:r>
        <w:r w:rsidR="00054AA5">
          <w:rPr>
            <w:noProof/>
            <w:webHidden/>
          </w:rPr>
          <w:instrText xml:space="preserve"> PAGEREF _Toc142920534 \h </w:instrText>
        </w:r>
        <w:r w:rsidR="00054AA5">
          <w:rPr>
            <w:noProof/>
            <w:webHidden/>
          </w:rPr>
        </w:r>
        <w:r w:rsidR="00054AA5">
          <w:rPr>
            <w:noProof/>
            <w:webHidden/>
          </w:rPr>
          <w:fldChar w:fldCharType="separate"/>
        </w:r>
        <w:r w:rsidR="0047246D">
          <w:rPr>
            <w:noProof/>
            <w:webHidden/>
          </w:rPr>
          <w:t>7</w:t>
        </w:r>
        <w:r w:rsidR="00054AA5">
          <w:rPr>
            <w:noProof/>
            <w:webHidden/>
          </w:rPr>
          <w:fldChar w:fldCharType="end"/>
        </w:r>
      </w:hyperlink>
    </w:p>
    <w:p w14:paraId="09F61434" w14:textId="0F74F620" w:rsidR="00054AA5" w:rsidRDefault="0029595B">
      <w:pPr>
        <w:pStyle w:val="TDC1"/>
        <w:rPr>
          <w:rFonts w:asciiTheme="minorHAnsi" w:eastAsiaTheme="minorEastAsia" w:hAnsiTheme="minorHAnsi" w:cstheme="minorBidi"/>
          <w:noProof/>
          <w:sz w:val="22"/>
          <w:szCs w:val="22"/>
          <w:lang w:val="es-GT" w:eastAsia="es-GT"/>
        </w:rPr>
      </w:pPr>
      <w:hyperlink w:anchor="_Toc142920535" w:history="1">
        <w:r w:rsidR="00054AA5" w:rsidRPr="00565C7E">
          <w:rPr>
            <w:rStyle w:val="Hipervnculo"/>
            <w:noProof/>
          </w:rPr>
          <w:t>II.</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Situación Financiera de la Administración Central</w:t>
        </w:r>
        <w:r w:rsidR="00054AA5">
          <w:rPr>
            <w:noProof/>
            <w:webHidden/>
          </w:rPr>
          <w:tab/>
        </w:r>
        <w:r w:rsidR="00054AA5">
          <w:rPr>
            <w:noProof/>
            <w:webHidden/>
          </w:rPr>
          <w:fldChar w:fldCharType="begin"/>
        </w:r>
        <w:r w:rsidR="00054AA5">
          <w:rPr>
            <w:noProof/>
            <w:webHidden/>
          </w:rPr>
          <w:instrText xml:space="preserve"> PAGEREF _Toc142920535 \h </w:instrText>
        </w:r>
        <w:r w:rsidR="00054AA5">
          <w:rPr>
            <w:noProof/>
            <w:webHidden/>
          </w:rPr>
        </w:r>
        <w:r w:rsidR="00054AA5">
          <w:rPr>
            <w:noProof/>
            <w:webHidden/>
          </w:rPr>
          <w:fldChar w:fldCharType="separate"/>
        </w:r>
        <w:r w:rsidR="0047246D">
          <w:rPr>
            <w:noProof/>
            <w:webHidden/>
          </w:rPr>
          <w:t>15</w:t>
        </w:r>
        <w:r w:rsidR="00054AA5">
          <w:rPr>
            <w:noProof/>
            <w:webHidden/>
          </w:rPr>
          <w:fldChar w:fldCharType="end"/>
        </w:r>
      </w:hyperlink>
    </w:p>
    <w:p w14:paraId="4071CD15" w14:textId="0F18075D" w:rsidR="00054AA5" w:rsidRDefault="0029595B">
      <w:pPr>
        <w:pStyle w:val="TDC2"/>
        <w:rPr>
          <w:rFonts w:asciiTheme="minorHAnsi" w:eastAsiaTheme="minorEastAsia" w:hAnsiTheme="minorHAnsi" w:cstheme="minorBidi"/>
          <w:noProof/>
          <w:sz w:val="22"/>
          <w:szCs w:val="22"/>
          <w:lang w:val="es-GT" w:eastAsia="es-GT"/>
        </w:rPr>
      </w:pPr>
      <w:hyperlink w:anchor="_Toc142920536" w:history="1">
        <w:r w:rsidR="00054AA5" w:rsidRPr="00565C7E">
          <w:rPr>
            <w:rStyle w:val="Hipervnculo"/>
            <w:noProof/>
          </w:rPr>
          <w:t>A.</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Ingresos</w:t>
        </w:r>
        <w:r w:rsidR="00054AA5">
          <w:rPr>
            <w:noProof/>
            <w:webHidden/>
          </w:rPr>
          <w:tab/>
        </w:r>
        <w:r w:rsidR="00054AA5">
          <w:rPr>
            <w:noProof/>
            <w:webHidden/>
          </w:rPr>
          <w:fldChar w:fldCharType="begin"/>
        </w:r>
        <w:r w:rsidR="00054AA5">
          <w:rPr>
            <w:noProof/>
            <w:webHidden/>
          </w:rPr>
          <w:instrText xml:space="preserve"> PAGEREF _Toc142920536 \h </w:instrText>
        </w:r>
        <w:r w:rsidR="00054AA5">
          <w:rPr>
            <w:noProof/>
            <w:webHidden/>
          </w:rPr>
        </w:r>
        <w:r w:rsidR="00054AA5">
          <w:rPr>
            <w:noProof/>
            <w:webHidden/>
          </w:rPr>
          <w:fldChar w:fldCharType="separate"/>
        </w:r>
        <w:r w:rsidR="0047246D">
          <w:rPr>
            <w:noProof/>
            <w:webHidden/>
          </w:rPr>
          <w:t>15</w:t>
        </w:r>
        <w:r w:rsidR="00054AA5">
          <w:rPr>
            <w:noProof/>
            <w:webHidden/>
          </w:rPr>
          <w:fldChar w:fldCharType="end"/>
        </w:r>
      </w:hyperlink>
    </w:p>
    <w:p w14:paraId="68D56F53" w14:textId="380451C1" w:rsidR="00054AA5" w:rsidRDefault="0029595B">
      <w:pPr>
        <w:pStyle w:val="TDC2"/>
        <w:rPr>
          <w:rFonts w:asciiTheme="minorHAnsi" w:eastAsiaTheme="minorEastAsia" w:hAnsiTheme="minorHAnsi" w:cstheme="minorBidi"/>
          <w:noProof/>
          <w:sz w:val="22"/>
          <w:szCs w:val="22"/>
          <w:lang w:val="es-GT" w:eastAsia="es-GT"/>
        </w:rPr>
      </w:pPr>
      <w:hyperlink w:anchor="_Toc142920537" w:history="1">
        <w:r w:rsidR="00054AA5" w:rsidRPr="00565C7E">
          <w:rPr>
            <w:rStyle w:val="Hipervnculo"/>
            <w:noProof/>
          </w:rPr>
          <w:t>B.</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Gastos</w:t>
        </w:r>
        <w:r w:rsidR="00054AA5">
          <w:rPr>
            <w:noProof/>
            <w:webHidden/>
          </w:rPr>
          <w:tab/>
        </w:r>
        <w:r w:rsidR="00054AA5">
          <w:rPr>
            <w:noProof/>
            <w:webHidden/>
          </w:rPr>
          <w:fldChar w:fldCharType="begin"/>
        </w:r>
        <w:r w:rsidR="00054AA5">
          <w:rPr>
            <w:noProof/>
            <w:webHidden/>
          </w:rPr>
          <w:instrText xml:space="preserve"> PAGEREF _Toc142920537 \h </w:instrText>
        </w:r>
        <w:r w:rsidR="00054AA5">
          <w:rPr>
            <w:noProof/>
            <w:webHidden/>
          </w:rPr>
        </w:r>
        <w:r w:rsidR="00054AA5">
          <w:rPr>
            <w:noProof/>
            <w:webHidden/>
          </w:rPr>
          <w:fldChar w:fldCharType="separate"/>
        </w:r>
        <w:r w:rsidR="0047246D">
          <w:rPr>
            <w:noProof/>
            <w:webHidden/>
          </w:rPr>
          <w:t>18</w:t>
        </w:r>
        <w:r w:rsidR="00054AA5">
          <w:rPr>
            <w:noProof/>
            <w:webHidden/>
          </w:rPr>
          <w:fldChar w:fldCharType="end"/>
        </w:r>
      </w:hyperlink>
    </w:p>
    <w:p w14:paraId="5F1CB50B" w14:textId="457F1B50" w:rsidR="00054AA5" w:rsidRDefault="0029595B">
      <w:pPr>
        <w:pStyle w:val="TDC3"/>
        <w:rPr>
          <w:rFonts w:asciiTheme="minorHAnsi" w:eastAsiaTheme="minorEastAsia" w:hAnsiTheme="minorHAnsi" w:cstheme="minorBidi"/>
          <w:noProof/>
          <w:sz w:val="22"/>
          <w:szCs w:val="22"/>
          <w:lang w:val="es-GT" w:eastAsia="es-GT"/>
        </w:rPr>
      </w:pPr>
      <w:hyperlink w:anchor="_Toc142920538" w:history="1">
        <w:r w:rsidR="00054AA5" w:rsidRPr="00565C7E">
          <w:rPr>
            <w:rStyle w:val="Hipervnculo"/>
            <w:noProof/>
            <w:lang w:val="es-MX"/>
          </w:rPr>
          <w:t>1.</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Destino del Gasto por Cuenta Económica</w:t>
        </w:r>
        <w:r w:rsidR="00054AA5">
          <w:rPr>
            <w:noProof/>
            <w:webHidden/>
          </w:rPr>
          <w:tab/>
        </w:r>
        <w:r w:rsidR="00054AA5">
          <w:rPr>
            <w:noProof/>
            <w:webHidden/>
          </w:rPr>
          <w:fldChar w:fldCharType="begin"/>
        </w:r>
        <w:r w:rsidR="00054AA5">
          <w:rPr>
            <w:noProof/>
            <w:webHidden/>
          </w:rPr>
          <w:instrText xml:space="preserve"> PAGEREF _Toc142920538 \h </w:instrText>
        </w:r>
        <w:r w:rsidR="00054AA5">
          <w:rPr>
            <w:noProof/>
            <w:webHidden/>
          </w:rPr>
        </w:r>
        <w:r w:rsidR="00054AA5">
          <w:rPr>
            <w:noProof/>
            <w:webHidden/>
          </w:rPr>
          <w:fldChar w:fldCharType="separate"/>
        </w:r>
        <w:r w:rsidR="0047246D">
          <w:rPr>
            <w:noProof/>
            <w:webHidden/>
          </w:rPr>
          <w:t>19</w:t>
        </w:r>
        <w:r w:rsidR="00054AA5">
          <w:rPr>
            <w:noProof/>
            <w:webHidden/>
          </w:rPr>
          <w:fldChar w:fldCharType="end"/>
        </w:r>
      </w:hyperlink>
    </w:p>
    <w:p w14:paraId="6B5A446E" w14:textId="324982D9" w:rsidR="00054AA5" w:rsidRDefault="0029595B">
      <w:pPr>
        <w:pStyle w:val="TDC3"/>
        <w:rPr>
          <w:rFonts w:asciiTheme="minorHAnsi" w:eastAsiaTheme="minorEastAsia" w:hAnsiTheme="minorHAnsi" w:cstheme="minorBidi"/>
          <w:noProof/>
          <w:sz w:val="22"/>
          <w:szCs w:val="22"/>
          <w:lang w:val="es-GT" w:eastAsia="es-GT"/>
        </w:rPr>
      </w:pPr>
      <w:hyperlink w:anchor="_Toc142920539" w:history="1">
        <w:r w:rsidR="00054AA5" w:rsidRPr="00565C7E">
          <w:rPr>
            <w:rStyle w:val="Hipervnculo"/>
            <w:noProof/>
            <w:lang w:val="es-MX"/>
          </w:rPr>
          <w:t>2.</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Ejecución Presupuestaria Institucional</w:t>
        </w:r>
        <w:r w:rsidR="00054AA5">
          <w:rPr>
            <w:noProof/>
            <w:webHidden/>
          </w:rPr>
          <w:tab/>
        </w:r>
        <w:r w:rsidR="00054AA5">
          <w:rPr>
            <w:noProof/>
            <w:webHidden/>
          </w:rPr>
          <w:fldChar w:fldCharType="begin"/>
        </w:r>
        <w:r w:rsidR="00054AA5">
          <w:rPr>
            <w:noProof/>
            <w:webHidden/>
          </w:rPr>
          <w:instrText xml:space="preserve"> PAGEREF _Toc142920539 \h </w:instrText>
        </w:r>
        <w:r w:rsidR="00054AA5">
          <w:rPr>
            <w:noProof/>
            <w:webHidden/>
          </w:rPr>
        </w:r>
        <w:r w:rsidR="00054AA5">
          <w:rPr>
            <w:noProof/>
            <w:webHidden/>
          </w:rPr>
          <w:fldChar w:fldCharType="separate"/>
        </w:r>
        <w:r w:rsidR="0047246D">
          <w:rPr>
            <w:noProof/>
            <w:webHidden/>
          </w:rPr>
          <w:t>20</w:t>
        </w:r>
        <w:r w:rsidR="00054AA5">
          <w:rPr>
            <w:noProof/>
            <w:webHidden/>
          </w:rPr>
          <w:fldChar w:fldCharType="end"/>
        </w:r>
      </w:hyperlink>
    </w:p>
    <w:p w14:paraId="01001D36" w14:textId="7124FFBF" w:rsidR="00054AA5" w:rsidRDefault="0029595B">
      <w:pPr>
        <w:pStyle w:val="TDC3"/>
        <w:rPr>
          <w:rFonts w:asciiTheme="minorHAnsi" w:eastAsiaTheme="minorEastAsia" w:hAnsiTheme="minorHAnsi" w:cstheme="minorBidi"/>
          <w:noProof/>
          <w:sz w:val="22"/>
          <w:szCs w:val="22"/>
          <w:lang w:val="es-GT" w:eastAsia="es-GT"/>
        </w:rPr>
      </w:pPr>
      <w:hyperlink w:anchor="_Toc142920540" w:history="1">
        <w:r w:rsidR="00054AA5" w:rsidRPr="00565C7E">
          <w:rPr>
            <w:rStyle w:val="Hipervnculo"/>
            <w:noProof/>
            <w:lang w:val="es-MX"/>
          </w:rPr>
          <w:t>3.</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Gasto Público por Fuente de Financiamiento</w:t>
        </w:r>
        <w:r w:rsidR="00054AA5">
          <w:rPr>
            <w:noProof/>
            <w:webHidden/>
          </w:rPr>
          <w:tab/>
        </w:r>
        <w:r w:rsidR="00054AA5">
          <w:rPr>
            <w:noProof/>
            <w:webHidden/>
          </w:rPr>
          <w:fldChar w:fldCharType="begin"/>
        </w:r>
        <w:r w:rsidR="00054AA5">
          <w:rPr>
            <w:noProof/>
            <w:webHidden/>
          </w:rPr>
          <w:instrText xml:space="preserve"> PAGEREF _Toc142920540 \h </w:instrText>
        </w:r>
        <w:r w:rsidR="00054AA5">
          <w:rPr>
            <w:noProof/>
            <w:webHidden/>
          </w:rPr>
        </w:r>
        <w:r w:rsidR="00054AA5">
          <w:rPr>
            <w:noProof/>
            <w:webHidden/>
          </w:rPr>
          <w:fldChar w:fldCharType="separate"/>
        </w:r>
        <w:r w:rsidR="0047246D">
          <w:rPr>
            <w:noProof/>
            <w:webHidden/>
          </w:rPr>
          <w:t>22</w:t>
        </w:r>
        <w:r w:rsidR="00054AA5">
          <w:rPr>
            <w:noProof/>
            <w:webHidden/>
          </w:rPr>
          <w:fldChar w:fldCharType="end"/>
        </w:r>
      </w:hyperlink>
    </w:p>
    <w:p w14:paraId="7C6D4DCC" w14:textId="0B684C6C" w:rsidR="00054AA5" w:rsidRDefault="0029595B">
      <w:pPr>
        <w:pStyle w:val="TDC3"/>
        <w:rPr>
          <w:rFonts w:asciiTheme="minorHAnsi" w:eastAsiaTheme="minorEastAsia" w:hAnsiTheme="minorHAnsi" w:cstheme="minorBidi"/>
          <w:noProof/>
          <w:sz w:val="22"/>
          <w:szCs w:val="22"/>
          <w:lang w:val="es-GT" w:eastAsia="es-GT"/>
        </w:rPr>
      </w:pPr>
      <w:hyperlink w:anchor="_Toc142920541" w:history="1">
        <w:r w:rsidR="00054AA5" w:rsidRPr="00565C7E">
          <w:rPr>
            <w:rStyle w:val="Hipervnculo"/>
            <w:noProof/>
            <w:lang w:val="es-MX"/>
          </w:rPr>
          <w:t>4.</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Gasto Social y Acuerdos de Paz</w:t>
        </w:r>
        <w:r w:rsidR="00054AA5">
          <w:rPr>
            <w:noProof/>
            <w:webHidden/>
          </w:rPr>
          <w:tab/>
        </w:r>
        <w:r w:rsidR="00054AA5">
          <w:rPr>
            <w:noProof/>
            <w:webHidden/>
          </w:rPr>
          <w:fldChar w:fldCharType="begin"/>
        </w:r>
        <w:r w:rsidR="00054AA5">
          <w:rPr>
            <w:noProof/>
            <w:webHidden/>
          </w:rPr>
          <w:instrText xml:space="preserve"> PAGEREF _Toc142920541 \h </w:instrText>
        </w:r>
        <w:r w:rsidR="00054AA5">
          <w:rPr>
            <w:noProof/>
            <w:webHidden/>
          </w:rPr>
        </w:r>
        <w:r w:rsidR="00054AA5">
          <w:rPr>
            <w:noProof/>
            <w:webHidden/>
          </w:rPr>
          <w:fldChar w:fldCharType="separate"/>
        </w:r>
        <w:r w:rsidR="0047246D">
          <w:rPr>
            <w:noProof/>
            <w:webHidden/>
          </w:rPr>
          <w:t>25</w:t>
        </w:r>
        <w:r w:rsidR="00054AA5">
          <w:rPr>
            <w:noProof/>
            <w:webHidden/>
          </w:rPr>
          <w:fldChar w:fldCharType="end"/>
        </w:r>
      </w:hyperlink>
    </w:p>
    <w:p w14:paraId="084E7942" w14:textId="64DED88F" w:rsidR="00054AA5" w:rsidRDefault="0029595B">
      <w:pPr>
        <w:pStyle w:val="TDC3"/>
        <w:rPr>
          <w:rFonts w:asciiTheme="minorHAnsi" w:eastAsiaTheme="minorEastAsia" w:hAnsiTheme="minorHAnsi" w:cstheme="minorBidi"/>
          <w:noProof/>
          <w:sz w:val="22"/>
          <w:szCs w:val="22"/>
          <w:lang w:val="es-GT" w:eastAsia="es-GT"/>
        </w:rPr>
      </w:pPr>
      <w:hyperlink w:anchor="_Toc142920542" w:history="1">
        <w:r w:rsidR="00054AA5" w:rsidRPr="00565C7E">
          <w:rPr>
            <w:rStyle w:val="Hipervnculo"/>
            <w:noProof/>
            <w:lang w:val="es-MX"/>
          </w:rPr>
          <w:t>5.</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Gasto Ejecutado a través de Fideicomisos</w:t>
        </w:r>
        <w:r w:rsidR="00054AA5">
          <w:rPr>
            <w:noProof/>
            <w:webHidden/>
          </w:rPr>
          <w:tab/>
        </w:r>
        <w:r w:rsidR="00054AA5">
          <w:rPr>
            <w:noProof/>
            <w:webHidden/>
          </w:rPr>
          <w:fldChar w:fldCharType="begin"/>
        </w:r>
        <w:r w:rsidR="00054AA5">
          <w:rPr>
            <w:noProof/>
            <w:webHidden/>
          </w:rPr>
          <w:instrText xml:space="preserve"> PAGEREF _Toc142920542 \h </w:instrText>
        </w:r>
        <w:r w:rsidR="00054AA5">
          <w:rPr>
            <w:noProof/>
            <w:webHidden/>
          </w:rPr>
        </w:r>
        <w:r w:rsidR="00054AA5">
          <w:rPr>
            <w:noProof/>
            <w:webHidden/>
          </w:rPr>
          <w:fldChar w:fldCharType="separate"/>
        </w:r>
        <w:r w:rsidR="0047246D">
          <w:rPr>
            <w:noProof/>
            <w:webHidden/>
          </w:rPr>
          <w:t>27</w:t>
        </w:r>
        <w:r w:rsidR="00054AA5">
          <w:rPr>
            <w:noProof/>
            <w:webHidden/>
          </w:rPr>
          <w:fldChar w:fldCharType="end"/>
        </w:r>
      </w:hyperlink>
    </w:p>
    <w:p w14:paraId="458E9871" w14:textId="6EE30B2E" w:rsidR="00054AA5" w:rsidRDefault="0029595B">
      <w:pPr>
        <w:pStyle w:val="TDC3"/>
        <w:rPr>
          <w:rFonts w:asciiTheme="minorHAnsi" w:eastAsiaTheme="minorEastAsia" w:hAnsiTheme="minorHAnsi" w:cstheme="minorBidi"/>
          <w:noProof/>
          <w:sz w:val="22"/>
          <w:szCs w:val="22"/>
          <w:lang w:val="es-GT" w:eastAsia="es-GT"/>
        </w:rPr>
      </w:pPr>
      <w:hyperlink w:anchor="_Toc142920543" w:history="1">
        <w:r w:rsidR="00054AA5" w:rsidRPr="00565C7E">
          <w:rPr>
            <w:rStyle w:val="Hipervnculo"/>
            <w:noProof/>
            <w:lang w:val="es-MX"/>
          </w:rPr>
          <w:t>6.</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Gasto Ejecutado a través de Organizaciones No Gubernamentales</w:t>
        </w:r>
        <w:r w:rsidR="00054AA5">
          <w:rPr>
            <w:noProof/>
            <w:webHidden/>
          </w:rPr>
          <w:tab/>
        </w:r>
        <w:r w:rsidR="00054AA5">
          <w:rPr>
            <w:noProof/>
            <w:webHidden/>
          </w:rPr>
          <w:fldChar w:fldCharType="begin"/>
        </w:r>
        <w:r w:rsidR="00054AA5">
          <w:rPr>
            <w:noProof/>
            <w:webHidden/>
          </w:rPr>
          <w:instrText xml:space="preserve"> PAGEREF _Toc142920543 \h </w:instrText>
        </w:r>
        <w:r w:rsidR="00054AA5">
          <w:rPr>
            <w:noProof/>
            <w:webHidden/>
          </w:rPr>
        </w:r>
        <w:r w:rsidR="00054AA5">
          <w:rPr>
            <w:noProof/>
            <w:webHidden/>
          </w:rPr>
          <w:fldChar w:fldCharType="separate"/>
        </w:r>
        <w:r w:rsidR="0047246D">
          <w:rPr>
            <w:noProof/>
            <w:webHidden/>
          </w:rPr>
          <w:t>28</w:t>
        </w:r>
        <w:r w:rsidR="00054AA5">
          <w:rPr>
            <w:noProof/>
            <w:webHidden/>
          </w:rPr>
          <w:fldChar w:fldCharType="end"/>
        </w:r>
      </w:hyperlink>
    </w:p>
    <w:p w14:paraId="0A7AFB20" w14:textId="478AD1DD" w:rsidR="00054AA5" w:rsidRDefault="0029595B">
      <w:pPr>
        <w:pStyle w:val="TDC3"/>
        <w:rPr>
          <w:rFonts w:asciiTheme="minorHAnsi" w:eastAsiaTheme="minorEastAsia" w:hAnsiTheme="minorHAnsi" w:cstheme="minorBidi"/>
          <w:noProof/>
          <w:sz w:val="22"/>
          <w:szCs w:val="22"/>
          <w:lang w:val="es-GT" w:eastAsia="es-GT"/>
        </w:rPr>
      </w:pPr>
      <w:hyperlink w:anchor="_Toc142920544" w:history="1">
        <w:r w:rsidR="00054AA5" w:rsidRPr="00565C7E">
          <w:rPr>
            <w:rStyle w:val="Hipervnculo"/>
            <w:noProof/>
            <w:lang w:val="es-MX"/>
          </w:rPr>
          <w:t>7.</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Gasto Ejecutado para atender Desastres Naturales y Calamidades Públicas</w:t>
        </w:r>
        <w:r w:rsidR="00054AA5">
          <w:rPr>
            <w:noProof/>
            <w:webHidden/>
          </w:rPr>
          <w:tab/>
        </w:r>
        <w:r w:rsidR="00054AA5">
          <w:rPr>
            <w:noProof/>
            <w:webHidden/>
          </w:rPr>
          <w:fldChar w:fldCharType="begin"/>
        </w:r>
        <w:r w:rsidR="00054AA5">
          <w:rPr>
            <w:noProof/>
            <w:webHidden/>
          </w:rPr>
          <w:instrText xml:space="preserve"> PAGEREF _Toc142920544 \h </w:instrText>
        </w:r>
        <w:r w:rsidR="00054AA5">
          <w:rPr>
            <w:noProof/>
            <w:webHidden/>
          </w:rPr>
        </w:r>
        <w:r w:rsidR="00054AA5">
          <w:rPr>
            <w:noProof/>
            <w:webHidden/>
          </w:rPr>
          <w:fldChar w:fldCharType="separate"/>
        </w:r>
        <w:r w:rsidR="0047246D">
          <w:rPr>
            <w:noProof/>
            <w:webHidden/>
          </w:rPr>
          <w:t>29</w:t>
        </w:r>
        <w:r w:rsidR="00054AA5">
          <w:rPr>
            <w:noProof/>
            <w:webHidden/>
          </w:rPr>
          <w:fldChar w:fldCharType="end"/>
        </w:r>
      </w:hyperlink>
    </w:p>
    <w:p w14:paraId="2B00A676" w14:textId="654FE940" w:rsidR="00054AA5" w:rsidRDefault="0029595B">
      <w:pPr>
        <w:pStyle w:val="TDC3"/>
        <w:rPr>
          <w:rFonts w:asciiTheme="minorHAnsi" w:eastAsiaTheme="minorEastAsia" w:hAnsiTheme="minorHAnsi" w:cstheme="minorBidi"/>
          <w:noProof/>
          <w:sz w:val="22"/>
          <w:szCs w:val="22"/>
          <w:lang w:val="es-GT" w:eastAsia="es-GT"/>
        </w:rPr>
      </w:pPr>
      <w:hyperlink w:anchor="_Toc142920545" w:history="1">
        <w:r w:rsidR="00054AA5" w:rsidRPr="00565C7E">
          <w:rPr>
            <w:rStyle w:val="Hipervnculo"/>
            <w:noProof/>
            <w:lang w:val="es-MX"/>
          </w:rPr>
          <w:t>8.</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Déficit Fiscal</w:t>
        </w:r>
        <w:r w:rsidR="00054AA5">
          <w:rPr>
            <w:noProof/>
            <w:webHidden/>
          </w:rPr>
          <w:tab/>
        </w:r>
        <w:r w:rsidR="00054AA5">
          <w:rPr>
            <w:noProof/>
            <w:webHidden/>
          </w:rPr>
          <w:fldChar w:fldCharType="begin"/>
        </w:r>
        <w:r w:rsidR="00054AA5">
          <w:rPr>
            <w:noProof/>
            <w:webHidden/>
          </w:rPr>
          <w:instrText xml:space="preserve"> PAGEREF _Toc142920545 \h </w:instrText>
        </w:r>
        <w:r w:rsidR="00054AA5">
          <w:rPr>
            <w:noProof/>
            <w:webHidden/>
          </w:rPr>
        </w:r>
        <w:r w:rsidR="00054AA5">
          <w:rPr>
            <w:noProof/>
            <w:webHidden/>
          </w:rPr>
          <w:fldChar w:fldCharType="separate"/>
        </w:r>
        <w:r w:rsidR="0047246D">
          <w:rPr>
            <w:noProof/>
            <w:webHidden/>
          </w:rPr>
          <w:t>30</w:t>
        </w:r>
        <w:r w:rsidR="00054AA5">
          <w:rPr>
            <w:noProof/>
            <w:webHidden/>
          </w:rPr>
          <w:fldChar w:fldCharType="end"/>
        </w:r>
      </w:hyperlink>
    </w:p>
    <w:p w14:paraId="52FEBA4F" w14:textId="2D57ED22" w:rsidR="00054AA5" w:rsidRDefault="0029595B">
      <w:pPr>
        <w:pStyle w:val="TDC3"/>
        <w:rPr>
          <w:rFonts w:asciiTheme="minorHAnsi" w:eastAsiaTheme="minorEastAsia" w:hAnsiTheme="minorHAnsi" w:cstheme="minorBidi"/>
          <w:noProof/>
          <w:sz w:val="22"/>
          <w:szCs w:val="22"/>
          <w:lang w:val="es-GT" w:eastAsia="es-GT"/>
        </w:rPr>
      </w:pPr>
      <w:hyperlink w:anchor="_Toc142920546" w:history="1">
        <w:r w:rsidR="00054AA5" w:rsidRPr="00565C7E">
          <w:rPr>
            <w:rStyle w:val="Hipervnculo"/>
            <w:noProof/>
            <w:lang w:val="es-MX"/>
          </w:rPr>
          <w:t>9.</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Servicios de la Deuda Pública</w:t>
        </w:r>
        <w:r w:rsidR="00054AA5">
          <w:rPr>
            <w:noProof/>
            <w:webHidden/>
          </w:rPr>
          <w:tab/>
        </w:r>
        <w:r w:rsidR="00054AA5">
          <w:rPr>
            <w:noProof/>
            <w:webHidden/>
          </w:rPr>
          <w:fldChar w:fldCharType="begin"/>
        </w:r>
        <w:r w:rsidR="00054AA5">
          <w:rPr>
            <w:noProof/>
            <w:webHidden/>
          </w:rPr>
          <w:instrText xml:space="preserve"> PAGEREF _Toc142920546 \h </w:instrText>
        </w:r>
        <w:r w:rsidR="00054AA5">
          <w:rPr>
            <w:noProof/>
            <w:webHidden/>
          </w:rPr>
        </w:r>
        <w:r w:rsidR="00054AA5">
          <w:rPr>
            <w:noProof/>
            <w:webHidden/>
          </w:rPr>
          <w:fldChar w:fldCharType="separate"/>
        </w:r>
        <w:r w:rsidR="0047246D">
          <w:rPr>
            <w:noProof/>
            <w:webHidden/>
          </w:rPr>
          <w:t>31</w:t>
        </w:r>
        <w:r w:rsidR="00054AA5">
          <w:rPr>
            <w:noProof/>
            <w:webHidden/>
          </w:rPr>
          <w:fldChar w:fldCharType="end"/>
        </w:r>
      </w:hyperlink>
    </w:p>
    <w:p w14:paraId="113E4072" w14:textId="71D4C4FA" w:rsidR="00054AA5" w:rsidRDefault="0029595B">
      <w:pPr>
        <w:pStyle w:val="TDC3"/>
        <w:rPr>
          <w:rFonts w:asciiTheme="minorHAnsi" w:eastAsiaTheme="minorEastAsia" w:hAnsiTheme="minorHAnsi" w:cstheme="minorBidi"/>
          <w:noProof/>
          <w:sz w:val="22"/>
          <w:szCs w:val="22"/>
          <w:lang w:val="es-GT" w:eastAsia="es-GT"/>
        </w:rPr>
      </w:pPr>
      <w:hyperlink w:anchor="_Toc142920547" w:history="1">
        <w:r w:rsidR="00054AA5" w:rsidRPr="00565C7E">
          <w:rPr>
            <w:rStyle w:val="Hipervnculo"/>
            <w:noProof/>
            <w:lang w:val="es-MX"/>
          </w:rPr>
          <w:t>10.</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Préstamos Externos</w:t>
        </w:r>
        <w:r w:rsidR="00054AA5">
          <w:rPr>
            <w:noProof/>
            <w:webHidden/>
          </w:rPr>
          <w:tab/>
        </w:r>
        <w:r w:rsidR="00054AA5">
          <w:rPr>
            <w:noProof/>
            <w:webHidden/>
          </w:rPr>
          <w:fldChar w:fldCharType="begin"/>
        </w:r>
        <w:r w:rsidR="00054AA5">
          <w:rPr>
            <w:noProof/>
            <w:webHidden/>
          </w:rPr>
          <w:instrText xml:space="preserve"> PAGEREF _Toc142920547 \h </w:instrText>
        </w:r>
        <w:r w:rsidR="00054AA5">
          <w:rPr>
            <w:noProof/>
            <w:webHidden/>
          </w:rPr>
        </w:r>
        <w:r w:rsidR="00054AA5">
          <w:rPr>
            <w:noProof/>
            <w:webHidden/>
          </w:rPr>
          <w:fldChar w:fldCharType="separate"/>
        </w:r>
        <w:r w:rsidR="0047246D">
          <w:rPr>
            <w:noProof/>
            <w:webHidden/>
          </w:rPr>
          <w:t>32</w:t>
        </w:r>
        <w:r w:rsidR="00054AA5">
          <w:rPr>
            <w:noProof/>
            <w:webHidden/>
          </w:rPr>
          <w:fldChar w:fldCharType="end"/>
        </w:r>
      </w:hyperlink>
    </w:p>
    <w:p w14:paraId="1C3AFD6E" w14:textId="2B503109" w:rsidR="00054AA5" w:rsidRDefault="0029595B">
      <w:pPr>
        <w:pStyle w:val="TDC3"/>
        <w:rPr>
          <w:rFonts w:asciiTheme="minorHAnsi" w:eastAsiaTheme="minorEastAsia" w:hAnsiTheme="minorHAnsi" w:cstheme="minorBidi"/>
          <w:noProof/>
          <w:sz w:val="22"/>
          <w:szCs w:val="22"/>
          <w:lang w:val="es-GT" w:eastAsia="es-GT"/>
        </w:rPr>
      </w:pPr>
      <w:hyperlink w:anchor="_Toc142920548" w:history="1">
        <w:r w:rsidR="00054AA5" w:rsidRPr="00565C7E">
          <w:rPr>
            <w:rStyle w:val="Hipervnculo"/>
            <w:noProof/>
            <w:lang w:val="es-MX"/>
          </w:rPr>
          <w:t>11.</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Deuda Pública</w:t>
        </w:r>
        <w:r w:rsidR="00054AA5">
          <w:rPr>
            <w:noProof/>
            <w:webHidden/>
          </w:rPr>
          <w:tab/>
        </w:r>
        <w:r w:rsidR="00054AA5">
          <w:rPr>
            <w:noProof/>
            <w:webHidden/>
          </w:rPr>
          <w:fldChar w:fldCharType="begin"/>
        </w:r>
        <w:r w:rsidR="00054AA5">
          <w:rPr>
            <w:noProof/>
            <w:webHidden/>
          </w:rPr>
          <w:instrText xml:space="preserve"> PAGEREF _Toc142920548 \h </w:instrText>
        </w:r>
        <w:r w:rsidR="00054AA5">
          <w:rPr>
            <w:noProof/>
            <w:webHidden/>
          </w:rPr>
        </w:r>
        <w:r w:rsidR="00054AA5">
          <w:rPr>
            <w:noProof/>
            <w:webHidden/>
          </w:rPr>
          <w:fldChar w:fldCharType="separate"/>
        </w:r>
        <w:r w:rsidR="0047246D">
          <w:rPr>
            <w:noProof/>
            <w:webHidden/>
          </w:rPr>
          <w:t>33</w:t>
        </w:r>
        <w:r w:rsidR="00054AA5">
          <w:rPr>
            <w:noProof/>
            <w:webHidden/>
          </w:rPr>
          <w:fldChar w:fldCharType="end"/>
        </w:r>
      </w:hyperlink>
    </w:p>
    <w:p w14:paraId="1E19184A" w14:textId="4B125BD7" w:rsidR="00054AA5" w:rsidRDefault="0029595B">
      <w:pPr>
        <w:pStyle w:val="TDC3"/>
        <w:rPr>
          <w:rFonts w:asciiTheme="minorHAnsi" w:eastAsiaTheme="minorEastAsia" w:hAnsiTheme="minorHAnsi" w:cstheme="minorBidi"/>
          <w:noProof/>
          <w:sz w:val="22"/>
          <w:szCs w:val="22"/>
          <w:lang w:val="es-GT" w:eastAsia="es-GT"/>
        </w:rPr>
      </w:pPr>
      <w:hyperlink w:anchor="_Toc142920549" w:history="1">
        <w:r w:rsidR="00054AA5" w:rsidRPr="00565C7E">
          <w:rPr>
            <w:rStyle w:val="Hipervnculo"/>
            <w:noProof/>
            <w:lang w:val="es-MX"/>
          </w:rPr>
          <w:t>12.</w:t>
        </w:r>
        <w:r w:rsidR="00054AA5">
          <w:rPr>
            <w:rFonts w:asciiTheme="minorHAnsi" w:eastAsiaTheme="minorEastAsia" w:hAnsiTheme="minorHAnsi" w:cstheme="minorBidi"/>
            <w:noProof/>
            <w:sz w:val="22"/>
            <w:szCs w:val="22"/>
            <w:lang w:val="es-GT" w:eastAsia="es-GT"/>
          </w:rPr>
          <w:tab/>
        </w:r>
        <w:r w:rsidR="00054AA5" w:rsidRPr="00565C7E">
          <w:rPr>
            <w:rStyle w:val="Hipervnculo"/>
            <w:noProof/>
            <w:lang w:val="es-MX"/>
          </w:rPr>
          <w:t>Situación Financiera</w:t>
        </w:r>
        <w:r w:rsidR="00054AA5">
          <w:rPr>
            <w:noProof/>
            <w:webHidden/>
          </w:rPr>
          <w:tab/>
        </w:r>
        <w:r w:rsidR="00054AA5">
          <w:rPr>
            <w:noProof/>
            <w:webHidden/>
          </w:rPr>
          <w:fldChar w:fldCharType="begin"/>
        </w:r>
        <w:r w:rsidR="00054AA5">
          <w:rPr>
            <w:noProof/>
            <w:webHidden/>
          </w:rPr>
          <w:instrText xml:space="preserve"> PAGEREF _Toc142920549 \h </w:instrText>
        </w:r>
        <w:r w:rsidR="00054AA5">
          <w:rPr>
            <w:noProof/>
            <w:webHidden/>
          </w:rPr>
        </w:r>
        <w:r w:rsidR="00054AA5">
          <w:rPr>
            <w:noProof/>
            <w:webHidden/>
          </w:rPr>
          <w:fldChar w:fldCharType="separate"/>
        </w:r>
        <w:r w:rsidR="0047246D">
          <w:rPr>
            <w:noProof/>
            <w:webHidden/>
          </w:rPr>
          <w:t>35</w:t>
        </w:r>
        <w:r w:rsidR="00054AA5">
          <w:rPr>
            <w:noProof/>
            <w:webHidden/>
          </w:rPr>
          <w:fldChar w:fldCharType="end"/>
        </w:r>
      </w:hyperlink>
    </w:p>
    <w:p w14:paraId="43C5929E" w14:textId="1191745A" w:rsidR="00054AA5" w:rsidRDefault="0029595B">
      <w:pPr>
        <w:pStyle w:val="TDC1"/>
        <w:rPr>
          <w:rFonts w:asciiTheme="minorHAnsi" w:eastAsiaTheme="minorEastAsia" w:hAnsiTheme="minorHAnsi" w:cstheme="minorBidi"/>
          <w:noProof/>
          <w:sz w:val="22"/>
          <w:szCs w:val="22"/>
          <w:lang w:val="es-GT" w:eastAsia="es-GT"/>
        </w:rPr>
      </w:pPr>
      <w:hyperlink w:anchor="_Toc142920550" w:history="1">
        <w:r w:rsidR="00054AA5" w:rsidRPr="00565C7E">
          <w:rPr>
            <w:rStyle w:val="Hipervnculo"/>
            <w:noProof/>
          </w:rPr>
          <w:t>III.</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Perspectivas de Cierre del Ejercicio Fiscal 2023</w:t>
        </w:r>
        <w:r w:rsidR="00054AA5">
          <w:rPr>
            <w:noProof/>
            <w:webHidden/>
          </w:rPr>
          <w:tab/>
        </w:r>
        <w:r w:rsidR="00054AA5">
          <w:rPr>
            <w:noProof/>
            <w:webHidden/>
          </w:rPr>
          <w:fldChar w:fldCharType="begin"/>
        </w:r>
        <w:r w:rsidR="00054AA5">
          <w:rPr>
            <w:noProof/>
            <w:webHidden/>
          </w:rPr>
          <w:instrText xml:space="preserve"> PAGEREF _Toc142920550 \h </w:instrText>
        </w:r>
        <w:r w:rsidR="00054AA5">
          <w:rPr>
            <w:noProof/>
            <w:webHidden/>
          </w:rPr>
        </w:r>
        <w:r w:rsidR="00054AA5">
          <w:rPr>
            <w:noProof/>
            <w:webHidden/>
          </w:rPr>
          <w:fldChar w:fldCharType="separate"/>
        </w:r>
        <w:r w:rsidR="0047246D">
          <w:rPr>
            <w:noProof/>
            <w:webHidden/>
          </w:rPr>
          <w:t>36</w:t>
        </w:r>
        <w:r w:rsidR="00054AA5">
          <w:rPr>
            <w:noProof/>
            <w:webHidden/>
          </w:rPr>
          <w:fldChar w:fldCharType="end"/>
        </w:r>
      </w:hyperlink>
    </w:p>
    <w:p w14:paraId="0D969909" w14:textId="12BF7471" w:rsidR="00054AA5" w:rsidRDefault="0029595B">
      <w:pPr>
        <w:pStyle w:val="TDC2"/>
        <w:rPr>
          <w:rFonts w:asciiTheme="minorHAnsi" w:eastAsiaTheme="minorEastAsia" w:hAnsiTheme="minorHAnsi" w:cstheme="minorBidi"/>
          <w:noProof/>
          <w:sz w:val="22"/>
          <w:szCs w:val="22"/>
          <w:lang w:val="es-GT" w:eastAsia="es-GT"/>
        </w:rPr>
      </w:pPr>
      <w:hyperlink w:anchor="_Toc142920551" w:history="1">
        <w:r w:rsidR="00054AA5" w:rsidRPr="00565C7E">
          <w:rPr>
            <w:rStyle w:val="Hipervnculo"/>
            <w:noProof/>
          </w:rPr>
          <w:t>A.</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Entorno Macroeconómico</w:t>
        </w:r>
        <w:r w:rsidR="00054AA5">
          <w:rPr>
            <w:noProof/>
            <w:webHidden/>
          </w:rPr>
          <w:tab/>
        </w:r>
        <w:r w:rsidR="00054AA5">
          <w:rPr>
            <w:noProof/>
            <w:webHidden/>
          </w:rPr>
          <w:fldChar w:fldCharType="begin"/>
        </w:r>
        <w:r w:rsidR="00054AA5">
          <w:rPr>
            <w:noProof/>
            <w:webHidden/>
          </w:rPr>
          <w:instrText xml:space="preserve"> PAGEREF _Toc142920551 \h </w:instrText>
        </w:r>
        <w:r w:rsidR="00054AA5">
          <w:rPr>
            <w:noProof/>
            <w:webHidden/>
          </w:rPr>
        </w:r>
        <w:r w:rsidR="00054AA5">
          <w:rPr>
            <w:noProof/>
            <w:webHidden/>
          </w:rPr>
          <w:fldChar w:fldCharType="separate"/>
        </w:r>
        <w:r w:rsidR="0047246D">
          <w:rPr>
            <w:noProof/>
            <w:webHidden/>
          </w:rPr>
          <w:t>36</w:t>
        </w:r>
        <w:r w:rsidR="00054AA5">
          <w:rPr>
            <w:noProof/>
            <w:webHidden/>
          </w:rPr>
          <w:fldChar w:fldCharType="end"/>
        </w:r>
      </w:hyperlink>
    </w:p>
    <w:p w14:paraId="65799561" w14:textId="782357FF" w:rsidR="00054AA5" w:rsidRDefault="0029595B">
      <w:pPr>
        <w:pStyle w:val="TDC3"/>
        <w:rPr>
          <w:rFonts w:asciiTheme="minorHAnsi" w:eastAsiaTheme="minorEastAsia" w:hAnsiTheme="minorHAnsi" w:cstheme="minorBidi"/>
          <w:noProof/>
          <w:sz w:val="22"/>
          <w:szCs w:val="22"/>
          <w:lang w:val="es-GT" w:eastAsia="es-GT"/>
        </w:rPr>
      </w:pPr>
      <w:hyperlink w:anchor="_Toc142920552" w:history="1">
        <w:r w:rsidR="00054AA5" w:rsidRPr="00565C7E">
          <w:rPr>
            <w:rStyle w:val="Hipervnculo"/>
            <w:noProof/>
          </w:rPr>
          <w:t>1.</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Entorno Macroeconómico Internacional</w:t>
        </w:r>
        <w:r w:rsidR="00054AA5">
          <w:rPr>
            <w:noProof/>
            <w:webHidden/>
          </w:rPr>
          <w:tab/>
        </w:r>
        <w:r w:rsidR="00054AA5">
          <w:rPr>
            <w:noProof/>
            <w:webHidden/>
          </w:rPr>
          <w:fldChar w:fldCharType="begin"/>
        </w:r>
        <w:r w:rsidR="00054AA5">
          <w:rPr>
            <w:noProof/>
            <w:webHidden/>
          </w:rPr>
          <w:instrText xml:space="preserve"> PAGEREF _Toc142920552 \h </w:instrText>
        </w:r>
        <w:r w:rsidR="00054AA5">
          <w:rPr>
            <w:noProof/>
            <w:webHidden/>
          </w:rPr>
        </w:r>
        <w:r w:rsidR="00054AA5">
          <w:rPr>
            <w:noProof/>
            <w:webHidden/>
          </w:rPr>
          <w:fldChar w:fldCharType="separate"/>
        </w:r>
        <w:r w:rsidR="0047246D">
          <w:rPr>
            <w:noProof/>
            <w:webHidden/>
          </w:rPr>
          <w:t>36</w:t>
        </w:r>
        <w:r w:rsidR="00054AA5">
          <w:rPr>
            <w:noProof/>
            <w:webHidden/>
          </w:rPr>
          <w:fldChar w:fldCharType="end"/>
        </w:r>
      </w:hyperlink>
    </w:p>
    <w:p w14:paraId="0464A367" w14:textId="693C28A5" w:rsidR="00054AA5" w:rsidRDefault="0029595B">
      <w:pPr>
        <w:pStyle w:val="TDC3"/>
        <w:rPr>
          <w:rFonts w:asciiTheme="minorHAnsi" w:eastAsiaTheme="minorEastAsia" w:hAnsiTheme="minorHAnsi" w:cstheme="minorBidi"/>
          <w:noProof/>
          <w:sz w:val="22"/>
          <w:szCs w:val="22"/>
          <w:lang w:val="es-GT" w:eastAsia="es-GT"/>
        </w:rPr>
      </w:pPr>
      <w:hyperlink w:anchor="_Toc142920553" w:history="1">
        <w:r w:rsidR="00054AA5" w:rsidRPr="00565C7E">
          <w:rPr>
            <w:rStyle w:val="Hipervnculo"/>
            <w:noProof/>
          </w:rPr>
          <w:t>2.</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Entorno Macroeconómico Nacional</w:t>
        </w:r>
        <w:r w:rsidR="00054AA5">
          <w:rPr>
            <w:noProof/>
            <w:webHidden/>
          </w:rPr>
          <w:tab/>
        </w:r>
        <w:r w:rsidR="00054AA5">
          <w:rPr>
            <w:noProof/>
            <w:webHidden/>
          </w:rPr>
          <w:fldChar w:fldCharType="begin"/>
        </w:r>
        <w:r w:rsidR="00054AA5">
          <w:rPr>
            <w:noProof/>
            <w:webHidden/>
          </w:rPr>
          <w:instrText xml:space="preserve"> PAGEREF _Toc142920553 \h </w:instrText>
        </w:r>
        <w:r w:rsidR="00054AA5">
          <w:rPr>
            <w:noProof/>
            <w:webHidden/>
          </w:rPr>
        </w:r>
        <w:r w:rsidR="00054AA5">
          <w:rPr>
            <w:noProof/>
            <w:webHidden/>
          </w:rPr>
          <w:fldChar w:fldCharType="separate"/>
        </w:r>
        <w:r w:rsidR="0047246D">
          <w:rPr>
            <w:noProof/>
            <w:webHidden/>
          </w:rPr>
          <w:t>37</w:t>
        </w:r>
        <w:r w:rsidR="00054AA5">
          <w:rPr>
            <w:noProof/>
            <w:webHidden/>
          </w:rPr>
          <w:fldChar w:fldCharType="end"/>
        </w:r>
      </w:hyperlink>
    </w:p>
    <w:p w14:paraId="23DD4EE2" w14:textId="6DCE14AB" w:rsidR="00054AA5" w:rsidRDefault="0029595B">
      <w:pPr>
        <w:pStyle w:val="TDC2"/>
        <w:rPr>
          <w:rFonts w:asciiTheme="minorHAnsi" w:eastAsiaTheme="minorEastAsia" w:hAnsiTheme="minorHAnsi" w:cstheme="minorBidi"/>
          <w:noProof/>
          <w:sz w:val="22"/>
          <w:szCs w:val="22"/>
          <w:lang w:val="es-GT" w:eastAsia="es-GT"/>
        </w:rPr>
      </w:pPr>
      <w:hyperlink w:anchor="_Toc142920554" w:history="1">
        <w:r w:rsidR="00054AA5" w:rsidRPr="00565C7E">
          <w:rPr>
            <w:rStyle w:val="Hipervnculo"/>
            <w:noProof/>
          </w:rPr>
          <w:t>B.</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Ingresos de la Administración Central</w:t>
        </w:r>
        <w:r w:rsidR="00054AA5">
          <w:rPr>
            <w:noProof/>
            <w:webHidden/>
          </w:rPr>
          <w:tab/>
        </w:r>
        <w:r w:rsidR="00054AA5">
          <w:rPr>
            <w:noProof/>
            <w:webHidden/>
          </w:rPr>
          <w:fldChar w:fldCharType="begin"/>
        </w:r>
        <w:r w:rsidR="00054AA5">
          <w:rPr>
            <w:noProof/>
            <w:webHidden/>
          </w:rPr>
          <w:instrText xml:space="preserve"> PAGEREF _Toc142920554 \h </w:instrText>
        </w:r>
        <w:r w:rsidR="00054AA5">
          <w:rPr>
            <w:noProof/>
            <w:webHidden/>
          </w:rPr>
        </w:r>
        <w:r w:rsidR="00054AA5">
          <w:rPr>
            <w:noProof/>
            <w:webHidden/>
          </w:rPr>
          <w:fldChar w:fldCharType="separate"/>
        </w:r>
        <w:r w:rsidR="0047246D">
          <w:rPr>
            <w:noProof/>
            <w:webHidden/>
          </w:rPr>
          <w:t>42</w:t>
        </w:r>
        <w:r w:rsidR="00054AA5">
          <w:rPr>
            <w:noProof/>
            <w:webHidden/>
          </w:rPr>
          <w:fldChar w:fldCharType="end"/>
        </w:r>
      </w:hyperlink>
    </w:p>
    <w:p w14:paraId="7C27EADF" w14:textId="7C254DE1" w:rsidR="00054AA5" w:rsidRDefault="0029595B">
      <w:pPr>
        <w:pStyle w:val="TDC3"/>
        <w:rPr>
          <w:rFonts w:asciiTheme="minorHAnsi" w:eastAsiaTheme="minorEastAsia" w:hAnsiTheme="minorHAnsi" w:cstheme="minorBidi"/>
          <w:noProof/>
          <w:sz w:val="22"/>
          <w:szCs w:val="22"/>
          <w:lang w:val="es-GT" w:eastAsia="es-GT"/>
        </w:rPr>
      </w:pPr>
      <w:hyperlink w:anchor="_Toc142920555" w:history="1">
        <w:r w:rsidR="00054AA5" w:rsidRPr="00565C7E">
          <w:rPr>
            <w:rStyle w:val="Hipervnculo"/>
            <w:noProof/>
          </w:rPr>
          <w:t>1.</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Ingresos</w:t>
        </w:r>
        <w:r w:rsidR="00054AA5">
          <w:rPr>
            <w:noProof/>
            <w:webHidden/>
          </w:rPr>
          <w:tab/>
        </w:r>
        <w:r w:rsidR="00054AA5">
          <w:rPr>
            <w:noProof/>
            <w:webHidden/>
          </w:rPr>
          <w:fldChar w:fldCharType="begin"/>
        </w:r>
        <w:r w:rsidR="00054AA5">
          <w:rPr>
            <w:noProof/>
            <w:webHidden/>
          </w:rPr>
          <w:instrText xml:space="preserve"> PAGEREF _Toc142920555 \h </w:instrText>
        </w:r>
        <w:r w:rsidR="00054AA5">
          <w:rPr>
            <w:noProof/>
            <w:webHidden/>
          </w:rPr>
        </w:r>
        <w:r w:rsidR="00054AA5">
          <w:rPr>
            <w:noProof/>
            <w:webHidden/>
          </w:rPr>
          <w:fldChar w:fldCharType="separate"/>
        </w:r>
        <w:r w:rsidR="0047246D">
          <w:rPr>
            <w:noProof/>
            <w:webHidden/>
          </w:rPr>
          <w:t>42</w:t>
        </w:r>
        <w:r w:rsidR="00054AA5">
          <w:rPr>
            <w:noProof/>
            <w:webHidden/>
          </w:rPr>
          <w:fldChar w:fldCharType="end"/>
        </w:r>
      </w:hyperlink>
    </w:p>
    <w:p w14:paraId="226A64C0" w14:textId="5DA45FAF" w:rsidR="00054AA5" w:rsidRDefault="0029595B">
      <w:pPr>
        <w:pStyle w:val="TDC3"/>
        <w:rPr>
          <w:rFonts w:asciiTheme="minorHAnsi" w:eastAsiaTheme="minorEastAsia" w:hAnsiTheme="minorHAnsi" w:cstheme="minorBidi"/>
          <w:noProof/>
          <w:sz w:val="22"/>
          <w:szCs w:val="22"/>
          <w:lang w:val="es-GT" w:eastAsia="es-GT"/>
        </w:rPr>
      </w:pPr>
      <w:hyperlink w:anchor="_Toc142920556" w:history="1">
        <w:r w:rsidR="00054AA5" w:rsidRPr="00565C7E">
          <w:rPr>
            <w:rStyle w:val="Hipervnculo"/>
            <w:noProof/>
          </w:rPr>
          <w:t>2.</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Desempeño del Impuesto Sobre la Renta y el ISO</w:t>
        </w:r>
        <w:r w:rsidR="00054AA5">
          <w:rPr>
            <w:noProof/>
            <w:webHidden/>
          </w:rPr>
          <w:tab/>
        </w:r>
        <w:r w:rsidR="00054AA5">
          <w:rPr>
            <w:noProof/>
            <w:webHidden/>
          </w:rPr>
          <w:fldChar w:fldCharType="begin"/>
        </w:r>
        <w:r w:rsidR="00054AA5">
          <w:rPr>
            <w:noProof/>
            <w:webHidden/>
          </w:rPr>
          <w:instrText xml:space="preserve"> PAGEREF _Toc142920556 \h </w:instrText>
        </w:r>
        <w:r w:rsidR="00054AA5">
          <w:rPr>
            <w:noProof/>
            <w:webHidden/>
          </w:rPr>
        </w:r>
        <w:r w:rsidR="00054AA5">
          <w:rPr>
            <w:noProof/>
            <w:webHidden/>
          </w:rPr>
          <w:fldChar w:fldCharType="separate"/>
        </w:r>
        <w:r w:rsidR="0047246D">
          <w:rPr>
            <w:noProof/>
            <w:webHidden/>
          </w:rPr>
          <w:t>43</w:t>
        </w:r>
        <w:r w:rsidR="00054AA5">
          <w:rPr>
            <w:noProof/>
            <w:webHidden/>
          </w:rPr>
          <w:fldChar w:fldCharType="end"/>
        </w:r>
      </w:hyperlink>
    </w:p>
    <w:p w14:paraId="66A7D76A" w14:textId="060A556B" w:rsidR="00054AA5" w:rsidRDefault="0029595B">
      <w:pPr>
        <w:pStyle w:val="TDC3"/>
        <w:rPr>
          <w:rFonts w:asciiTheme="minorHAnsi" w:eastAsiaTheme="minorEastAsia" w:hAnsiTheme="minorHAnsi" w:cstheme="minorBidi"/>
          <w:noProof/>
          <w:sz w:val="22"/>
          <w:szCs w:val="22"/>
          <w:lang w:val="es-GT" w:eastAsia="es-GT"/>
        </w:rPr>
      </w:pPr>
      <w:hyperlink w:anchor="_Toc142920557" w:history="1">
        <w:r w:rsidR="00054AA5" w:rsidRPr="00565C7E">
          <w:rPr>
            <w:rStyle w:val="Hipervnculo"/>
            <w:noProof/>
          </w:rPr>
          <w:t>3.</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El Impuesto al Valor Agregado</w:t>
        </w:r>
        <w:r w:rsidR="00054AA5">
          <w:rPr>
            <w:noProof/>
            <w:webHidden/>
          </w:rPr>
          <w:tab/>
        </w:r>
        <w:r w:rsidR="00054AA5">
          <w:rPr>
            <w:noProof/>
            <w:webHidden/>
          </w:rPr>
          <w:fldChar w:fldCharType="begin"/>
        </w:r>
        <w:r w:rsidR="00054AA5">
          <w:rPr>
            <w:noProof/>
            <w:webHidden/>
          </w:rPr>
          <w:instrText xml:space="preserve"> PAGEREF _Toc142920557 \h </w:instrText>
        </w:r>
        <w:r w:rsidR="00054AA5">
          <w:rPr>
            <w:noProof/>
            <w:webHidden/>
          </w:rPr>
        </w:r>
        <w:r w:rsidR="00054AA5">
          <w:rPr>
            <w:noProof/>
            <w:webHidden/>
          </w:rPr>
          <w:fldChar w:fldCharType="separate"/>
        </w:r>
        <w:r w:rsidR="0047246D">
          <w:rPr>
            <w:noProof/>
            <w:webHidden/>
          </w:rPr>
          <w:t>44</w:t>
        </w:r>
        <w:r w:rsidR="00054AA5">
          <w:rPr>
            <w:noProof/>
            <w:webHidden/>
          </w:rPr>
          <w:fldChar w:fldCharType="end"/>
        </w:r>
      </w:hyperlink>
    </w:p>
    <w:p w14:paraId="4FFFEA27" w14:textId="0070269B" w:rsidR="00054AA5" w:rsidRDefault="0029595B">
      <w:pPr>
        <w:pStyle w:val="TDC3"/>
        <w:rPr>
          <w:rFonts w:asciiTheme="minorHAnsi" w:eastAsiaTheme="minorEastAsia" w:hAnsiTheme="minorHAnsi" w:cstheme="minorBidi"/>
          <w:noProof/>
          <w:sz w:val="22"/>
          <w:szCs w:val="22"/>
          <w:lang w:val="es-GT" w:eastAsia="es-GT"/>
        </w:rPr>
      </w:pPr>
      <w:hyperlink w:anchor="_Toc142920558" w:history="1">
        <w:r w:rsidR="00054AA5" w:rsidRPr="00565C7E">
          <w:rPr>
            <w:rStyle w:val="Hipervnculo"/>
            <w:noProof/>
          </w:rPr>
          <w:t>4.</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Estructura de la Recaudación Tributaria Acumulada</w:t>
        </w:r>
        <w:r w:rsidR="00054AA5">
          <w:rPr>
            <w:noProof/>
            <w:webHidden/>
          </w:rPr>
          <w:tab/>
        </w:r>
        <w:r w:rsidR="00054AA5">
          <w:rPr>
            <w:noProof/>
            <w:webHidden/>
          </w:rPr>
          <w:fldChar w:fldCharType="begin"/>
        </w:r>
        <w:r w:rsidR="00054AA5">
          <w:rPr>
            <w:noProof/>
            <w:webHidden/>
          </w:rPr>
          <w:instrText xml:space="preserve"> PAGEREF _Toc142920558 \h </w:instrText>
        </w:r>
        <w:r w:rsidR="00054AA5">
          <w:rPr>
            <w:noProof/>
            <w:webHidden/>
          </w:rPr>
        </w:r>
        <w:r w:rsidR="00054AA5">
          <w:rPr>
            <w:noProof/>
            <w:webHidden/>
          </w:rPr>
          <w:fldChar w:fldCharType="separate"/>
        </w:r>
        <w:r w:rsidR="0047246D">
          <w:rPr>
            <w:noProof/>
            <w:webHidden/>
          </w:rPr>
          <w:t>46</w:t>
        </w:r>
        <w:r w:rsidR="00054AA5">
          <w:rPr>
            <w:noProof/>
            <w:webHidden/>
          </w:rPr>
          <w:fldChar w:fldCharType="end"/>
        </w:r>
      </w:hyperlink>
    </w:p>
    <w:p w14:paraId="27C6C28B" w14:textId="4A17847A" w:rsidR="00054AA5" w:rsidRDefault="0029595B">
      <w:pPr>
        <w:pStyle w:val="TDC3"/>
        <w:rPr>
          <w:rFonts w:asciiTheme="minorHAnsi" w:eastAsiaTheme="minorEastAsia" w:hAnsiTheme="minorHAnsi" w:cstheme="minorBidi"/>
          <w:noProof/>
          <w:sz w:val="22"/>
          <w:szCs w:val="22"/>
          <w:lang w:val="es-GT" w:eastAsia="es-GT"/>
        </w:rPr>
      </w:pPr>
      <w:hyperlink w:anchor="_Toc142920559" w:history="1">
        <w:r w:rsidR="00054AA5" w:rsidRPr="00565C7E">
          <w:rPr>
            <w:rStyle w:val="Hipervnculo"/>
            <w:noProof/>
          </w:rPr>
          <w:t>5.</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Recaudación Tributaria por Actividad Económica</w:t>
        </w:r>
        <w:r w:rsidR="00054AA5">
          <w:rPr>
            <w:noProof/>
            <w:webHidden/>
          </w:rPr>
          <w:tab/>
        </w:r>
        <w:r w:rsidR="00054AA5">
          <w:rPr>
            <w:noProof/>
            <w:webHidden/>
          </w:rPr>
          <w:fldChar w:fldCharType="begin"/>
        </w:r>
        <w:r w:rsidR="00054AA5">
          <w:rPr>
            <w:noProof/>
            <w:webHidden/>
          </w:rPr>
          <w:instrText xml:space="preserve"> PAGEREF _Toc142920559 \h </w:instrText>
        </w:r>
        <w:r w:rsidR="00054AA5">
          <w:rPr>
            <w:noProof/>
            <w:webHidden/>
          </w:rPr>
        </w:r>
        <w:r w:rsidR="00054AA5">
          <w:rPr>
            <w:noProof/>
            <w:webHidden/>
          </w:rPr>
          <w:fldChar w:fldCharType="separate"/>
        </w:r>
        <w:r w:rsidR="0047246D">
          <w:rPr>
            <w:noProof/>
            <w:webHidden/>
          </w:rPr>
          <w:t>46</w:t>
        </w:r>
        <w:r w:rsidR="00054AA5">
          <w:rPr>
            <w:noProof/>
            <w:webHidden/>
          </w:rPr>
          <w:fldChar w:fldCharType="end"/>
        </w:r>
      </w:hyperlink>
    </w:p>
    <w:p w14:paraId="0F222950" w14:textId="1ADA233D" w:rsidR="00054AA5" w:rsidRDefault="0029595B">
      <w:pPr>
        <w:pStyle w:val="TDC3"/>
        <w:rPr>
          <w:rFonts w:asciiTheme="minorHAnsi" w:eastAsiaTheme="minorEastAsia" w:hAnsiTheme="minorHAnsi" w:cstheme="minorBidi"/>
          <w:noProof/>
          <w:sz w:val="22"/>
          <w:szCs w:val="22"/>
          <w:lang w:val="es-GT" w:eastAsia="es-GT"/>
        </w:rPr>
      </w:pPr>
      <w:hyperlink w:anchor="_Toc142920560" w:history="1">
        <w:r w:rsidR="00054AA5" w:rsidRPr="00565C7E">
          <w:rPr>
            <w:rStyle w:val="Hipervnculo"/>
            <w:noProof/>
          </w:rPr>
          <w:t>6.</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Factores Externos que Afectan la Recaudación Tributaria.</w:t>
        </w:r>
        <w:r w:rsidR="00054AA5">
          <w:rPr>
            <w:noProof/>
            <w:webHidden/>
          </w:rPr>
          <w:tab/>
        </w:r>
        <w:r w:rsidR="00054AA5">
          <w:rPr>
            <w:noProof/>
            <w:webHidden/>
          </w:rPr>
          <w:fldChar w:fldCharType="begin"/>
        </w:r>
        <w:r w:rsidR="00054AA5">
          <w:rPr>
            <w:noProof/>
            <w:webHidden/>
          </w:rPr>
          <w:instrText xml:space="preserve"> PAGEREF _Toc142920560 \h </w:instrText>
        </w:r>
        <w:r w:rsidR="00054AA5">
          <w:rPr>
            <w:noProof/>
            <w:webHidden/>
          </w:rPr>
        </w:r>
        <w:r w:rsidR="00054AA5">
          <w:rPr>
            <w:noProof/>
            <w:webHidden/>
          </w:rPr>
          <w:fldChar w:fldCharType="separate"/>
        </w:r>
        <w:r w:rsidR="0047246D">
          <w:rPr>
            <w:noProof/>
            <w:webHidden/>
          </w:rPr>
          <w:t>47</w:t>
        </w:r>
        <w:r w:rsidR="00054AA5">
          <w:rPr>
            <w:noProof/>
            <w:webHidden/>
          </w:rPr>
          <w:fldChar w:fldCharType="end"/>
        </w:r>
      </w:hyperlink>
    </w:p>
    <w:p w14:paraId="2C979B3C" w14:textId="7184C492" w:rsidR="00054AA5" w:rsidRDefault="0029595B">
      <w:pPr>
        <w:pStyle w:val="TDC3"/>
        <w:rPr>
          <w:rFonts w:asciiTheme="minorHAnsi" w:eastAsiaTheme="minorEastAsia" w:hAnsiTheme="minorHAnsi" w:cstheme="minorBidi"/>
          <w:noProof/>
          <w:sz w:val="22"/>
          <w:szCs w:val="22"/>
          <w:lang w:val="es-GT" w:eastAsia="es-GT"/>
        </w:rPr>
      </w:pPr>
      <w:hyperlink w:anchor="_Toc142920561" w:history="1">
        <w:r w:rsidR="00054AA5" w:rsidRPr="00565C7E">
          <w:rPr>
            <w:rStyle w:val="Hipervnculo"/>
            <w:noProof/>
          </w:rPr>
          <w:t>7.</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Perspectivas de Cierre 2023</w:t>
        </w:r>
        <w:r w:rsidR="00054AA5">
          <w:rPr>
            <w:noProof/>
            <w:webHidden/>
          </w:rPr>
          <w:tab/>
        </w:r>
        <w:r w:rsidR="00054AA5">
          <w:rPr>
            <w:noProof/>
            <w:webHidden/>
          </w:rPr>
          <w:fldChar w:fldCharType="begin"/>
        </w:r>
        <w:r w:rsidR="00054AA5">
          <w:rPr>
            <w:noProof/>
            <w:webHidden/>
          </w:rPr>
          <w:instrText xml:space="preserve"> PAGEREF _Toc142920561 \h </w:instrText>
        </w:r>
        <w:r w:rsidR="00054AA5">
          <w:rPr>
            <w:noProof/>
            <w:webHidden/>
          </w:rPr>
        </w:r>
        <w:r w:rsidR="00054AA5">
          <w:rPr>
            <w:noProof/>
            <w:webHidden/>
          </w:rPr>
          <w:fldChar w:fldCharType="separate"/>
        </w:r>
        <w:r w:rsidR="0047246D">
          <w:rPr>
            <w:noProof/>
            <w:webHidden/>
          </w:rPr>
          <w:t>47</w:t>
        </w:r>
        <w:r w:rsidR="00054AA5">
          <w:rPr>
            <w:noProof/>
            <w:webHidden/>
          </w:rPr>
          <w:fldChar w:fldCharType="end"/>
        </w:r>
      </w:hyperlink>
    </w:p>
    <w:p w14:paraId="4F2B16FA" w14:textId="06A696DD" w:rsidR="00054AA5" w:rsidRDefault="0029595B">
      <w:pPr>
        <w:pStyle w:val="TDC2"/>
        <w:rPr>
          <w:rFonts w:asciiTheme="minorHAnsi" w:eastAsiaTheme="minorEastAsia" w:hAnsiTheme="minorHAnsi" w:cstheme="minorBidi"/>
          <w:noProof/>
          <w:sz w:val="22"/>
          <w:szCs w:val="22"/>
          <w:lang w:val="es-GT" w:eastAsia="es-GT"/>
        </w:rPr>
      </w:pPr>
      <w:hyperlink w:anchor="_Toc142920562" w:history="1">
        <w:r w:rsidR="00054AA5" w:rsidRPr="00565C7E">
          <w:rPr>
            <w:rStyle w:val="Hipervnculo"/>
            <w:noProof/>
          </w:rPr>
          <w:t>C.</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Gastos</w:t>
        </w:r>
        <w:r w:rsidR="00054AA5">
          <w:rPr>
            <w:noProof/>
            <w:webHidden/>
          </w:rPr>
          <w:tab/>
        </w:r>
        <w:r w:rsidR="00054AA5">
          <w:rPr>
            <w:noProof/>
            <w:webHidden/>
          </w:rPr>
          <w:fldChar w:fldCharType="begin"/>
        </w:r>
        <w:r w:rsidR="00054AA5">
          <w:rPr>
            <w:noProof/>
            <w:webHidden/>
          </w:rPr>
          <w:instrText xml:space="preserve"> PAGEREF _Toc142920562 \h </w:instrText>
        </w:r>
        <w:r w:rsidR="00054AA5">
          <w:rPr>
            <w:noProof/>
            <w:webHidden/>
          </w:rPr>
        </w:r>
        <w:r w:rsidR="00054AA5">
          <w:rPr>
            <w:noProof/>
            <w:webHidden/>
          </w:rPr>
          <w:fldChar w:fldCharType="separate"/>
        </w:r>
        <w:r w:rsidR="0047246D">
          <w:rPr>
            <w:noProof/>
            <w:webHidden/>
          </w:rPr>
          <w:t>51</w:t>
        </w:r>
        <w:r w:rsidR="00054AA5">
          <w:rPr>
            <w:noProof/>
            <w:webHidden/>
          </w:rPr>
          <w:fldChar w:fldCharType="end"/>
        </w:r>
      </w:hyperlink>
    </w:p>
    <w:p w14:paraId="431D47EA" w14:textId="65C96FBF" w:rsidR="00054AA5" w:rsidRDefault="0029595B">
      <w:pPr>
        <w:pStyle w:val="TDC3"/>
        <w:rPr>
          <w:rFonts w:asciiTheme="minorHAnsi" w:eastAsiaTheme="minorEastAsia" w:hAnsiTheme="minorHAnsi" w:cstheme="minorBidi"/>
          <w:noProof/>
          <w:sz w:val="22"/>
          <w:szCs w:val="22"/>
          <w:lang w:val="es-GT" w:eastAsia="es-GT"/>
        </w:rPr>
      </w:pPr>
      <w:hyperlink w:anchor="_Toc142920563" w:history="1">
        <w:r w:rsidR="00054AA5" w:rsidRPr="00565C7E">
          <w:rPr>
            <w:rStyle w:val="Hipervnculo"/>
            <w:noProof/>
          </w:rPr>
          <w:t>1.</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Gasto Corriente y de Capital</w:t>
        </w:r>
        <w:r w:rsidR="00054AA5">
          <w:rPr>
            <w:noProof/>
            <w:webHidden/>
          </w:rPr>
          <w:tab/>
        </w:r>
        <w:r w:rsidR="00054AA5">
          <w:rPr>
            <w:noProof/>
            <w:webHidden/>
          </w:rPr>
          <w:fldChar w:fldCharType="begin"/>
        </w:r>
        <w:r w:rsidR="00054AA5">
          <w:rPr>
            <w:noProof/>
            <w:webHidden/>
          </w:rPr>
          <w:instrText xml:space="preserve"> PAGEREF _Toc142920563 \h </w:instrText>
        </w:r>
        <w:r w:rsidR="00054AA5">
          <w:rPr>
            <w:noProof/>
            <w:webHidden/>
          </w:rPr>
        </w:r>
        <w:r w:rsidR="00054AA5">
          <w:rPr>
            <w:noProof/>
            <w:webHidden/>
          </w:rPr>
          <w:fldChar w:fldCharType="separate"/>
        </w:r>
        <w:r w:rsidR="0047246D">
          <w:rPr>
            <w:noProof/>
            <w:webHidden/>
          </w:rPr>
          <w:t>51</w:t>
        </w:r>
        <w:r w:rsidR="00054AA5">
          <w:rPr>
            <w:noProof/>
            <w:webHidden/>
          </w:rPr>
          <w:fldChar w:fldCharType="end"/>
        </w:r>
      </w:hyperlink>
    </w:p>
    <w:p w14:paraId="555CC6B4" w14:textId="14FDF5D2" w:rsidR="00054AA5" w:rsidRDefault="0029595B">
      <w:pPr>
        <w:pStyle w:val="TDC3"/>
        <w:rPr>
          <w:rFonts w:asciiTheme="minorHAnsi" w:eastAsiaTheme="minorEastAsia" w:hAnsiTheme="minorHAnsi" w:cstheme="minorBidi"/>
          <w:noProof/>
          <w:sz w:val="22"/>
          <w:szCs w:val="22"/>
          <w:lang w:val="es-GT" w:eastAsia="es-GT"/>
        </w:rPr>
      </w:pPr>
      <w:hyperlink w:anchor="_Toc142920564" w:history="1">
        <w:r w:rsidR="00054AA5" w:rsidRPr="00565C7E">
          <w:rPr>
            <w:rStyle w:val="Hipervnculo"/>
            <w:noProof/>
          </w:rPr>
          <w:t>2.</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Gasto Institucional</w:t>
        </w:r>
        <w:r w:rsidR="00054AA5">
          <w:rPr>
            <w:noProof/>
            <w:webHidden/>
          </w:rPr>
          <w:tab/>
        </w:r>
        <w:r w:rsidR="00054AA5">
          <w:rPr>
            <w:noProof/>
            <w:webHidden/>
          </w:rPr>
          <w:fldChar w:fldCharType="begin"/>
        </w:r>
        <w:r w:rsidR="00054AA5">
          <w:rPr>
            <w:noProof/>
            <w:webHidden/>
          </w:rPr>
          <w:instrText xml:space="preserve"> PAGEREF _Toc142920564 \h </w:instrText>
        </w:r>
        <w:r w:rsidR="00054AA5">
          <w:rPr>
            <w:noProof/>
            <w:webHidden/>
          </w:rPr>
        </w:r>
        <w:r w:rsidR="00054AA5">
          <w:rPr>
            <w:noProof/>
            <w:webHidden/>
          </w:rPr>
          <w:fldChar w:fldCharType="separate"/>
        </w:r>
        <w:r w:rsidR="0047246D">
          <w:rPr>
            <w:noProof/>
            <w:webHidden/>
          </w:rPr>
          <w:t>56</w:t>
        </w:r>
        <w:r w:rsidR="00054AA5">
          <w:rPr>
            <w:noProof/>
            <w:webHidden/>
          </w:rPr>
          <w:fldChar w:fldCharType="end"/>
        </w:r>
      </w:hyperlink>
    </w:p>
    <w:p w14:paraId="633FDA67" w14:textId="50310698" w:rsidR="00054AA5" w:rsidRDefault="0029595B">
      <w:pPr>
        <w:pStyle w:val="TDC3"/>
        <w:rPr>
          <w:rFonts w:asciiTheme="minorHAnsi" w:eastAsiaTheme="minorEastAsia" w:hAnsiTheme="minorHAnsi" w:cstheme="minorBidi"/>
          <w:noProof/>
          <w:sz w:val="22"/>
          <w:szCs w:val="22"/>
          <w:lang w:val="es-GT" w:eastAsia="es-GT"/>
        </w:rPr>
      </w:pPr>
      <w:hyperlink w:anchor="_Toc142920565" w:history="1">
        <w:r w:rsidR="00054AA5" w:rsidRPr="00565C7E">
          <w:rPr>
            <w:rStyle w:val="Hipervnculo"/>
            <w:noProof/>
          </w:rPr>
          <w:t>3.</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Gasto por Finalidad</w:t>
        </w:r>
        <w:r w:rsidR="00054AA5">
          <w:rPr>
            <w:noProof/>
            <w:webHidden/>
          </w:rPr>
          <w:tab/>
        </w:r>
        <w:r w:rsidR="00054AA5">
          <w:rPr>
            <w:noProof/>
            <w:webHidden/>
          </w:rPr>
          <w:fldChar w:fldCharType="begin"/>
        </w:r>
        <w:r w:rsidR="00054AA5">
          <w:rPr>
            <w:noProof/>
            <w:webHidden/>
          </w:rPr>
          <w:instrText xml:space="preserve"> PAGEREF _Toc142920565 \h </w:instrText>
        </w:r>
        <w:r w:rsidR="00054AA5">
          <w:rPr>
            <w:noProof/>
            <w:webHidden/>
          </w:rPr>
        </w:r>
        <w:r w:rsidR="00054AA5">
          <w:rPr>
            <w:noProof/>
            <w:webHidden/>
          </w:rPr>
          <w:fldChar w:fldCharType="separate"/>
        </w:r>
        <w:r w:rsidR="0047246D">
          <w:rPr>
            <w:noProof/>
            <w:webHidden/>
          </w:rPr>
          <w:t>59</w:t>
        </w:r>
        <w:r w:rsidR="00054AA5">
          <w:rPr>
            <w:noProof/>
            <w:webHidden/>
          </w:rPr>
          <w:fldChar w:fldCharType="end"/>
        </w:r>
      </w:hyperlink>
    </w:p>
    <w:p w14:paraId="23AA9AA7" w14:textId="63F1B730" w:rsidR="00054AA5" w:rsidRDefault="0029595B">
      <w:pPr>
        <w:pStyle w:val="TDC2"/>
        <w:rPr>
          <w:rFonts w:asciiTheme="minorHAnsi" w:eastAsiaTheme="minorEastAsia" w:hAnsiTheme="minorHAnsi" w:cstheme="minorBidi"/>
          <w:noProof/>
          <w:sz w:val="22"/>
          <w:szCs w:val="22"/>
          <w:lang w:val="es-GT" w:eastAsia="es-GT"/>
        </w:rPr>
      </w:pPr>
      <w:hyperlink w:anchor="_Toc142920566" w:history="1">
        <w:r w:rsidR="00054AA5" w:rsidRPr="00565C7E">
          <w:rPr>
            <w:rStyle w:val="Hipervnculo"/>
            <w:noProof/>
          </w:rPr>
          <w:t>D.</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Déficit Fiscal y su Financiamiento</w:t>
        </w:r>
        <w:r w:rsidR="00054AA5">
          <w:rPr>
            <w:noProof/>
            <w:webHidden/>
          </w:rPr>
          <w:tab/>
        </w:r>
        <w:r w:rsidR="00054AA5">
          <w:rPr>
            <w:noProof/>
            <w:webHidden/>
          </w:rPr>
          <w:fldChar w:fldCharType="begin"/>
        </w:r>
        <w:r w:rsidR="00054AA5">
          <w:rPr>
            <w:noProof/>
            <w:webHidden/>
          </w:rPr>
          <w:instrText xml:space="preserve"> PAGEREF _Toc142920566 \h </w:instrText>
        </w:r>
        <w:r w:rsidR="00054AA5">
          <w:rPr>
            <w:noProof/>
            <w:webHidden/>
          </w:rPr>
        </w:r>
        <w:r w:rsidR="00054AA5">
          <w:rPr>
            <w:noProof/>
            <w:webHidden/>
          </w:rPr>
          <w:fldChar w:fldCharType="separate"/>
        </w:r>
        <w:r w:rsidR="0047246D">
          <w:rPr>
            <w:noProof/>
            <w:webHidden/>
          </w:rPr>
          <w:t>60</w:t>
        </w:r>
        <w:r w:rsidR="00054AA5">
          <w:rPr>
            <w:noProof/>
            <w:webHidden/>
          </w:rPr>
          <w:fldChar w:fldCharType="end"/>
        </w:r>
      </w:hyperlink>
    </w:p>
    <w:p w14:paraId="62FBCE76" w14:textId="624F532B" w:rsidR="00054AA5" w:rsidRDefault="0029595B">
      <w:pPr>
        <w:pStyle w:val="TDC2"/>
        <w:rPr>
          <w:rFonts w:asciiTheme="minorHAnsi" w:eastAsiaTheme="minorEastAsia" w:hAnsiTheme="minorHAnsi" w:cstheme="minorBidi"/>
          <w:noProof/>
          <w:sz w:val="22"/>
          <w:szCs w:val="22"/>
          <w:lang w:val="es-GT" w:eastAsia="es-GT"/>
        </w:rPr>
      </w:pPr>
      <w:hyperlink w:anchor="_Toc142920567" w:history="1">
        <w:r w:rsidR="00054AA5" w:rsidRPr="00565C7E">
          <w:rPr>
            <w:rStyle w:val="Hipervnculo"/>
            <w:noProof/>
          </w:rPr>
          <w:t>E.</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Deuda Pública</w:t>
        </w:r>
        <w:r w:rsidR="00054AA5">
          <w:rPr>
            <w:noProof/>
            <w:webHidden/>
          </w:rPr>
          <w:tab/>
        </w:r>
        <w:r w:rsidR="00054AA5">
          <w:rPr>
            <w:noProof/>
            <w:webHidden/>
          </w:rPr>
          <w:fldChar w:fldCharType="begin"/>
        </w:r>
        <w:r w:rsidR="00054AA5">
          <w:rPr>
            <w:noProof/>
            <w:webHidden/>
          </w:rPr>
          <w:instrText xml:space="preserve"> PAGEREF _Toc142920567 \h </w:instrText>
        </w:r>
        <w:r w:rsidR="00054AA5">
          <w:rPr>
            <w:noProof/>
            <w:webHidden/>
          </w:rPr>
        </w:r>
        <w:r w:rsidR="00054AA5">
          <w:rPr>
            <w:noProof/>
            <w:webHidden/>
          </w:rPr>
          <w:fldChar w:fldCharType="separate"/>
        </w:r>
        <w:r w:rsidR="0047246D">
          <w:rPr>
            <w:noProof/>
            <w:webHidden/>
          </w:rPr>
          <w:t>62</w:t>
        </w:r>
        <w:r w:rsidR="00054AA5">
          <w:rPr>
            <w:noProof/>
            <w:webHidden/>
          </w:rPr>
          <w:fldChar w:fldCharType="end"/>
        </w:r>
      </w:hyperlink>
    </w:p>
    <w:p w14:paraId="712C5DE1" w14:textId="7E6CCC88" w:rsidR="00054AA5" w:rsidRDefault="0029595B">
      <w:pPr>
        <w:pStyle w:val="TDC2"/>
        <w:rPr>
          <w:rFonts w:asciiTheme="minorHAnsi" w:eastAsiaTheme="minorEastAsia" w:hAnsiTheme="minorHAnsi" w:cstheme="minorBidi"/>
          <w:noProof/>
          <w:sz w:val="22"/>
          <w:szCs w:val="22"/>
          <w:lang w:val="es-GT" w:eastAsia="es-GT"/>
        </w:rPr>
      </w:pPr>
      <w:hyperlink w:anchor="_Toc142920568" w:history="1">
        <w:r w:rsidR="00054AA5" w:rsidRPr="00565C7E">
          <w:rPr>
            <w:rStyle w:val="Hipervnculo"/>
            <w:noProof/>
          </w:rPr>
          <w:t>F.</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Operaciones Extrapresupuestarias</w:t>
        </w:r>
        <w:r w:rsidR="00054AA5">
          <w:rPr>
            <w:noProof/>
            <w:webHidden/>
          </w:rPr>
          <w:tab/>
        </w:r>
        <w:r w:rsidR="00054AA5">
          <w:rPr>
            <w:noProof/>
            <w:webHidden/>
          </w:rPr>
          <w:fldChar w:fldCharType="begin"/>
        </w:r>
        <w:r w:rsidR="00054AA5">
          <w:rPr>
            <w:noProof/>
            <w:webHidden/>
          </w:rPr>
          <w:instrText xml:space="preserve"> PAGEREF _Toc142920568 \h </w:instrText>
        </w:r>
        <w:r w:rsidR="00054AA5">
          <w:rPr>
            <w:noProof/>
            <w:webHidden/>
          </w:rPr>
        </w:r>
        <w:r w:rsidR="00054AA5">
          <w:rPr>
            <w:noProof/>
            <w:webHidden/>
          </w:rPr>
          <w:fldChar w:fldCharType="separate"/>
        </w:r>
        <w:r w:rsidR="0047246D">
          <w:rPr>
            <w:noProof/>
            <w:webHidden/>
          </w:rPr>
          <w:t>63</w:t>
        </w:r>
        <w:r w:rsidR="00054AA5">
          <w:rPr>
            <w:noProof/>
            <w:webHidden/>
          </w:rPr>
          <w:fldChar w:fldCharType="end"/>
        </w:r>
      </w:hyperlink>
    </w:p>
    <w:p w14:paraId="4E1A78D9" w14:textId="35145706" w:rsidR="00054AA5" w:rsidRDefault="0029595B">
      <w:pPr>
        <w:pStyle w:val="TDC1"/>
        <w:rPr>
          <w:rFonts w:asciiTheme="minorHAnsi" w:eastAsiaTheme="minorEastAsia" w:hAnsiTheme="minorHAnsi" w:cstheme="minorBidi"/>
          <w:noProof/>
          <w:sz w:val="22"/>
          <w:szCs w:val="22"/>
          <w:lang w:val="es-GT" w:eastAsia="es-GT"/>
        </w:rPr>
      </w:pPr>
      <w:hyperlink w:anchor="_Toc142920569" w:history="1">
        <w:r w:rsidR="00054AA5" w:rsidRPr="00565C7E">
          <w:rPr>
            <w:rStyle w:val="Hipervnculo"/>
            <w:noProof/>
          </w:rPr>
          <w:t>IV.</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Aspectos Relevantes del Primer Semestre 2023 y su continuidad para Fin de Año</w:t>
        </w:r>
        <w:r w:rsidR="00054AA5">
          <w:rPr>
            <w:noProof/>
            <w:webHidden/>
          </w:rPr>
          <w:tab/>
        </w:r>
        <w:r w:rsidR="00054AA5">
          <w:rPr>
            <w:noProof/>
            <w:webHidden/>
          </w:rPr>
          <w:fldChar w:fldCharType="begin"/>
        </w:r>
        <w:r w:rsidR="00054AA5">
          <w:rPr>
            <w:noProof/>
            <w:webHidden/>
          </w:rPr>
          <w:instrText xml:space="preserve"> PAGEREF _Toc142920569 \h </w:instrText>
        </w:r>
        <w:r w:rsidR="00054AA5">
          <w:rPr>
            <w:noProof/>
            <w:webHidden/>
          </w:rPr>
        </w:r>
        <w:r w:rsidR="00054AA5">
          <w:rPr>
            <w:noProof/>
            <w:webHidden/>
          </w:rPr>
          <w:fldChar w:fldCharType="separate"/>
        </w:r>
        <w:r w:rsidR="0047246D">
          <w:rPr>
            <w:noProof/>
            <w:webHidden/>
          </w:rPr>
          <w:t>66</w:t>
        </w:r>
        <w:r w:rsidR="00054AA5">
          <w:rPr>
            <w:noProof/>
            <w:webHidden/>
          </w:rPr>
          <w:fldChar w:fldCharType="end"/>
        </w:r>
      </w:hyperlink>
    </w:p>
    <w:p w14:paraId="689AFD43" w14:textId="10F9A06F" w:rsidR="00054AA5" w:rsidRDefault="0029595B">
      <w:pPr>
        <w:pStyle w:val="TDC2"/>
        <w:rPr>
          <w:rFonts w:asciiTheme="minorHAnsi" w:eastAsiaTheme="minorEastAsia" w:hAnsiTheme="minorHAnsi" w:cstheme="minorBidi"/>
          <w:noProof/>
          <w:sz w:val="22"/>
          <w:szCs w:val="22"/>
          <w:lang w:val="es-GT" w:eastAsia="es-GT"/>
        </w:rPr>
      </w:pPr>
      <w:hyperlink w:anchor="_Toc142920570" w:history="1">
        <w:r w:rsidR="00054AA5" w:rsidRPr="00565C7E">
          <w:rPr>
            <w:rStyle w:val="Hipervnculo"/>
            <w:noProof/>
          </w:rPr>
          <w:t>A.</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Logros sobre Transparencia Fiscal</w:t>
        </w:r>
        <w:r w:rsidR="00054AA5">
          <w:rPr>
            <w:noProof/>
            <w:webHidden/>
          </w:rPr>
          <w:tab/>
        </w:r>
        <w:r w:rsidR="00054AA5">
          <w:rPr>
            <w:noProof/>
            <w:webHidden/>
          </w:rPr>
          <w:fldChar w:fldCharType="begin"/>
        </w:r>
        <w:r w:rsidR="00054AA5">
          <w:rPr>
            <w:noProof/>
            <w:webHidden/>
          </w:rPr>
          <w:instrText xml:space="preserve"> PAGEREF _Toc142920570 \h </w:instrText>
        </w:r>
        <w:r w:rsidR="00054AA5">
          <w:rPr>
            <w:noProof/>
            <w:webHidden/>
          </w:rPr>
        </w:r>
        <w:r w:rsidR="00054AA5">
          <w:rPr>
            <w:noProof/>
            <w:webHidden/>
          </w:rPr>
          <w:fldChar w:fldCharType="separate"/>
        </w:r>
        <w:r w:rsidR="0047246D">
          <w:rPr>
            <w:noProof/>
            <w:webHidden/>
          </w:rPr>
          <w:t>66</w:t>
        </w:r>
        <w:r w:rsidR="00054AA5">
          <w:rPr>
            <w:noProof/>
            <w:webHidden/>
          </w:rPr>
          <w:fldChar w:fldCharType="end"/>
        </w:r>
      </w:hyperlink>
    </w:p>
    <w:p w14:paraId="1CF2EAC7" w14:textId="518F889D" w:rsidR="00054AA5" w:rsidRDefault="0029595B">
      <w:pPr>
        <w:pStyle w:val="TDC2"/>
        <w:rPr>
          <w:rFonts w:asciiTheme="minorHAnsi" w:eastAsiaTheme="minorEastAsia" w:hAnsiTheme="minorHAnsi" w:cstheme="minorBidi"/>
          <w:noProof/>
          <w:sz w:val="22"/>
          <w:szCs w:val="22"/>
          <w:lang w:val="es-GT" w:eastAsia="es-GT"/>
        </w:rPr>
      </w:pPr>
      <w:hyperlink w:anchor="_Toc142920571" w:history="1">
        <w:r w:rsidR="00054AA5" w:rsidRPr="00565C7E">
          <w:rPr>
            <w:rStyle w:val="Hipervnculo"/>
            <w:noProof/>
          </w:rPr>
          <w:t>B.</w:t>
        </w:r>
        <w:r w:rsidR="00054AA5">
          <w:rPr>
            <w:rFonts w:asciiTheme="minorHAnsi" w:eastAsiaTheme="minorEastAsia" w:hAnsiTheme="minorHAnsi" w:cstheme="minorBidi"/>
            <w:noProof/>
            <w:sz w:val="22"/>
            <w:szCs w:val="22"/>
            <w:lang w:val="es-GT" w:eastAsia="es-GT"/>
          </w:rPr>
          <w:tab/>
        </w:r>
        <w:r w:rsidR="00054AA5" w:rsidRPr="00565C7E">
          <w:rPr>
            <w:rStyle w:val="Hipervnculo"/>
            <w:noProof/>
          </w:rPr>
          <w:t>Otras Acciones sobre Transparencia Fiscal</w:t>
        </w:r>
        <w:r w:rsidR="00054AA5">
          <w:rPr>
            <w:noProof/>
            <w:webHidden/>
          </w:rPr>
          <w:tab/>
        </w:r>
        <w:r w:rsidR="00054AA5">
          <w:rPr>
            <w:noProof/>
            <w:webHidden/>
          </w:rPr>
          <w:fldChar w:fldCharType="begin"/>
        </w:r>
        <w:r w:rsidR="00054AA5">
          <w:rPr>
            <w:noProof/>
            <w:webHidden/>
          </w:rPr>
          <w:instrText xml:space="preserve"> PAGEREF _Toc142920571 \h </w:instrText>
        </w:r>
        <w:r w:rsidR="00054AA5">
          <w:rPr>
            <w:noProof/>
            <w:webHidden/>
          </w:rPr>
        </w:r>
        <w:r w:rsidR="00054AA5">
          <w:rPr>
            <w:noProof/>
            <w:webHidden/>
          </w:rPr>
          <w:fldChar w:fldCharType="separate"/>
        </w:r>
        <w:r w:rsidR="0047246D">
          <w:rPr>
            <w:noProof/>
            <w:webHidden/>
          </w:rPr>
          <w:t>69</w:t>
        </w:r>
        <w:r w:rsidR="00054AA5">
          <w:rPr>
            <w:noProof/>
            <w:webHidden/>
          </w:rPr>
          <w:fldChar w:fldCharType="end"/>
        </w:r>
      </w:hyperlink>
    </w:p>
    <w:p w14:paraId="61492869" w14:textId="3E11D256" w:rsidR="009C2D46" w:rsidRPr="002414D8" w:rsidRDefault="007C7DEE" w:rsidP="002414D8">
      <w:pPr>
        <w:ind w:right="-142"/>
        <w:jc w:val="both"/>
      </w:pPr>
      <w:r w:rsidRPr="00C87438">
        <w:rPr>
          <w:b/>
          <w:bCs/>
          <w:highlight w:val="yellow"/>
        </w:rPr>
        <w:fldChar w:fldCharType="end"/>
      </w:r>
      <w:r w:rsidR="0079575B" w:rsidRPr="0079575B">
        <w:rPr>
          <w:b/>
          <w:bCs/>
        </w:rPr>
        <w:t xml:space="preserve"> </w:t>
      </w:r>
      <w:r w:rsidR="002414D8" w:rsidRPr="002414D8">
        <w:rPr>
          <w:bCs/>
        </w:rPr>
        <w:t>V</w:t>
      </w:r>
      <w:r w:rsidR="002414D8">
        <w:rPr>
          <w:bCs/>
        </w:rPr>
        <w:t xml:space="preserve">.  </w:t>
      </w:r>
      <w:r w:rsidR="00374F6F">
        <w:rPr>
          <w:bCs/>
        </w:rPr>
        <w:t xml:space="preserve"> </w:t>
      </w:r>
      <w:r w:rsidR="002414D8">
        <w:rPr>
          <w:bCs/>
        </w:rPr>
        <w:t xml:space="preserve"> Anexos……………………………………………</w:t>
      </w:r>
      <w:r w:rsidR="00183DDF">
        <w:rPr>
          <w:bCs/>
        </w:rPr>
        <w:t>……</w:t>
      </w:r>
      <w:r w:rsidR="00114321">
        <w:rPr>
          <w:bCs/>
        </w:rPr>
        <w:t>……</w:t>
      </w:r>
      <w:r w:rsidR="000C79C3">
        <w:rPr>
          <w:bCs/>
        </w:rPr>
        <w:t>..</w:t>
      </w:r>
      <w:r w:rsidR="002414D8">
        <w:rPr>
          <w:bCs/>
        </w:rPr>
        <w:t>…………</w:t>
      </w:r>
      <w:r w:rsidR="00183DDF">
        <w:rPr>
          <w:bCs/>
        </w:rPr>
        <w:t>…</w:t>
      </w:r>
      <w:r w:rsidR="00114321">
        <w:rPr>
          <w:bCs/>
        </w:rPr>
        <w:t>……</w:t>
      </w:r>
      <w:r w:rsidR="002414D8">
        <w:rPr>
          <w:bCs/>
        </w:rPr>
        <w:t>……</w:t>
      </w:r>
      <w:r w:rsidR="002414D8" w:rsidRPr="00C823CD">
        <w:rPr>
          <w:bCs/>
        </w:rPr>
        <w:t>…</w:t>
      </w:r>
      <w:r w:rsidR="0017501D">
        <w:rPr>
          <w:bCs/>
        </w:rPr>
        <w:t>7</w:t>
      </w:r>
      <w:r w:rsidR="00054AA5">
        <w:rPr>
          <w:bCs/>
        </w:rPr>
        <w:t>3</w:t>
      </w:r>
    </w:p>
    <w:p w14:paraId="4EA0203B" w14:textId="77777777" w:rsidR="00700218" w:rsidRPr="00C87438" w:rsidRDefault="00700218" w:rsidP="0090230E">
      <w:pPr>
        <w:pStyle w:val="Prrafodelista"/>
        <w:tabs>
          <w:tab w:val="left" w:pos="870"/>
        </w:tabs>
        <w:ind w:left="720"/>
        <w:contextualSpacing/>
        <w:jc w:val="right"/>
        <w:rPr>
          <w:highlight w:val="yellow"/>
        </w:rPr>
      </w:pPr>
    </w:p>
    <w:p w14:paraId="70015A56" w14:textId="2E4EE7F2" w:rsidR="00612210" w:rsidRDefault="00612210">
      <w:pPr>
        <w:rPr>
          <w:highlight w:val="yellow"/>
          <w:lang w:val="es-MX"/>
        </w:rPr>
      </w:pPr>
      <w:r w:rsidRPr="00C87438">
        <w:rPr>
          <w:highlight w:val="yellow"/>
          <w:lang w:val="es-MX"/>
        </w:rPr>
        <w:br w:type="page"/>
      </w:r>
    </w:p>
    <w:p w14:paraId="2425011D" w14:textId="77777777" w:rsidR="00D56E1A" w:rsidRDefault="00D56E1A">
      <w:pPr>
        <w:rPr>
          <w:highlight w:val="yellow"/>
          <w:lang w:val="es-MX"/>
        </w:rPr>
      </w:pPr>
    </w:p>
    <w:p w14:paraId="7EF38C73" w14:textId="77777777" w:rsidR="00520B7E" w:rsidRDefault="00520B7E" w:rsidP="00520B7E">
      <w:pPr>
        <w:pStyle w:val="Ttulo1"/>
        <w:numPr>
          <w:ilvl w:val="0"/>
          <w:numId w:val="2"/>
        </w:numPr>
        <w:tabs>
          <w:tab w:val="num" w:pos="0"/>
        </w:tabs>
        <w:suppressAutoHyphens/>
        <w:ind w:left="709"/>
      </w:pPr>
      <w:bookmarkStart w:id="1" w:name="_Toc47610370"/>
      <w:bookmarkStart w:id="2" w:name="_Toc142920532"/>
      <w:bookmarkStart w:id="3" w:name="_Toc4742458"/>
      <w:bookmarkStart w:id="4" w:name="_Toc417992518"/>
      <w:r w:rsidRPr="00DD2DF7">
        <w:t>Entorno Macroeconómico</w:t>
      </w:r>
      <w:bookmarkEnd w:id="1"/>
      <w:bookmarkEnd w:id="2"/>
    </w:p>
    <w:p w14:paraId="606017AE" w14:textId="77777777" w:rsidR="00344C28" w:rsidRPr="00713CAB" w:rsidRDefault="00344C28" w:rsidP="00344C28"/>
    <w:p w14:paraId="345DE7F6" w14:textId="77777777" w:rsidR="00E65A70" w:rsidRPr="0059599D" w:rsidRDefault="00E65A70" w:rsidP="00E65A70">
      <w:pPr>
        <w:pStyle w:val="Ttulo2"/>
        <w:rPr>
          <w:rFonts w:ascii="Times New Roman" w:hAnsi="Times New Roman"/>
          <w:color w:val="auto"/>
          <w:sz w:val="24"/>
          <w:lang w:val="es-MX"/>
        </w:rPr>
      </w:pPr>
      <w:bookmarkStart w:id="5" w:name="_Toc141105920"/>
      <w:bookmarkStart w:id="6" w:name="_Toc142920533"/>
      <w:r w:rsidRPr="0059599D">
        <w:rPr>
          <w:rFonts w:ascii="Times New Roman" w:hAnsi="Times New Roman"/>
          <w:color w:val="auto"/>
          <w:sz w:val="24"/>
          <w:lang w:val="es-MX"/>
        </w:rPr>
        <w:t>Entorno Macroeconómico Internacional</w:t>
      </w:r>
      <w:bookmarkEnd w:id="5"/>
      <w:bookmarkEnd w:id="6"/>
    </w:p>
    <w:p w14:paraId="1198AA74" w14:textId="77777777" w:rsidR="00E65A70" w:rsidRPr="0067759F" w:rsidRDefault="00E65A70" w:rsidP="00E65A70">
      <w:pPr>
        <w:pStyle w:val="Ttulo1"/>
        <w:numPr>
          <w:ilvl w:val="0"/>
          <w:numId w:val="0"/>
        </w:numPr>
        <w:suppressAutoHyphens/>
        <w:ind w:left="709"/>
        <w:rPr>
          <w:sz w:val="32"/>
          <w:lang w:val="es-MX"/>
        </w:rPr>
      </w:pPr>
    </w:p>
    <w:p w14:paraId="28CFCEB4" w14:textId="3DAAFF99" w:rsidR="00E65A70" w:rsidRDefault="00E65A70" w:rsidP="00E65A70">
      <w:pPr>
        <w:pStyle w:val="Default"/>
        <w:shd w:val="clear" w:color="auto" w:fill="FFFFFF" w:themeFill="background1"/>
        <w:jc w:val="both"/>
        <w:rPr>
          <w:rFonts w:ascii="Times New Roman" w:hAnsi="Times New Roman" w:cs="Times New Roman"/>
          <w:lang w:val="es-GT"/>
        </w:rPr>
      </w:pPr>
      <w:r w:rsidRPr="00766115">
        <w:rPr>
          <w:rFonts w:ascii="Times New Roman" w:hAnsi="Times New Roman" w:cs="Times New Roman"/>
          <w:lang w:val="es-GT"/>
        </w:rPr>
        <w:t>De acuerdo con el Fondo Monetario Internacional, las tenues señales a comienzos de 2023 de que la economía mundial podría logar un aterrizaje suave con inflación a la baja y crecimiento firme se han disipado, en medio de una inflación persistentemente alta y de las recientes turbulencias en el sector financiero. Si bien la inflación ha disminuido, debido a la subida de las tasas de interés por parte de los bancos centrales, y a la reducción de los precios de la energía y los alimentos, las presiones subyacentes de los precios están resultando pertinaces, ante la escasez de la mano de obra en varias economías.</w:t>
      </w:r>
    </w:p>
    <w:p w14:paraId="47398976" w14:textId="77777777" w:rsidR="00E65A70" w:rsidRPr="0067759F" w:rsidRDefault="00E65A70" w:rsidP="00E65A70">
      <w:pPr>
        <w:pStyle w:val="Default"/>
        <w:shd w:val="clear" w:color="auto" w:fill="FFFFFF" w:themeFill="background1"/>
        <w:jc w:val="both"/>
        <w:rPr>
          <w:rFonts w:ascii="Times New Roman" w:hAnsi="Times New Roman" w:cs="Times New Roman"/>
          <w:sz w:val="32"/>
          <w:lang w:val="es-GT"/>
        </w:rPr>
      </w:pPr>
    </w:p>
    <w:p w14:paraId="055B44F2" w14:textId="6BA29512" w:rsidR="00E65A70" w:rsidRDefault="00E65A70" w:rsidP="00E65A70">
      <w:pPr>
        <w:pStyle w:val="Default"/>
        <w:shd w:val="clear" w:color="auto" w:fill="FFFFFF" w:themeFill="background1"/>
        <w:jc w:val="both"/>
        <w:rPr>
          <w:rFonts w:ascii="Times New Roman" w:hAnsi="Times New Roman" w:cs="Times New Roman"/>
          <w:lang w:val="es-GT"/>
        </w:rPr>
      </w:pPr>
      <w:r w:rsidRPr="00766115">
        <w:rPr>
          <w:rFonts w:ascii="Times New Roman" w:hAnsi="Times New Roman" w:cs="Times New Roman"/>
          <w:lang w:val="es-GT"/>
        </w:rPr>
        <w:t>Al mismo tiempo, otras fuerzas importantes que incidieron en la economía mundial en 2022 parecen subsistir este año, pero con diferentes intensidades. Los niveles de deuda siguen siendo elevados, y eso limita la capacidad de las autoridades fiscales para responder a nuevos retos. Los precios de las materias primas, que subieron acusadamente tras la invasión rusa de Ucrania, se han moderado, pero la guerra continúa, y las tensiones geopolíticas son agudas. Variantes infecciosas de C</w:t>
      </w:r>
      <w:r w:rsidR="0063658B">
        <w:rPr>
          <w:rFonts w:ascii="Times New Roman" w:hAnsi="Times New Roman" w:cs="Times New Roman"/>
          <w:lang w:val="es-GT"/>
        </w:rPr>
        <w:t>ovid</w:t>
      </w:r>
      <w:r w:rsidRPr="00766115">
        <w:rPr>
          <w:rFonts w:ascii="Times New Roman" w:hAnsi="Times New Roman" w:cs="Times New Roman"/>
          <w:lang w:val="es-GT"/>
        </w:rPr>
        <w:t>-19 causaron brotes generalizados el año pasado, pero las economías que se vieron golpeadas con fuerza sobre todo Chin</w:t>
      </w:r>
      <w:r>
        <w:rPr>
          <w:rFonts w:ascii="Times New Roman" w:hAnsi="Times New Roman" w:cs="Times New Roman"/>
          <w:lang w:val="es-GT"/>
        </w:rPr>
        <w:t>a,</w:t>
      </w:r>
      <w:r w:rsidRPr="00766115">
        <w:rPr>
          <w:rFonts w:ascii="Times New Roman" w:hAnsi="Times New Roman" w:cs="Times New Roman"/>
          <w:lang w:val="es-GT"/>
        </w:rPr>
        <w:t xml:space="preserve"> parecen estar recuperándose, con lo cual </w:t>
      </w:r>
      <w:r>
        <w:rPr>
          <w:rFonts w:ascii="Times New Roman" w:hAnsi="Times New Roman" w:cs="Times New Roman"/>
          <w:lang w:val="es-GT"/>
        </w:rPr>
        <w:t>se</w:t>
      </w:r>
      <w:r w:rsidRPr="00766115">
        <w:rPr>
          <w:rFonts w:ascii="Times New Roman" w:hAnsi="Times New Roman" w:cs="Times New Roman"/>
          <w:lang w:val="es-GT"/>
        </w:rPr>
        <w:t xml:space="preserve"> disip</w:t>
      </w:r>
      <w:r>
        <w:rPr>
          <w:rFonts w:ascii="Times New Roman" w:hAnsi="Times New Roman" w:cs="Times New Roman"/>
          <w:lang w:val="es-GT"/>
        </w:rPr>
        <w:t xml:space="preserve">an </w:t>
      </w:r>
      <w:r w:rsidRPr="00766115">
        <w:rPr>
          <w:rFonts w:ascii="Times New Roman" w:hAnsi="Times New Roman" w:cs="Times New Roman"/>
          <w:lang w:val="es-GT"/>
        </w:rPr>
        <w:t>los problemas en las cadenas de suministros. Pese a los estímulos derivados de los menores precios de los alimentos y la energía y del mejor funcionamiento de las cadenas de suministros, los riesgos están firmemente inclinados a la baja debido al aumento de la incertidumbre tras la reciente turbulencia en el sector financiero</w:t>
      </w:r>
      <w:r w:rsidR="0063658B">
        <w:rPr>
          <w:rFonts w:ascii="Times New Roman" w:hAnsi="Times New Roman" w:cs="Times New Roman"/>
          <w:lang w:val="es-GT"/>
        </w:rPr>
        <w:t>.</w:t>
      </w:r>
    </w:p>
    <w:p w14:paraId="1970998F" w14:textId="77777777" w:rsidR="00E65A70" w:rsidRPr="0067759F" w:rsidRDefault="00E65A70" w:rsidP="00E65A70">
      <w:pPr>
        <w:pStyle w:val="Default"/>
        <w:shd w:val="clear" w:color="auto" w:fill="FFFFFF" w:themeFill="background1"/>
        <w:jc w:val="both"/>
        <w:rPr>
          <w:rFonts w:ascii="Times New Roman" w:hAnsi="Times New Roman" w:cs="Times New Roman"/>
          <w:sz w:val="32"/>
          <w:lang w:val="es-GT"/>
        </w:rPr>
      </w:pPr>
    </w:p>
    <w:p w14:paraId="0FBFCBC8" w14:textId="3A37BA2E" w:rsidR="00E65A70" w:rsidRPr="007E0DF8" w:rsidRDefault="00E65A70" w:rsidP="00E65A70">
      <w:pPr>
        <w:pStyle w:val="Default"/>
        <w:shd w:val="clear" w:color="auto" w:fill="FFFFFF" w:themeFill="background1"/>
        <w:jc w:val="both"/>
        <w:rPr>
          <w:rFonts w:ascii="Times New Roman" w:hAnsi="Times New Roman" w:cs="Times New Roman"/>
        </w:rPr>
      </w:pPr>
      <w:r w:rsidRPr="00766115">
        <w:rPr>
          <w:rFonts w:ascii="Times New Roman" w:hAnsi="Times New Roman" w:cs="Times New Roman"/>
          <w:lang w:val="es-GT"/>
        </w:rPr>
        <w:t>Según el pronóstico de base,</w:t>
      </w:r>
      <w:r>
        <w:rPr>
          <w:rFonts w:ascii="Times New Roman" w:hAnsi="Times New Roman" w:cs="Times New Roman"/>
          <w:lang w:val="es-GT"/>
        </w:rPr>
        <w:t xml:space="preserve"> l</w:t>
      </w:r>
      <w:r w:rsidRPr="000505B4">
        <w:rPr>
          <w:rFonts w:ascii="Times New Roman" w:hAnsi="Times New Roman" w:cs="Times New Roman"/>
          <w:lang w:val="es-GT"/>
        </w:rPr>
        <w:t xml:space="preserve">os riesgos para las perspectivas están muy sesgados hacia un empeoramiento de la situación, y las probabilidades de que se produzca un aterrizaje brusco han aumentado notablemente. La tensión en el sector financiero podría amplificarse y el contagio podría extenderse, debilitando la economía real al registrarse un marcado deterioro de las condiciones de financiamiento y obligando a los bancos centrales a reconsiderar la trayectoria de sus políticas. En el contexto de mayores costos de endeudamiento y menor crecimiento, los focos de sobreendeudamiento soberano podrán expandirse y tornarse más sistémicos. La guerra en Ucrania podría intensificarse y provocar más escaladas de los precios de los alimentos y la energía, con el consiguiente aumento </w:t>
      </w:r>
      <w:r>
        <w:rPr>
          <w:rFonts w:ascii="Times New Roman" w:hAnsi="Times New Roman" w:cs="Times New Roman"/>
        </w:rPr>
        <w:t xml:space="preserve">(Fondo Monetario Internacional. </w:t>
      </w:r>
      <w:r w:rsidRPr="007E0DF8">
        <w:rPr>
          <w:rFonts w:ascii="Times New Roman" w:hAnsi="Times New Roman" w:cs="Times New Roman"/>
        </w:rPr>
        <w:t xml:space="preserve">Actualización </w:t>
      </w:r>
      <w:r>
        <w:rPr>
          <w:rFonts w:ascii="Times New Roman" w:hAnsi="Times New Roman" w:cs="Times New Roman"/>
        </w:rPr>
        <w:t>d</w:t>
      </w:r>
      <w:r w:rsidRPr="007E0DF8">
        <w:rPr>
          <w:rFonts w:ascii="Times New Roman" w:hAnsi="Times New Roman" w:cs="Times New Roman"/>
        </w:rPr>
        <w:t xml:space="preserve">e Perspectivas </w:t>
      </w:r>
      <w:r>
        <w:rPr>
          <w:rFonts w:ascii="Times New Roman" w:hAnsi="Times New Roman" w:cs="Times New Roman"/>
        </w:rPr>
        <w:t>d</w:t>
      </w:r>
      <w:r w:rsidRPr="007E0DF8">
        <w:rPr>
          <w:rFonts w:ascii="Times New Roman" w:hAnsi="Times New Roman" w:cs="Times New Roman"/>
        </w:rPr>
        <w:t xml:space="preserve">e </w:t>
      </w:r>
      <w:r>
        <w:rPr>
          <w:rFonts w:ascii="Times New Roman" w:hAnsi="Times New Roman" w:cs="Times New Roman"/>
        </w:rPr>
        <w:t>l</w:t>
      </w:r>
      <w:r w:rsidRPr="007E0DF8">
        <w:rPr>
          <w:rFonts w:ascii="Times New Roman" w:hAnsi="Times New Roman" w:cs="Times New Roman"/>
        </w:rPr>
        <w:t xml:space="preserve">a Economía Mundial: </w:t>
      </w:r>
      <w:r w:rsidR="00A056C3">
        <w:rPr>
          <w:rFonts w:ascii="Times New Roman" w:hAnsi="Times New Roman" w:cs="Times New Roman"/>
        </w:rPr>
        <w:t xml:space="preserve"> </w:t>
      </w:r>
      <w:r w:rsidRPr="00766115">
        <w:rPr>
          <w:rFonts w:ascii="Times New Roman" w:hAnsi="Times New Roman" w:cs="Times New Roman"/>
          <w:lang w:val="es-GT"/>
        </w:rPr>
        <w:t xml:space="preserve">Una </w:t>
      </w:r>
      <w:r w:rsidR="0063658B">
        <w:rPr>
          <w:rFonts w:ascii="Times New Roman" w:hAnsi="Times New Roman" w:cs="Times New Roman"/>
          <w:lang w:val="es-GT"/>
        </w:rPr>
        <w:t>R</w:t>
      </w:r>
      <w:r w:rsidRPr="00766115">
        <w:rPr>
          <w:rFonts w:ascii="Times New Roman" w:hAnsi="Times New Roman" w:cs="Times New Roman"/>
          <w:lang w:val="es-GT"/>
        </w:rPr>
        <w:t xml:space="preserve">ecuperación </w:t>
      </w:r>
      <w:r w:rsidR="0063658B">
        <w:rPr>
          <w:rFonts w:ascii="Times New Roman" w:hAnsi="Times New Roman" w:cs="Times New Roman"/>
          <w:lang w:val="es-GT"/>
        </w:rPr>
        <w:t>A</w:t>
      </w:r>
      <w:r w:rsidRPr="00766115">
        <w:rPr>
          <w:rFonts w:ascii="Times New Roman" w:hAnsi="Times New Roman" w:cs="Times New Roman"/>
          <w:lang w:val="es-GT"/>
        </w:rPr>
        <w:t>ccidentada</w:t>
      </w:r>
      <w:r w:rsidR="00565826">
        <w:rPr>
          <w:rFonts w:ascii="Times New Roman" w:hAnsi="Times New Roman" w:cs="Times New Roman"/>
          <w:lang w:val="es-GT"/>
        </w:rPr>
        <w:t>;</w:t>
      </w:r>
      <w:r>
        <w:rPr>
          <w:rFonts w:ascii="Times New Roman" w:hAnsi="Times New Roman" w:cs="Times New Roman"/>
        </w:rPr>
        <w:t xml:space="preserve"> </w:t>
      </w:r>
      <w:r w:rsidR="00565826">
        <w:rPr>
          <w:rFonts w:ascii="Times New Roman" w:hAnsi="Times New Roman" w:cs="Times New Roman"/>
        </w:rPr>
        <w:t>a</w:t>
      </w:r>
      <w:r>
        <w:rPr>
          <w:rFonts w:ascii="Times New Roman" w:hAnsi="Times New Roman" w:cs="Times New Roman"/>
        </w:rPr>
        <w:t xml:space="preserve">bril </w:t>
      </w:r>
      <w:r w:rsidR="0063658B">
        <w:rPr>
          <w:rFonts w:ascii="Times New Roman" w:hAnsi="Times New Roman" w:cs="Times New Roman"/>
        </w:rPr>
        <w:t xml:space="preserve">de </w:t>
      </w:r>
      <w:r>
        <w:rPr>
          <w:rFonts w:ascii="Times New Roman" w:hAnsi="Times New Roman" w:cs="Times New Roman"/>
        </w:rPr>
        <w:t>2023).</w:t>
      </w:r>
    </w:p>
    <w:p w14:paraId="4BF98069" w14:textId="77777777" w:rsidR="00E65A70" w:rsidRDefault="00E65A70" w:rsidP="00E65A70">
      <w:pPr>
        <w:pStyle w:val="Default"/>
        <w:jc w:val="both"/>
        <w:rPr>
          <w:rFonts w:ascii="Times New Roman" w:hAnsi="Times New Roman" w:cs="Times New Roman"/>
        </w:rPr>
      </w:pPr>
    </w:p>
    <w:p w14:paraId="3DC0244C" w14:textId="77777777" w:rsidR="00E65A70" w:rsidRDefault="00E65A70" w:rsidP="00E65A70">
      <w:pPr>
        <w:pStyle w:val="Default"/>
        <w:jc w:val="both"/>
        <w:rPr>
          <w:rFonts w:ascii="Times New Roman" w:hAnsi="Times New Roman" w:cs="Times New Roman"/>
        </w:rPr>
      </w:pPr>
    </w:p>
    <w:p w14:paraId="0F3D3D85" w14:textId="2187E30B" w:rsidR="00E65A70" w:rsidRDefault="00E65A70" w:rsidP="00E65A70">
      <w:pPr>
        <w:pStyle w:val="Sinespaciado"/>
        <w:ind w:left="567" w:right="49"/>
        <w:jc w:val="center"/>
        <w:rPr>
          <w:rFonts w:ascii="Times New Roman" w:hAnsi="Times New Roman"/>
          <w:lang w:val="es-ES" w:eastAsia="es-ES"/>
        </w:rPr>
      </w:pPr>
    </w:p>
    <w:p w14:paraId="751DD710" w14:textId="14D07840" w:rsidR="0067759F" w:rsidRDefault="0067759F" w:rsidP="00E65A70">
      <w:pPr>
        <w:pStyle w:val="Sinespaciado"/>
        <w:ind w:left="567" w:right="49"/>
        <w:jc w:val="center"/>
        <w:rPr>
          <w:rFonts w:ascii="Times New Roman" w:hAnsi="Times New Roman"/>
          <w:lang w:val="es-ES" w:eastAsia="es-ES"/>
        </w:rPr>
      </w:pPr>
    </w:p>
    <w:p w14:paraId="1CA1F769" w14:textId="0C9D278D" w:rsidR="0067759F" w:rsidRDefault="0067759F" w:rsidP="00E65A70">
      <w:pPr>
        <w:pStyle w:val="Sinespaciado"/>
        <w:ind w:left="567" w:right="49"/>
        <w:jc w:val="center"/>
        <w:rPr>
          <w:rFonts w:ascii="Times New Roman" w:hAnsi="Times New Roman"/>
          <w:lang w:val="es-ES" w:eastAsia="es-ES"/>
        </w:rPr>
      </w:pPr>
    </w:p>
    <w:p w14:paraId="04030CBD" w14:textId="77777777" w:rsidR="0067759F" w:rsidRPr="00824132" w:rsidRDefault="0067759F" w:rsidP="00E65A70">
      <w:pPr>
        <w:pStyle w:val="Sinespaciado"/>
        <w:ind w:left="567" w:right="49"/>
        <w:jc w:val="center"/>
        <w:rPr>
          <w:rFonts w:ascii="Times New Roman" w:hAnsi="Times New Roman"/>
          <w:lang w:val="es-ES" w:eastAsia="es-ES"/>
        </w:rPr>
      </w:pPr>
    </w:p>
    <w:p w14:paraId="3B6DDCDA" w14:textId="77777777" w:rsidR="00E65A70" w:rsidRDefault="00E65A70" w:rsidP="00E65A70">
      <w:pPr>
        <w:jc w:val="center"/>
        <w:rPr>
          <w:b/>
        </w:rPr>
      </w:pPr>
    </w:p>
    <w:p w14:paraId="00BE6041" w14:textId="77777777" w:rsidR="00E65A70" w:rsidRDefault="00E65A70" w:rsidP="00E65A70">
      <w:pPr>
        <w:jc w:val="center"/>
        <w:rPr>
          <w:b/>
        </w:rPr>
      </w:pPr>
    </w:p>
    <w:p w14:paraId="227F54EA" w14:textId="77777777" w:rsidR="00E65A70" w:rsidRDefault="00E65A70" w:rsidP="00E65A70">
      <w:pPr>
        <w:jc w:val="center"/>
        <w:rPr>
          <w:b/>
        </w:rPr>
      </w:pPr>
    </w:p>
    <w:p w14:paraId="09E94A70" w14:textId="77777777" w:rsidR="00E65A70" w:rsidRPr="00824132" w:rsidRDefault="00E65A70" w:rsidP="00E65A70">
      <w:pPr>
        <w:jc w:val="center"/>
        <w:rPr>
          <w:b/>
        </w:rPr>
      </w:pPr>
      <w:r w:rsidRPr="00824132">
        <w:rPr>
          <w:b/>
        </w:rPr>
        <w:t>Cuadro 1</w:t>
      </w:r>
    </w:p>
    <w:p w14:paraId="55D956DB" w14:textId="54480D59" w:rsidR="00E65A70" w:rsidRDefault="00E65A70" w:rsidP="00E65A70">
      <w:pPr>
        <w:jc w:val="center"/>
        <w:rPr>
          <w:b/>
        </w:rPr>
      </w:pPr>
      <w:r w:rsidRPr="00824132">
        <w:rPr>
          <w:b/>
        </w:rPr>
        <w:t xml:space="preserve">Perspectivas de las </w:t>
      </w:r>
      <w:r w:rsidR="00A52B98">
        <w:rPr>
          <w:b/>
        </w:rPr>
        <w:t>P</w:t>
      </w:r>
      <w:r w:rsidRPr="00824132">
        <w:rPr>
          <w:b/>
        </w:rPr>
        <w:t xml:space="preserve">rincipales </w:t>
      </w:r>
      <w:r w:rsidR="00A52B98">
        <w:rPr>
          <w:b/>
        </w:rPr>
        <w:t>E</w:t>
      </w:r>
      <w:r w:rsidRPr="00824132">
        <w:rPr>
          <w:b/>
        </w:rPr>
        <w:t xml:space="preserve">conomías a </w:t>
      </w:r>
      <w:r w:rsidR="00A52B98">
        <w:rPr>
          <w:b/>
        </w:rPr>
        <w:t>N</w:t>
      </w:r>
      <w:r w:rsidRPr="00824132">
        <w:rPr>
          <w:b/>
        </w:rPr>
        <w:t xml:space="preserve">ivel </w:t>
      </w:r>
      <w:r w:rsidR="00A52B98">
        <w:rPr>
          <w:b/>
        </w:rPr>
        <w:t>M</w:t>
      </w:r>
      <w:r w:rsidRPr="00824132">
        <w:rPr>
          <w:b/>
        </w:rPr>
        <w:t>undial</w:t>
      </w:r>
    </w:p>
    <w:p w14:paraId="4B89298C" w14:textId="2AD78D1E" w:rsidR="00E65A70" w:rsidRDefault="00A52B98" w:rsidP="0067759F">
      <w:pPr>
        <w:jc w:val="center"/>
        <w:rPr>
          <w:rFonts w:asciiTheme="minorHAnsi" w:eastAsiaTheme="minorHAnsi" w:hAnsiTheme="minorHAnsi" w:cstheme="minorBidi"/>
          <w:sz w:val="22"/>
          <w:szCs w:val="22"/>
        </w:rPr>
      </w:pPr>
      <w:r>
        <w:rPr>
          <w:b/>
        </w:rPr>
        <w:t>(</w:t>
      </w:r>
      <w:r w:rsidR="0067759F">
        <w:rPr>
          <w:b/>
        </w:rPr>
        <w:t>V</w:t>
      </w:r>
      <w:r>
        <w:rPr>
          <w:b/>
        </w:rPr>
        <w:t>ariación Porcentual)</w:t>
      </w:r>
      <w:r w:rsidR="00E65A70">
        <w:rPr>
          <w:rFonts w:ascii="Arial" w:hAnsi="Arial" w:cs="Arial"/>
        </w:rPr>
        <w:fldChar w:fldCharType="begin"/>
      </w:r>
      <w:r w:rsidR="00E65A70">
        <w:instrText xml:space="preserve"> LINK Excel.Sheet.12 "C:\\Informe Semestral de la actividad economica\\Cuadros informe al 1er semestre 2023 al 240723.xlsx" "Crecimiento mundial!F4C2:F22C6" \a \f 4 \h  \* MERGEFORMAT </w:instrText>
      </w:r>
      <w:r w:rsidR="00E65A70">
        <w:rPr>
          <w:rFonts w:ascii="Arial" w:hAnsi="Arial" w:cs="Arial"/>
        </w:rPr>
        <w:fldChar w:fldCharType="separate"/>
      </w:r>
    </w:p>
    <w:tbl>
      <w:tblPr>
        <w:tblW w:w="8920"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4120"/>
        <w:gridCol w:w="1200"/>
        <w:gridCol w:w="1200"/>
        <w:gridCol w:w="1200"/>
        <w:gridCol w:w="1200"/>
      </w:tblGrid>
      <w:tr w:rsidR="00E65A70" w:rsidRPr="00403AB4" w14:paraId="1BF547A1" w14:textId="77777777" w:rsidTr="00A52B98">
        <w:trPr>
          <w:trHeight w:val="402"/>
        </w:trPr>
        <w:tc>
          <w:tcPr>
            <w:tcW w:w="4120" w:type="dxa"/>
            <w:shd w:val="clear" w:color="auto" w:fill="00B0F0"/>
            <w:noWrap/>
            <w:vAlign w:val="center"/>
            <w:hideMark/>
          </w:tcPr>
          <w:p w14:paraId="680BC695" w14:textId="054C01B6" w:rsidR="00E65A70" w:rsidRPr="00403AB4" w:rsidRDefault="00A52B98" w:rsidP="00A52B98">
            <w:pPr>
              <w:jc w:val="center"/>
              <w:rPr>
                <w:b/>
                <w:color w:val="000000"/>
                <w:sz w:val="22"/>
                <w:szCs w:val="22"/>
                <w:lang w:val="es-GT" w:eastAsia="es-GT"/>
              </w:rPr>
            </w:pPr>
            <w:r w:rsidRPr="00403AB4">
              <w:rPr>
                <w:b/>
                <w:color w:val="000000"/>
                <w:sz w:val="22"/>
                <w:szCs w:val="22"/>
                <w:lang w:val="es-GT" w:eastAsia="es-GT"/>
              </w:rPr>
              <w:t>Descripción</w:t>
            </w:r>
          </w:p>
        </w:tc>
        <w:tc>
          <w:tcPr>
            <w:tcW w:w="1200" w:type="dxa"/>
            <w:shd w:val="clear" w:color="auto" w:fill="00B0F0"/>
            <w:noWrap/>
            <w:vAlign w:val="center"/>
            <w:hideMark/>
          </w:tcPr>
          <w:p w14:paraId="26CE4375" w14:textId="77777777" w:rsidR="00E65A70" w:rsidRPr="00403AB4" w:rsidRDefault="00E65A70" w:rsidP="00A52B98">
            <w:pPr>
              <w:jc w:val="center"/>
              <w:rPr>
                <w:b/>
                <w:bCs/>
                <w:color w:val="000000"/>
                <w:sz w:val="22"/>
                <w:szCs w:val="22"/>
                <w:lang w:val="es-GT" w:eastAsia="es-GT"/>
              </w:rPr>
            </w:pPr>
            <w:r w:rsidRPr="00403AB4">
              <w:rPr>
                <w:b/>
                <w:bCs/>
                <w:color w:val="000000"/>
                <w:sz w:val="22"/>
                <w:szCs w:val="22"/>
                <w:lang w:val="es-GT" w:eastAsia="es-GT"/>
              </w:rPr>
              <w:t>2021</w:t>
            </w:r>
          </w:p>
        </w:tc>
        <w:tc>
          <w:tcPr>
            <w:tcW w:w="1200" w:type="dxa"/>
            <w:shd w:val="clear" w:color="auto" w:fill="00B0F0"/>
            <w:noWrap/>
            <w:vAlign w:val="center"/>
            <w:hideMark/>
          </w:tcPr>
          <w:p w14:paraId="51FEA69C" w14:textId="3411B036" w:rsidR="00E65A70" w:rsidRPr="00403AB4" w:rsidRDefault="00E65A70" w:rsidP="00A52B98">
            <w:pPr>
              <w:jc w:val="center"/>
              <w:rPr>
                <w:b/>
                <w:bCs/>
                <w:color w:val="000000"/>
                <w:sz w:val="22"/>
                <w:szCs w:val="22"/>
                <w:lang w:val="es-GT" w:eastAsia="es-GT"/>
              </w:rPr>
            </w:pPr>
            <w:r w:rsidRPr="00403AB4">
              <w:rPr>
                <w:b/>
                <w:bCs/>
                <w:color w:val="000000"/>
                <w:sz w:val="22"/>
                <w:szCs w:val="22"/>
                <w:lang w:val="es-GT" w:eastAsia="es-GT"/>
              </w:rPr>
              <w:t>2022</w:t>
            </w:r>
          </w:p>
        </w:tc>
        <w:tc>
          <w:tcPr>
            <w:tcW w:w="1200" w:type="dxa"/>
            <w:shd w:val="clear" w:color="auto" w:fill="00B0F0"/>
            <w:noWrap/>
            <w:vAlign w:val="center"/>
            <w:hideMark/>
          </w:tcPr>
          <w:p w14:paraId="314A96F9" w14:textId="77777777" w:rsidR="00E65A70" w:rsidRPr="00403AB4" w:rsidRDefault="00E65A70" w:rsidP="00A52B98">
            <w:pPr>
              <w:jc w:val="center"/>
              <w:rPr>
                <w:b/>
                <w:bCs/>
                <w:color w:val="000000"/>
                <w:sz w:val="22"/>
                <w:szCs w:val="22"/>
                <w:lang w:val="es-GT" w:eastAsia="es-GT"/>
              </w:rPr>
            </w:pPr>
            <w:r w:rsidRPr="00403AB4">
              <w:rPr>
                <w:b/>
                <w:bCs/>
                <w:color w:val="000000"/>
                <w:sz w:val="22"/>
                <w:szCs w:val="22"/>
                <w:lang w:val="es-GT" w:eastAsia="es-GT"/>
              </w:rPr>
              <w:t>2023py</w:t>
            </w:r>
          </w:p>
        </w:tc>
        <w:tc>
          <w:tcPr>
            <w:tcW w:w="1200" w:type="dxa"/>
            <w:shd w:val="clear" w:color="auto" w:fill="00B0F0"/>
            <w:noWrap/>
            <w:vAlign w:val="center"/>
            <w:hideMark/>
          </w:tcPr>
          <w:p w14:paraId="158EA24E" w14:textId="77777777" w:rsidR="00E65A70" w:rsidRPr="00403AB4" w:rsidRDefault="00E65A70" w:rsidP="00A52B98">
            <w:pPr>
              <w:jc w:val="center"/>
              <w:rPr>
                <w:b/>
                <w:bCs/>
                <w:color w:val="000000"/>
                <w:sz w:val="22"/>
                <w:szCs w:val="22"/>
                <w:lang w:val="es-GT" w:eastAsia="es-GT"/>
              </w:rPr>
            </w:pPr>
            <w:r w:rsidRPr="00403AB4">
              <w:rPr>
                <w:b/>
                <w:bCs/>
                <w:color w:val="000000"/>
                <w:sz w:val="22"/>
                <w:szCs w:val="22"/>
                <w:lang w:val="es-GT" w:eastAsia="es-GT"/>
              </w:rPr>
              <w:t>2024py</w:t>
            </w:r>
          </w:p>
        </w:tc>
      </w:tr>
      <w:tr w:rsidR="00E65A70" w:rsidRPr="00403AB4" w14:paraId="6FF3CFAE" w14:textId="77777777" w:rsidTr="00A52B98">
        <w:trPr>
          <w:trHeight w:val="315"/>
        </w:trPr>
        <w:tc>
          <w:tcPr>
            <w:tcW w:w="4120" w:type="dxa"/>
            <w:shd w:val="clear" w:color="000000" w:fill="FFFFFF"/>
            <w:noWrap/>
            <w:vAlign w:val="bottom"/>
            <w:hideMark/>
          </w:tcPr>
          <w:p w14:paraId="2BC9B54B" w14:textId="77777777" w:rsidR="00E65A70" w:rsidRPr="00403AB4" w:rsidRDefault="00E65A70" w:rsidP="00BF2538">
            <w:pPr>
              <w:rPr>
                <w:b/>
                <w:bCs/>
                <w:color w:val="000000"/>
                <w:sz w:val="22"/>
                <w:szCs w:val="22"/>
                <w:lang w:val="es-GT" w:eastAsia="es-GT"/>
              </w:rPr>
            </w:pPr>
            <w:r w:rsidRPr="00403AB4">
              <w:rPr>
                <w:b/>
                <w:bCs/>
                <w:color w:val="000000"/>
                <w:sz w:val="22"/>
                <w:szCs w:val="22"/>
                <w:lang w:val="es-GT" w:eastAsia="es-GT"/>
              </w:rPr>
              <w:t>Producto Mundial</w:t>
            </w:r>
          </w:p>
        </w:tc>
        <w:tc>
          <w:tcPr>
            <w:tcW w:w="1200" w:type="dxa"/>
            <w:shd w:val="clear" w:color="000000" w:fill="FFFFFF"/>
            <w:noWrap/>
            <w:vAlign w:val="bottom"/>
            <w:hideMark/>
          </w:tcPr>
          <w:p w14:paraId="743CD4DC"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-3.3</w:t>
            </w:r>
          </w:p>
        </w:tc>
        <w:tc>
          <w:tcPr>
            <w:tcW w:w="1200" w:type="dxa"/>
            <w:shd w:val="clear" w:color="000000" w:fill="FFFFFF"/>
            <w:noWrap/>
            <w:vAlign w:val="bottom"/>
            <w:hideMark/>
          </w:tcPr>
          <w:p w14:paraId="5CBEFB39"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5.7</w:t>
            </w:r>
          </w:p>
        </w:tc>
        <w:tc>
          <w:tcPr>
            <w:tcW w:w="1200" w:type="dxa"/>
            <w:shd w:val="clear" w:color="000000" w:fill="FFFFFF"/>
            <w:noWrap/>
            <w:vAlign w:val="bottom"/>
            <w:hideMark/>
          </w:tcPr>
          <w:p w14:paraId="25B8AAED"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2.9</w:t>
            </w:r>
          </w:p>
        </w:tc>
        <w:tc>
          <w:tcPr>
            <w:tcW w:w="1200" w:type="dxa"/>
            <w:shd w:val="clear" w:color="000000" w:fill="FFFFFF"/>
            <w:noWrap/>
            <w:vAlign w:val="bottom"/>
            <w:hideMark/>
          </w:tcPr>
          <w:p w14:paraId="38820B2F"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3.0</w:t>
            </w:r>
          </w:p>
        </w:tc>
      </w:tr>
      <w:tr w:rsidR="00E65A70" w:rsidRPr="00403AB4" w14:paraId="57CE1098" w14:textId="77777777" w:rsidTr="00A52B98">
        <w:trPr>
          <w:trHeight w:val="315"/>
        </w:trPr>
        <w:tc>
          <w:tcPr>
            <w:tcW w:w="4120" w:type="dxa"/>
            <w:shd w:val="clear" w:color="000000" w:fill="FFFFFF"/>
            <w:noWrap/>
            <w:vAlign w:val="bottom"/>
            <w:hideMark/>
          </w:tcPr>
          <w:p w14:paraId="77733C98" w14:textId="77777777" w:rsidR="00E65A70" w:rsidRPr="00403AB4" w:rsidRDefault="00E65A70" w:rsidP="00BF2538">
            <w:pPr>
              <w:rPr>
                <w:b/>
                <w:bCs/>
                <w:color w:val="000000"/>
                <w:sz w:val="22"/>
                <w:szCs w:val="22"/>
                <w:lang w:val="es-GT" w:eastAsia="es-GT"/>
              </w:rPr>
            </w:pPr>
            <w:r w:rsidRPr="00403AB4">
              <w:rPr>
                <w:b/>
                <w:bCs/>
                <w:color w:val="000000"/>
                <w:sz w:val="22"/>
                <w:szCs w:val="22"/>
                <w:lang w:val="es-GT" w:eastAsia="es-GT"/>
              </w:rPr>
              <w:t>Economías Avanzadas</w:t>
            </w:r>
          </w:p>
        </w:tc>
        <w:tc>
          <w:tcPr>
            <w:tcW w:w="1200" w:type="dxa"/>
            <w:shd w:val="clear" w:color="000000" w:fill="FFFFFF"/>
            <w:noWrap/>
            <w:vAlign w:val="center"/>
            <w:hideMark/>
          </w:tcPr>
          <w:p w14:paraId="1AE89320"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-4.6</w:t>
            </w:r>
          </w:p>
        </w:tc>
        <w:tc>
          <w:tcPr>
            <w:tcW w:w="1200" w:type="dxa"/>
            <w:shd w:val="clear" w:color="000000" w:fill="FFFFFF"/>
            <w:noWrap/>
            <w:vAlign w:val="center"/>
            <w:hideMark/>
          </w:tcPr>
          <w:p w14:paraId="6760E87F"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5.1</w:t>
            </w:r>
          </w:p>
        </w:tc>
        <w:tc>
          <w:tcPr>
            <w:tcW w:w="1200" w:type="dxa"/>
            <w:shd w:val="clear" w:color="000000" w:fill="FFFFFF"/>
            <w:noWrap/>
            <w:vAlign w:val="center"/>
            <w:hideMark/>
          </w:tcPr>
          <w:p w14:paraId="0BC440FB"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2.6</w:t>
            </w:r>
          </w:p>
        </w:tc>
        <w:tc>
          <w:tcPr>
            <w:tcW w:w="1200" w:type="dxa"/>
            <w:shd w:val="clear" w:color="000000" w:fill="FFFFFF"/>
            <w:noWrap/>
            <w:vAlign w:val="center"/>
            <w:hideMark/>
          </w:tcPr>
          <w:p w14:paraId="02FDA5CB"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2.2</w:t>
            </w:r>
          </w:p>
        </w:tc>
      </w:tr>
      <w:tr w:rsidR="00E65A70" w:rsidRPr="00403AB4" w14:paraId="6007F4DD" w14:textId="77777777" w:rsidTr="00A52B98">
        <w:trPr>
          <w:trHeight w:val="300"/>
        </w:trPr>
        <w:tc>
          <w:tcPr>
            <w:tcW w:w="4120" w:type="dxa"/>
            <w:shd w:val="clear" w:color="000000" w:fill="FFFFFF"/>
            <w:noWrap/>
            <w:vAlign w:val="bottom"/>
            <w:hideMark/>
          </w:tcPr>
          <w:p w14:paraId="175F8BBD" w14:textId="77777777" w:rsidR="00E65A70" w:rsidRPr="00403AB4" w:rsidRDefault="00E65A70" w:rsidP="00BF2538">
            <w:pPr>
              <w:ind w:firstLineChars="100" w:firstLine="220"/>
              <w:rPr>
                <w:color w:val="000000"/>
                <w:sz w:val="22"/>
                <w:szCs w:val="22"/>
                <w:lang w:val="es-GT" w:eastAsia="es-GT"/>
              </w:rPr>
            </w:pPr>
            <w:r w:rsidRPr="00403AB4">
              <w:rPr>
                <w:color w:val="000000"/>
                <w:sz w:val="22"/>
                <w:szCs w:val="22"/>
                <w:lang w:val="es-GT" w:eastAsia="es-GT"/>
              </w:rPr>
              <w:t>Estados Unidos</w:t>
            </w:r>
          </w:p>
        </w:tc>
        <w:tc>
          <w:tcPr>
            <w:tcW w:w="1200" w:type="dxa"/>
            <w:shd w:val="clear" w:color="000000" w:fill="FFFFFF"/>
            <w:noWrap/>
            <w:vAlign w:val="bottom"/>
            <w:hideMark/>
          </w:tcPr>
          <w:p w14:paraId="47808715"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-3.4</w:t>
            </w:r>
          </w:p>
        </w:tc>
        <w:tc>
          <w:tcPr>
            <w:tcW w:w="1200" w:type="dxa"/>
            <w:shd w:val="clear" w:color="000000" w:fill="FFFFFF"/>
            <w:noWrap/>
            <w:vAlign w:val="bottom"/>
            <w:hideMark/>
          </w:tcPr>
          <w:p w14:paraId="28CB1E07"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5.7</w:t>
            </w:r>
          </w:p>
        </w:tc>
        <w:tc>
          <w:tcPr>
            <w:tcW w:w="1200" w:type="dxa"/>
            <w:shd w:val="clear" w:color="000000" w:fill="FFFFFF"/>
            <w:noWrap/>
            <w:vAlign w:val="bottom"/>
            <w:hideMark/>
          </w:tcPr>
          <w:p w14:paraId="134BAD84"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2.5</w:t>
            </w:r>
          </w:p>
        </w:tc>
        <w:tc>
          <w:tcPr>
            <w:tcW w:w="1200" w:type="dxa"/>
            <w:shd w:val="clear" w:color="000000" w:fill="FFFFFF"/>
            <w:noWrap/>
            <w:vAlign w:val="bottom"/>
            <w:hideMark/>
          </w:tcPr>
          <w:p w14:paraId="594C528E"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2.4</w:t>
            </w:r>
          </w:p>
        </w:tc>
      </w:tr>
      <w:tr w:rsidR="00E65A70" w:rsidRPr="00403AB4" w14:paraId="3BB9295A" w14:textId="77777777" w:rsidTr="00A52B98">
        <w:trPr>
          <w:trHeight w:val="300"/>
        </w:trPr>
        <w:tc>
          <w:tcPr>
            <w:tcW w:w="4120" w:type="dxa"/>
            <w:shd w:val="clear" w:color="000000" w:fill="FFFFFF"/>
            <w:noWrap/>
            <w:vAlign w:val="bottom"/>
            <w:hideMark/>
          </w:tcPr>
          <w:p w14:paraId="2C49B5FA" w14:textId="77777777" w:rsidR="00E65A70" w:rsidRPr="00403AB4" w:rsidRDefault="00E65A70" w:rsidP="00BF2538">
            <w:pPr>
              <w:ind w:firstLineChars="100" w:firstLine="220"/>
              <w:rPr>
                <w:color w:val="000000"/>
                <w:sz w:val="22"/>
                <w:szCs w:val="22"/>
                <w:lang w:val="es-GT" w:eastAsia="es-GT"/>
              </w:rPr>
            </w:pPr>
            <w:r w:rsidRPr="00403AB4">
              <w:rPr>
                <w:color w:val="000000"/>
                <w:sz w:val="22"/>
                <w:szCs w:val="22"/>
                <w:lang w:val="es-GT" w:eastAsia="es-GT"/>
              </w:rPr>
              <w:t>Zona del Euro</w:t>
            </w:r>
          </w:p>
        </w:tc>
        <w:tc>
          <w:tcPr>
            <w:tcW w:w="1200" w:type="dxa"/>
            <w:shd w:val="clear" w:color="000000" w:fill="FFFFFF"/>
            <w:noWrap/>
            <w:vAlign w:val="bottom"/>
            <w:hideMark/>
          </w:tcPr>
          <w:p w14:paraId="22D6FCAE"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-6.4</w:t>
            </w:r>
          </w:p>
        </w:tc>
        <w:tc>
          <w:tcPr>
            <w:tcW w:w="1200" w:type="dxa"/>
            <w:shd w:val="clear" w:color="000000" w:fill="FFFFFF"/>
            <w:noWrap/>
            <w:vAlign w:val="bottom"/>
            <w:hideMark/>
          </w:tcPr>
          <w:p w14:paraId="2CA87647"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5.4</w:t>
            </w:r>
          </w:p>
        </w:tc>
        <w:tc>
          <w:tcPr>
            <w:tcW w:w="1200" w:type="dxa"/>
            <w:shd w:val="clear" w:color="000000" w:fill="FFFFFF"/>
            <w:noWrap/>
            <w:vAlign w:val="bottom"/>
            <w:hideMark/>
          </w:tcPr>
          <w:p w14:paraId="55CE5E2E"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2.5</w:t>
            </w:r>
          </w:p>
        </w:tc>
        <w:tc>
          <w:tcPr>
            <w:tcW w:w="1200" w:type="dxa"/>
            <w:shd w:val="clear" w:color="000000" w:fill="FFFFFF"/>
            <w:noWrap/>
            <w:vAlign w:val="bottom"/>
            <w:hideMark/>
          </w:tcPr>
          <w:p w14:paraId="68FFE320"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1.9</w:t>
            </w:r>
          </w:p>
        </w:tc>
      </w:tr>
      <w:tr w:rsidR="00E65A70" w:rsidRPr="00403AB4" w14:paraId="37CB9A6F" w14:textId="77777777" w:rsidTr="00A52B98">
        <w:trPr>
          <w:trHeight w:val="300"/>
        </w:trPr>
        <w:tc>
          <w:tcPr>
            <w:tcW w:w="4120" w:type="dxa"/>
            <w:shd w:val="clear" w:color="000000" w:fill="FFFFFF"/>
            <w:noWrap/>
            <w:vAlign w:val="bottom"/>
            <w:hideMark/>
          </w:tcPr>
          <w:p w14:paraId="49743CA8"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Alemania</w:t>
            </w:r>
          </w:p>
        </w:tc>
        <w:tc>
          <w:tcPr>
            <w:tcW w:w="1200" w:type="dxa"/>
            <w:shd w:val="clear" w:color="000000" w:fill="FFFFFF"/>
            <w:noWrap/>
            <w:vAlign w:val="bottom"/>
            <w:hideMark/>
          </w:tcPr>
          <w:p w14:paraId="0B47E681"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-4.6</w:t>
            </w:r>
          </w:p>
        </w:tc>
        <w:tc>
          <w:tcPr>
            <w:tcW w:w="1200" w:type="dxa"/>
            <w:shd w:val="clear" w:color="000000" w:fill="FFFFFF"/>
            <w:noWrap/>
            <w:vAlign w:val="bottom"/>
            <w:hideMark/>
          </w:tcPr>
          <w:p w14:paraId="6062A4CC"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2.9</w:t>
            </w:r>
          </w:p>
        </w:tc>
        <w:tc>
          <w:tcPr>
            <w:tcW w:w="1200" w:type="dxa"/>
            <w:shd w:val="clear" w:color="000000" w:fill="FFFFFF"/>
            <w:noWrap/>
            <w:vAlign w:val="bottom"/>
            <w:hideMark/>
          </w:tcPr>
          <w:p w14:paraId="43592051"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1.2</w:t>
            </w:r>
          </w:p>
        </w:tc>
        <w:tc>
          <w:tcPr>
            <w:tcW w:w="1200" w:type="dxa"/>
            <w:shd w:val="clear" w:color="000000" w:fill="FFFFFF"/>
            <w:noWrap/>
            <w:vAlign w:val="bottom"/>
            <w:hideMark/>
          </w:tcPr>
          <w:p w14:paraId="4D39A714"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0.8</w:t>
            </w:r>
          </w:p>
        </w:tc>
      </w:tr>
      <w:tr w:rsidR="00E65A70" w:rsidRPr="00403AB4" w14:paraId="66378CE9" w14:textId="77777777" w:rsidTr="00A52B98">
        <w:trPr>
          <w:trHeight w:val="300"/>
        </w:trPr>
        <w:tc>
          <w:tcPr>
            <w:tcW w:w="4120" w:type="dxa"/>
            <w:shd w:val="clear" w:color="000000" w:fill="FFFFFF"/>
            <w:noWrap/>
            <w:vAlign w:val="bottom"/>
            <w:hideMark/>
          </w:tcPr>
          <w:p w14:paraId="18F06AF2"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Francia</w:t>
            </w:r>
          </w:p>
        </w:tc>
        <w:tc>
          <w:tcPr>
            <w:tcW w:w="1200" w:type="dxa"/>
            <w:shd w:val="clear" w:color="000000" w:fill="FFFFFF"/>
            <w:noWrap/>
            <w:vAlign w:val="bottom"/>
            <w:hideMark/>
          </w:tcPr>
          <w:p w14:paraId="5A43787D"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-7.9</w:t>
            </w:r>
          </w:p>
        </w:tc>
        <w:tc>
          <w:tcPr>
            <w:tcW w:w="1200" w:type="dxa"/>
            <w:shd w:val="clear" w:color="000000" w:fill="FFFFFF"/>
            <w:noWrap/>
            <w:vAlign w:val="bottom"/>
            <w:hideMark/>
          </w:tcPr>
          <w:p w14:paraId="6972448D"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6.8</w:t>
            </w:r>
          </w:p>
        </w:tc>
        <w:tc>
          <w:tcPr>
            <w:tcW w:w="1200" w:type="dxa"/>
            <w:shd w:val="clear" w:color="000000" w:fill="FFFFFF"/>
            <w:noWrap/>
            <w:vAlign w:val="bottom"/>
            <w:hideMark/>
          </w:tcPr>
          <w:p w14:paraId="5FBCB9B3"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2.3</w:t>
            </w:r>
          </w:p>
        </w:tc>
        <w:tc>
          <w:tcPr>
            <w:tcW w:w="1200" w:type="dxa"/>
            <w:shd w:val="clear" w:color="000000" w:fill="FFFFFF"/>
            <w:noWrap/>
            <w:vAlign w:val="bottom"/>
            <w:hideMark/>
          </w:tcPr>
          <w:p w14:paraId="662CF81E" w14:textId="08387BE9"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w:t>
            </w:r>
            <w:r w:rsidR="0063658B">
              <w:rPr>
                <w:color w:val="000000"/>
                <w:sz w:val="22"/>
                <w:szCs w:val="22"/>
                <w:lang w:val="es-GT" w:eastAsia="es-GT"/>
              </w:rPr>
              <w:t>.0</w:t>
            </w:r>
          </w:p>
        </w:tc>
      </w:tr>
      <w:tr w:rsidR="00E65A70" w:rsidRPr="00403AB4" w14:paraId="2ACE24FC" w14:textId="77777777" w:rsidTr="00A52B98">
        <w:trPr>
          <w:trHeight w:val="300"/>
        </w:trPr>
        <w:tc>
          <w:tcPr>
            <w:tcW w:w="4120" w:type="dxa"/>
            <w:shd w:val="clear" w:color="000000" w:fill="FFFFFF"/>
            <w:noWrap/>
            <w:vAlign w:val="bottom"/>
            <w:hideMark/>
          </w:tcPr>
          <w:p w14:paraId="7C25A3B4"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 xml:space="preserve">Italia </w:t>
            </w:r>
          </w:p>
        </w:tc>
        <w:tc>
          <w:tcPr>
            <w:tcW w:w="1200" w:type="dxa"/>
            <w:shd w:val="clear" w:color="000000" w:fill="FFFFFF"/>
            <w:noWrap/>
            <w:vAlign w:val="bottom"/>
            <w:hideMark/>
          </w:tcPr>
          <w:p w14:paraId="4B062128" w14:textId="2AE2A3AC" w:rsidR="00E65A70" w:rsidRPr="00403AB4" w:rsidRDefault="00E65A70" w:rsidP="00BF2538">
            <w:pPr>
              <w:jc w:val="center"/>
              <w:rPr>
                <w:color w:val="000000"/>
                <w:sz w:val="22"/>
                <w:szCs w:val="22"/>
                <w:lang w:val="es-GT" w:eastAsia="es-GT"/>
              </w:rPr>
            </w:pPr>
            <w:r w:rsidRPr="00403AB4">
              <w:rPr>
                <w:color w:val="000000"/>
                <w:sz w:val="22"/>
                <w:szCs w:val="22"/>
                <w:lang w:val="es-GT" w:eastAsia="es-GT"/>
              </w:rPr>
              <w:t>-9</w:t>
            </w:r>
            <w:r w:rsidR="0063658B">
              <w:rPr>
                <w:color w:val="000000"/>
                <w:sz w:val="22"/>
                <w:szCs w:val="22"/>
                <w:lang w:val="es-GT" w:eastAsia="es-GT"/>
              </w:rPr>
              <w:t>.0</w:t>
            </w:r>
          </w:p>
        </w:tc>
        <w:tc>
          <w:tcPr>
            <w:tcW w:w="1200" w:type="dxa"/>
            <w:shd w:val="clear" w:color="000000" w:fill="FFFFFF"/>
            <w:noWrap/>
            <w:vAlign w:val="bottom"/>
            <w:hideMark/>
          </w:tcPr>
          <w:p w14:paraId="4532E39B"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6.6</w:t>
            </w:r>
          </w:p>
        </w:tc>
        <w:tc>
          <w:tcPr>
            <w:tcW w:w="1200" w:type="dxa"/>
            <w:shd w:val="clear" w:color="000000" w:fill="FFFFFF"/>
            <w:noWrap/>
            <w:vAlign w:val="bottom"/>
            <w:hideMark/>
          </w:tcPr>
          <w:p w14:paraId="4C52969C" w14:textId="4B7007C3" w:rsidR="00E65A70" w:rsidRPr="00403AB4" w:rsidRDefault="00E65A70" w:rsidP="00BF2538">
            <w:pPr>
              <w:jc w:val="center"/>
              <w:rPr>
                <w:color w:val="000000"/>
                <w:sz w:val="22"/>
                <w:szCs w:val="22"/>
                <w:lang w:val="es-GT" w:eastAsia="es-GT"/>
              </w:rPr>
            </w:pPr>
            <w:r w:rsidRPr="00403AB4">
              <w:rPr>
                <w:color w:val="000000"/>
                <w:sz w:val="22"/>
                <w:szCs w:val="22"/>
                <w:lang w:val="es-GT" w:eastAsia="es-GT"/>
              </w:rPr>
              <w:t>3</w:t>
            </w:r>
            <w:r w:rsidR="0063658B">
              <w:rPr>
                <w:color w:val="000000"/>
                <w:sz w:val="22"/>
                <w:szCs w:val="22"/>
                <w:lang w:val="es-GT" w:eastAsia="es-GT"/>
              </w:rPr>
              <w:t>.0</w:t>
            </w:r>
          </w:p>
        </w:tc>
        <w:tc>
          <w:tcPr>
            <w:tcW w:w="1200" w:type="dxa"/>
            <w:shd w:val="clear" w:color="000000" w:fill="FFFFFF"/>
            <w:noWrap/>
            <w:vAlign w:val="bottom"/>
            <w:hideMark/>
          </w:tcPr>
          <w:p w14:paraId="1768CEB1"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0.7</w:t>
            </w:r>
          </w:p>
        </w:tc>
      </w:tr>
      <w:tr w:rsidR="00E65A70" w:rsidRPr="00403AB4" w14:paraId="1D17AE65" w14:textId="77777777" w:rsidTr="00A52B98">
        <w:trPr>
          <w:trHeight w:val="300"/>
        </w:trPr>
        <w:tc>
          <w:tcPr>
            <w:tcW w:w="4120" w:type="dxa"/>
            <w:shd w:val="clear" w:color="000000" w:fill="FFFFFF"/>
            <w:noWrap/>
            <w:vAlign w:val="bottom"/>
            <w:hideMark/>
          </w:tcPr>
          <w:p w14:paraId="416D925E"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España</w:t>
            </w:r>
          </w:p>
        </w:tc>
        <w:tc>
          <w:tcPr>
            <w:tcW w:w="1200" w:type="dxa"/>
            <w:shd w:val="clear" w:color="000000" w:fill="FFFFFF"/>
            <w:noWrap/>
            <w:vAlign w:val="bottom"/>
            <w:hideMark/>
          </w:tcPr>
          <w:p w14:paraId="2394EA2E"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-10.8</w:t>
            </w:r>
          </w:p>
        </w:tc>
        <w:tc>
          <w:tcPr>
            <w:tcW w:w="1200" w:type="dxa"/>
            <w:shd w:val="clear" w:color="000000" w:fill="FFFFFF"/>
            <w:noWrap/>
            <w:vAlign w:val="bottom"/>
            <w:hideMark/>
          </w:tcPr>
          <w:p w14:paraId="22E8ABDF"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5.1</w:t>
            </w:r>
          </w:p>
        </w:tc>
        <w:tc>
          <w:tcPr>
            <w:tcW w:w="1200" w:type="dxa"/>
            <w:shd w:val="clear" w:color="000000" w:fill="FFFFFF"/>
            <w:noWrap/>
            <w:vAlign w:val="bottom"/>
            <w:hideMark/>
          </w:tcPr>
          <w:p w14:paraId="53165696" w14:textId="5F3C44E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4</w:t>
            </w:r>
            <w:r w:rsidR="0063658B">
              <w:rPr>
                <w:color w:val="000000"/>
                <w:sz w:val="22"/>
                <w:szCs w:val="22"/>
                <w:lang w:val="es-GT" w:eastAsia="es-GT"/>
              </w:rPr>
              <w:t>.0</w:t>
            </w:r>
          </w:p>
        </w:tc>
        <w:tc>
          <w:tcPr>
            <w:tcW w:w="1200" w:type="dxa"/>
            <w:shd w:val="clear" w:color="000000" w:fill="FFFFFF"/>
            <w:noWrap/>
            <w:vAlign w:val="bottom"/>
            <w:hideMark/>
          </w:tcPr>
          <w:p w14:paraId="1B04AAC3" w14:textId="78D131BE" w:rsidR="00E65A70" w:rsidRPr="00403AB4" w:rsidRDefault="00E65A70" w:rsidP="00BF2538">
            <w:pPr>
              <w:jc w:val="center"/>
              <w:rPr>
                <w:color w:val="000000"/>
                <w:sz w:val="22"/>
                <w:szCs w:val="22"/>
                <w:lang w:val="es-GT" w:eastAsia="es-GT"/>
              </w:rPr>
            </w:pPr>
            <w:r w:rsidRPr="00403AB4">
              <w:rPr>
                <w:color w:val="000000"/>
                <w:sz w:val="22"/>
                <w:szCs w:val="22"/>
                <w:lang w:val="es-GT" w:eastAsia="es-GT"/>
              </w:rPr>
              <w:t>2</w:t>
            </w:r>
            <w:r w:rsidR="0063658B">
              <w:rPr>
                <w:color w:val="000000"/>
                <w:sz w:val="22"/>
                <w:szCs w:val="22"/>
                <w:lang w:val="es-GT" w:eastAsia="es-GT"/>
              </w:rPr>
              <w:t>.0</w:t>
            </w:r>
          </w:p>
        </w:tc>
      </w:tr>
      <w:tr w:rsidR="00E65A70" w:rsidRPr="00403AB4" w14:paraId="57EE9E62" w14:textId="77777777" w:rsidTr="00A52B98">
        <w:trPr>
          <w:trHeight w:val="300"/>
        </w:trPr>
        <w:tc>
          <w:tcPr>
            <w:tcW w:w="4120" w:type="dxa"/>
            <w:shd w:val="clear" w:color="000000" w:fill="FFFFFF"/>
            <w:noWrap/>
            <w:vAlign w:val="bottom"/>
            <w:hideMark/>
          </w:tcPr>
          <w:p w14:paraId="308A0AF8"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Japón</w:t>
            </w:r>
          </w:p>
        </w:tc>
        <w:tc>
          <w:tcPr>
            <w:tcW w:w="1200" w:type="dxa"/>
            <w:shd w:val="clear" w:color="000000" w:fill="FFFFFF"/>
            <w:noWrap/>
            <w:vAlign w:val="bottom"/>
            <w:hideMark/>
          </w:tcPr>
          <w:p w14:paraId="3AD3A15D"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-4.6</w:t>
            </w:r>
          </w:p>
        </w:tc>
        <w:tc>
          <w:tcPr>
            <w:tcW w:w="1200" w:type="dxa"/>
            <w:shd w:val="clear" w:color="000000" w:fill="FFFFFF"/>
            <w:noWrap/>
            <w:vAlign w:val="bottom"/>
            <w:hideMark/>
          </w:tcPr>
          <w:p w14:paraId="63E23B62"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1.7</w:t>
            </w:r>
          </w:p>
        </w:tc>
        <w:tc>
          <w:tcPr>
            <w:tcW w:w="1200" w:type="dxa"/>
            <w:shd w:val="clear" w:color="000000" w:fill="FFFFFF"/>
            <w:noWrap/>
            <w:vAlign w:val="bottom"/>
            <w:hideMark/>
          </w:tcPr>
          <w:p w14:paraId="790D0D31"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1.7</w:t>
            </w:r>
          </w:p>
        </w:tc>
        <w:tc>
          <w:tcPr>
            <w:tcW w:w="1200" w:type="dxa"/>
            <w:shd w:val="clear" w:color="000000" w:fill="FFFFFF"/>
            <w:noWrap/>
            <w:vAlign w:val="bottom"/>
            <w:hideMark/>
          </w:tcPr>
          <w:p w14:paraId="04C014E7"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1.3</w:t>
            </w:r>
          </w:p>
        </w:tc>
      </w:tr>
      <w:tr w:rsidR="00E65A70" w:rsidRPr="00403AB4" w14:paraId="6A0111D8" w14:textId="77777777" w:rsidTr="0067759F">
        <w:trPr>
          <w:trHeight w:val="70"/>
        </w:trPr>
        <w:tc>
          <w:tcPr>
            <w:tcW w:w="4120" w:type="dxa"/>
            <w:shd w:val="clear" w:color="000000" w:fill="FFFFFF"/>
            <w:noWrap/>
            <w:vAlign w:val="bottom"/>
            <w:hideMark/>
          </w:tcPr>
          <w:p w14:paraId="783F05D7" w14:textId="77777777" w:rsidR="00E65A70" w:rsidRPr="00403AB4" w:rsidRDefault="00E65A70" w:rsidP="00BF2538">
            <w:pPr>
              <w:rPr>
                <w:color w:val="000000"/>
                <w:sz w:val="10"/>
                <w:szCs w:val="22"/>
                <w:lang w:val="es-GT" w:eastAsia="es-GT"/>
              </w:rPr>
            </w:pPr>
            <w:r w:rsidRPr="00403AB4">
              <w:rPr>
                <w:color w:val="000000"/>
                <w:sz w:val="10"/>
                <w:szCs w:val="22"/>
                <w:lang w:val="es-GT" w:eastAsia="es-GT"/>
              </w:rPr>
              <w:t> </w:t>
            </w:r>
          </w:p>
        </w:tc>
        <w:tc>
          <w:tcPr>
            <w:tcW w:w="1200" w:type="dxa"/>
            <w:shd w:val="clear" w:color="auto" w:fill="auto"/>
            <w:noWrap/>
            <w:vAlign w:val="bottom"/>
            <w:hideMark/>
          </w:tcPr>
          <w:p w14:paraId="24D00D0E" w14:textId="77777777" w:rsidR="00E65A70" w:rsidRPr="00403AB4" w:rsidRDefault="00E65A70" w:rsidP="00BF2538">
            <w:pPr>
              <w:rPr>
                <w:color w:val="000000"/>
                <w:sz w:val="10"/>
                <w:szCs w:val="22"/>
                <w:lang w:val="es-GT" w:eastAsia="es-GT"/>
              </w:rPr>
            </w:pPr>
          </w:p>
        </w:tc>
        <w:tc>
          <w:tcPr>
            <w:tcW w:w="1200" w:type="dxa"/>
            <w:shd w:val="clear" w:color="auto" w:fill="auto"/>
            <w:noWrap/>
            <w:vAlign w:val="bottom"/>
            <w:hideMark/>
          </w:tcPr>
          <w:p w14:paraId="5C91A6FA" w14:textId="77777777" w:rsidR="00E65A70" w:rsidRPr="00403AB4" w:rsidRDefault="00E65A70" w:rsidP="00BF2538">
            <w:pPr>
              <w:rPr>
                <w:sz w:val="10"/>
                <w:szCs w:val="22"/>
                <w:lang w:val="es-GT" w:eastAsia="es-GT"/>
              </w:rPr>
            </w:pPr>
          </w:p>
        </w:tc>
        <w:tc>
          <w:tcPr>
            <w:tcW w:w="1200" w:type="dxa"/>
            <w:shd w:val="clear" w:color="auto" w:fill="auto"/>
            <w:noWrap/>
            <w:vAlign w:val="bottom"/>
            <w:hideMark/>
          </w:tcPr>
          <w:p w14:paraId="5ABFBD4E" w14:textId="77777777" w:rsidR="00E65A70" w:rsidRPr="00403AB4" w:rsidRDefault="00E65A70" w:rsidP="00BF2538">
            <w:pPr>
              <w:rPr>
                <w:sz w:val="10"/>
                <w:szCs w:val="22"/>
                <w:lang w:val="es-GT" w:eastAsia="es-GT"/>
              </w:rPr>
            </w:pPr>
          </w:p>
        </w:tc>
        <w:tc>
          <w:tcPr>
            <w:tcW w:w="1200" w:type="dxa"/>
            <w:shd w:val="clear" w:color="auto" w:fill="auto"/>
            <w:noWrap/>
            <w:vAlign w:val="bottom"/>
            <w:hideMark/>
          </w:tcPr>
          <w:p w14:paraId="08CE362D" w14:textId="77777777" w:rsidR="00E65A70" w:rsidRPr="00403AB4" w:rsidRDefault="00E65A70" w:rsidP="00BF2538">
            <w:pPr>
              <w:rPr>
                <w:sz w:val="10"/>
                <w:szCs w:val="22"/>
                <w:lang w:val="es-GT" w:eastAsia="es-GT"/>
              </w:rPr>
            </w:pPr>
          </w:p>
        </w:tc>
      </w:tr>
      <w:tr w:rsidR="00E65A70" w:rsidRPr="00403AB4" w14:paraId="3A984819" w14:textId="77777777" w:rsidTr="00A52B98">
        <w:trPr>
          <w:trHeight w:val="300"/>
        </w:trPr>
        <w:tc>
          <w:tcPr>
            <w:tcW w:w="4120" w:type="dxa"/>
            <w:shd w:val="clear" w:color="000000" w:fill="FFFFFF"/>
            <w:noWrap/>
            <w:vAlign w:val="bottom"/>
            <w:hideMark/>
          </w:tcPr>
          <w:p w14:paraId="46167FD5" w14:textId="77777777" w:rsidR="00E65A70" w:rsidRPr="00403AB4" w:rsidRDefault="00E65A70" w:rsidP="00BF2538">
            <w:pPr>
              <w:rPr>
                <w:b/>
                <w:bCs/>
                <w:color w:val="000000"/>
                <w:sz w:val="22"/>
                <w:szCs w:val="22"/>
                <w:lang w:val="es-GT" w:eastAsia="es-GT"/>
              </w:rPr>
            </w:pPr>
            <w:r w:rsidRPr="00403AB4">
              <w:rPr>
                <w:b/>
                <w:bCs/>
                <w:color w:val="000000"/>
                <w:sz w:val="22"/>
                <w:szCs w:val="22"/>
                <w:lang w:val="es-GT" w:eastAsia="es-GT"/>
              </w:rPr>
              <w:t>Economías Emergentes y en Desarrollo</w:t>
            </w:r>
          </w:p>
        </w:tc>
        <w:tc>
          <w:tcPr>
            <w:tcW w:w="1200" w:type="dxa"/>
            <w:shd w:val="clear" w:color="000000" w:fill="FFFFFF"/>
            <w:noWrap/>
            <w:vAlign w:val="bottom"/>
            <w:hideMark/>
          </w:tcPr>
          <w:p w14:paraId="6832EB96"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-1.6</w:t>
            </w:r>
          </w:p>
        </w:tc>
        <w:tc>
          <w:tcPr>
            <w:tcW w:w="1200" w:type="dxa"/>
            <w:shd w:val="clear" w:color="000000" w:fill="FFFFFF"/>
            <w:noWrap/>
            <w:vAlign w:val="bottom"/>
            <w:hideMark/>
          </w:tcPr>
          <w:p w14:paraId="0484D833"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6.6</w:t>
            </w:r>
          </w:p>
        </w:tc>
        <w:tc>
          <w:tcPr>
            <w:tcW w:w="1200" w:type="dxa"/>
            <w:shd w:val="clear" w:color="000000" w:fill="FFFFFF"/>
            <w:noWrap/>
            <w:vAlign w:val="bottom"/>
            <w:hideMark/>
          </w:tcPr>
          <w:p w14:paraId="7766D5EB"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3.4</w:t>
            </w:r>
          </w:p>
        </w:tc>
        <w:tc>
          <w:tcPr>
            <w:tcW w:w="1200" w:type="dxa"/>
            <w:shd w:val="clear" w:color="000000" w:fill="FFFFFF"/>
            <w:noWrap/>
            <w:vAlign w:val="bottom"/>
            <w:hideMark/>
          </w:tcPr>
          <w:p w14:paraId="3F299DD2"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4.2</w:t>
            </w:r>
          </w:p>
        </w:tc>
      </w:tr>
      <w:tr w:rsidR="00E65A70" w:rsidRPr="00403AB4" w14:paraId="37996771" w14:textId="77777777" w:rsidTr="00A52B98">
        <w:trPr>
          <w:trHeight w:val="300"/>
        </w:trPr>
        <w:tc>
          <w:tcPr>
            <w:tcW w:w="4120" w:type="dxa"/>
            <w:shd w:val="clear" w:color="000000" w:fill="FFFFFF"/>
            <w:noWrap/>
            <w:vAlign w:val="bottom"/>
            <w:hideMark/>
          </w:tcPr>
          <w:p w14:paraId="7F12B381" w14:textId="77777777" w:rsidR="00E65A70" w:rsidRPr="00403AB4" w:rsidRDefault="00E65A70" w:rsidP="00BF2538">
            <w:pPr>
              <w:rPr>
                <w:b/>
                <w:bCs/>
                <w:color w:val="000000"/>
                <w:sz w:val="22"/>
                <w:szCs w:val="22"/>
                <w:lang w:val="es-GT" w:eastAsia="es-GT"/>
              </w:rPr>
            </w:pPr>
            <w:r w:rsidRPr="00403AB4">
              <w:rPr>
                <w:b/>
                <w:bCs/>
                <w:color w:val="000000"/>
                <w:sz w:val="22"/>
                <w:szCs w:val="22"/>
                <w:lang w:val="es-GT" w:eastAsia="es-GT"/>
              </w:rPr>
              <w:t>Asia</w:t>
            </w:r>
          </w:p>
        </w:tc>
        <w:tc>
          <w:tcPr>
            <w:tcW w:w="1200" w:type="dxa"/>
            <w:shd w:val="clear" w:color="000000" w:fill="FFFFFF"/>
            <w:noWrap/>
            <w:vAlign w:val="center"/>
            <w:hideMark/>
          </w:tcPr>
          <w:p w14:paraId="0B7D668F"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1.2</w:t>
            </w:r>
          </w:p>
        </w:tc>
        <w:tc>
          <w:tcPr>
            <w:tcW w:w="1200" w:type="dxa"/>
            <w:shd w:val="clear" w:color="000000" w:fill="FFFFFF"/>
            <w:noWrap/>
            <w:vAlign w:val="center"/>
            <w:hideMark/>
          </w:tcPr>
          <w:p w14:paraId="64D437D1"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7.2</w:t>
            </w:r>
          </w:p>
        </w:tc>
        <w:tc>
          <w:tcPr>
            <w:tcW w:w="1200" w:type="dxa"/>
            <w:shd w:val="clear" w:color="000000" w:fill="FFFFFF"/>
            <w:noWrap/>
            <w:vAlign w:val="center"/>
            <w:hideMark/>
          </w:tcPr>
          <w:p w14:paraId="3C6E2BC9"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4.4</w:t>
            </w:r>
          </w:p>
        </w:tc>
        <w:tc>
          <w:tcPr>
            <w:tcW w:w="1200" w:type="dxa"/>
            <w:shd w:val="clear" w:color="000000" w:fill="FFFFFF"/>
            <w:noWrap/>
            <w:vAlign w:val="center"/>
            <w:hideMark/>
          </w:tcPr>
          <w:p w14:paraId="69929635"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5.2</w:t>
            </w:r>
          </w:p>
        </w:tc>
      </w:tr>
      <w:tr w:rsidR="00E65A70" w:rsidRPr="00403AB4" w14:paraId="767AAA24" w14:textId="77777777" w:rsidTr="00A52B98">
        <w:trPr>
          <w:trHeight w:val="300"/>
        </w:trPr>
        <w:tc>
          <w:tcPr>
            <w:tcW w:w="4120" w:type="dxa"/>
            <w:shd w:val="clear" w:color="000000" w:fill="FFFFFF"/>
            <w:noWrap/>
            <w:vAlign w:val="bottom"/>
            <w:hideMark/>
          </w:tcPr>
          <w:p w14:paraId="13221B04"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China</w:t>
            </w:r>
          </w:p>
        </w:tc>
        <w:tc>
          <w:tcPr>
            <w:tcW w:w="1200" w:type="dxa"/>
            <w:shd w:val="clear" w:color="000000" w:fill="FFFFFF"/>
            <w:noWrap/>
            <w:vAlign w:val="bottom"/>
            <w:hideMark/>
          </w:tcPr>
          <w:p w14:paraId="1E732E70"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2.2</w:t>
            </w:r>
          </w:p>
        </w:tc>
        <w:tc>
          <w:tcPr>
            <w:tcW w:w="1200" w:type="dxa"/>
            <w:shd w:val="clear" w:color="000000" w:fill="FFFFFF"/>
            <w:noWrap/>
            <w:vAlign w:val="bottom"/>
            <w:hideMark/>
          </w:tcPr>
          <w:p w14:paraId="43C94B30"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8.1</w:t>
            </w:r>
          </w:p>
        </w:tc>
        <w:tc>
          <w:tcPr>
            <w:tcW w:w="1200" w:type="dxa"/>
            <w:shd w:val="clear" w:color="000000" w:fill="FFFFFF"/>
            <w:noWrap/>
            <w:vAlign w:val="bottom"/>
            <w:hideMark/>
          </w:tcPr>
          <w:p w14:paraId="1C565BBD"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4.3</w:t>
            </w:r>
          </w:p>
        </w:tc>
        <w:tc>
          <w:tcPr>
            <w:tcW w:w="1200" w:type="dxa"/>
            <w:shd w:val="clear" w:color="000000" w:fill="FFFFFF"/>
            <w:noWrap/>
            <w:vAlign w:val="bottom"/>
            <w:hideMark/>
          </w:tcPr>
          <w:p w14:paraId="380A1955"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5.2</w:t>
            </w:r>
          </w:p>
        </w:tc>
      </w:tr>
      <w:tr w:rsidR="00E65A70" w:rsidRPr="00403AB4" w14:paraId="2DD86157" w14:textId="77777777" w:rsidTr="00A52B98">
        <w:trPr>
          <w:trHeight w:val="300"/>
        </w:trPr>
        <w:tc>
          <w:tcPr>
            <w:tcW w:w="4120" w:type="dxa"/>
            <w:shd w:val="clear" w:color="000000" w:fill="FFFFFF"/>
            <w:noWrap/>
            <w:vAlign w:val="bottom"/>
            <w:hideMark/>
          </w:tcPr>
          <w:p w14:paraId="5ADE263B"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 xml:space="preserve">India </w:t>
            </w:r>
          </w:p>
        </w:tc>
        <w:tc>
          <w:tcPr>
            <w:tcW w:w="1200" w:type="dxa"/>
            <w:shd w:val="clear" w:color="000000" w:fill="FFFFFF"/>
            <w:noWrap/>
            <w:vAlign w:val="bottom"/>
            <w:hideMark/>
          </w:tcPr>
          <w:p w14:paraId="176D88B7"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-6.6</w:t>
            </w:r>
          </w:p>
        </w:tc>
        <w:tc>
          <w:tcPr>
            <w:tcW w:w="1200" w:type="dxa"/>
            <w:shd w:val="clear" w:color="000000" w:fill="FFFFFF"/>
            <w:noWrap/>
            <w:vAlign w:val="bottom"/>
            <w:hideMark/>
          </w:tcPr>
          <w:p w14:paraId="6022A1CE"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8.7</w:t>
            </w:r>
          </w:p>
        </w:tc>
        <w:tc>
          <w:tcPr>
            <w:tcW w:w="1200" w:type="dxa"/>
            <w:shd w:val="clear" w:color="000000" w:fill="FFFFFF"/>
            <w:noWrap/>
            <w:vAlign w:val="bottom"/>
            <w:hideMark/>
          </w:tcPr>
          <w:p w14:paraId="2BA6470F"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7.5</w:t>
            </w:r>
          </w:p>
        </w:tc>
        <w:tc>
          <w:tcPr>
            <w:tcW w:w="1200" w:type="dxa"/>
            <w:shd w:val="clear" w:color="000000" w:fill="FFFFFF"/>
            <w:noWrap/>
            <w:vAlign w:val="bottom"/>
            <w:hideMark/>
          </w:tcPr>
          <w:p w14:paraId="2500E185"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7.1</w:t>
            </w:r>
          </w:p>
        </w:tc>
      </w:tr>
      <w:tr w:rsidR="00E65A70" w:rsidRPr="00403AB4" w14:paraId="4F31BF52" w14:textId="77777777" w:rsidTr="0067759F">
        <w:trPr>
          <w:trHeight w:val="98"/>
        </w:trPr>
        <w:tc>
          <w:tcPr>
            <w:tcW w:w="4120" w:type="dxa"/>
            <w:shd w:val="clear" w:color="000000" w:fill="FFFFFF"/>
            <w:noWrap/>
            <w:vAlign w:val="bottom"/>
            <w:hideMark/>
          </w:tcPr>
          <w:p w14:paraId="611B1F05" w14:textId="77777777" w:rsidR="00E65A70" w:rsidRPr="00403AB4" w:rsidRDefault="00E65A70" w:rsidP="00BF2538">
            <w:pPr>
              <w:rPr>
                <w:color w:val="000000"/>
                <w:sz w:val="10"/>
                <w:szCs w:val="22"/>
                <w:lang w:val="es-GT" w:eastAsia="es-GT"/>
              </w:rPr>
            </w:pPr>
            <w:r w:rsidRPr="00403AB4">
              <w:rPr>
                <w:color w:val="000000"/>
                <w:sz w:val="10"/>
                <w:szCs w:val="22"/>
                <w:lang w:val="es-GT" w:eastAsia="es-GT"/>
              </w:rPr>
              <w:t> </w:t>
            </w:r>
          </w:p>
        </w:tc>
        <w:tc>
          <w:tcPr>
            <w:tcW w:w="1200" w:type="dxa"/>
            <w:shd w:val="clear" w:color="auto" w:fill="auto"/>
            <w:noWrap/>
            <w:vAlign w:val="bottom"/>
            <w:hideMark/>
          </w:tcPr>
          <w:p w14:paraId="6881E98A" w14:textId="77777777" w:rsidR="00E65A70" w:rsidRPr="00403AB4" w:rsidRDefault="00E65A70" w:rsidP="00BF2538">
            <w:pPr>
              <w:rPr>
                <w:color w:val="000000"/>
                <w:sz w:val="10"/>
                <w:szCs w:val="22"/>
                <w:lang w:val="es-GT" w:eastAsia="es-GT"/>
              </w:rPr>
            </w:pPr>
          </w:p>
        </w:tc>
        <w:tc>
          <w:tcPr>
            <w:tcW w:w="1200" w:type="dxa"/>
            <w:shd w:val="clear" w:color="auto" w:fill="auto"/>
            <w:noWrap/>
            <w:vAlign w:val="bottom"/>
            <w:hideMark/>
          </w:tcPr>
          <w:p w14:paraId="5AE95475" w14:textId="77777777" w:rsidR="00E65A70" w:rsidRPr="00403AB4" w:rsidRDefault="00E65A70" w:rsidP="00BF2538">
            <w:pPr>
              <w:rPr>
                <w:sz w:val="10"/>
                <w:szCs w:val="22"/>
                <w:lang w:val="es-GT" w:eastAsia="es-GT"/>
              </w:rPr>
            </w:pPr>
          </w:p>
        </w:tc>
        <w:tc>
          <w:tcPr>
            <w:tcW w:w="1200" w:type="dxa"/>
            <w:shd w:val="clear" w:color="auto" w:fill="auto"/>
            <w:noWrap/>
            <w:vAlign w:val="bottom"/>
            <w:hideMark/>
          </w:tcPr>
          <w:p w14:paraId="4459F9F9" w14:textId="77777777" w:rsidR="00E65A70" w:rsidRPr="00403AB4" w:rsidRDefault="00E65A70" w:rsidP="00BF2538">
            <w:pPr>
              <w:rPr>
                <w:sz w:val="10"/>
                <w:szCs w:val="22"/>
                <w:lang w:val="es-GT" w:eastAsia="es-GT"/>
              </w:rPr>
            </w:pPr>
          </w:p>
        </w:tc>
        <w:tc>
          <w:tcPr>
            <w:tcW w:w="1200" w:type="dxa"/>
            <w:shd w:val="clear" w:color="auto" w:fill="auto"/>
            <w:noWrap/>
            <w:vAlign w:val="bottom"/>
            <w:hideMark/>
          </w:tcPr>
          <w:p w14:paraId="4AD7ADC2" w14:textId="77777777" w:rsidR="00E65A70" w:rsidRPr="00403AB4" w:rsidRDefault="00E65A70" w:rsidP="00BF2538">
            <w:pPr>
              <w:rPr>
                <w:sz w:val="10"/>
                <w:szCs w:val="22"/>
                <w:lang w:val="es-GT" w:eastAsia="es-GT"/>
              </w:rPr>
            </w:pPr>
          </w:p>
        </w:tc>
      </w:tr>
      <w:tr w:rsidR="00E65A70" w:rsidRPr="00403AB4" w14:paraId="709A10CC" w14:textId="77777777" w:rsidTr="00A52B98">
        <w:trPr>
          <w:trHeight w:val="300"/>
        </w:trPr>
        <w:tc>
          <w:tcPr>
            <w:tcW w:w="4120" w:type="dxa"/>
            <w:shd w:val="clear" w:color="000000" w:fill="FFFFFF"/>
            <w:noWrap/>
            <w:vAlign w:val="bottom"/>
            <w:hideMark/>
          </w:tcPr>
          <w:p w14:paraId="42859072" w14:textId="0200B0A2" w:rsidR="00E65A70" w:rsidRPr="00403AB4" w:rsidRDefault="00E65A70" w:rsidP="00BF2538">
            <w:pPr>
              <w:rPr>
                <w:b/>
                <w:bCs/>
                <w:color w:val="000000"/>
                <w:sz w:val="22"/>
                <w:szCs w:val="22"/>
                <w:lang w:val="es-GT" w:eastAsia="es-GT"/>
              </w:rPr>
            </w:pPr>
            <w:r w:rsidRPr="00403AB4">
              <w:rPr>
                <w:b/>
                <w:bCs/>
                <w:color w:val="000000"/>
                <w:sz w:val="22"/>
                <w:szCs w:val="22"/>
                <w:lang w:val="es-GT" w:eastAsia="es-GT"/>
              </w:rPr>
              <w:t xml:space="preserve">América Latina y </w:t>
            </w:r>
            <w:r w:rsidR="00112092" w:rsidRPr="00403AB4">
              <w:rPr>
                <w:b/>
                <w:bCs/>
                <w:color w:val="000000"/>
                <w:sz w:val="22"/>
                <w:szCs w:val="22"/>
                <w:lang w:val="es-GT" w:eastAsia="es-GT"/>
              </w:rPr>
              <w:t>e</w:t>
            </w:r>
            <w:r w:rsidRPr="00403AB4">
              <w:rPr>
                <w:b/>
                <w:bCs/>
                <w:color w:val="000000"/>
                <w:sz w:val="22"/>
                <w:szCs w:val="22"/>
                <w:lang w:val="es-GT" w:eastAsia="es-GT"/>
              </w:rPr>
              <w:t>l Caribe</w:t>
            </w:r>
          </w:p>
        </w:tc>
        <w:tc>
          <w:tcPr>
            <w:tcW w:w="1200" w:type="dxa"/>
            <w:shd w:val="clear" w:color="000000" w:fill="FFFFFF"/>
            <w:noWrap/>
            <w:vAlign w:val="center"/>
            <w:hideMark/>
          </w:tcPr>
          <w:p w14:paraId="19032F39"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-6.4</w:t>
            </w:r>
          </w:p>
        </w:tc>
        <w:tc>
          <w:tcPr>
            <w:tcW w:w="1200" w:type="dxa"/>
            <w:shd w:val="clear" w:color="000000" w:fill="FFFFFF"/>
            <w:noWrap/>
            <w:vAlign w:val="center"/>
            <w:hideMark/>
          </w:tcPr>
          <w:p w14:paraId="2A374DF6"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6.7</w:t>
            </w:r>
          </w:p>
        </w:tc>
        <w:tc>
          <w:tcPr>
            <w:tcW w:w="1200" w:type="dxa"/>
            <w:shd w:val="clear" w:color="000000" w:fill="FFFFFF"/>
            <w:noWrap/>
            <w:vAlign w:val="center"/>
            <w:hideMark/>
          </w:tcPr>
          <w:p w14:paraId="26B6AF4F"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2.5</w:t>
            </w:r>
          </w:p>
        </w:tc>
        <w:tc>
          <w:tcPr>
            <w:tcW w:w="1200" w:type="dxa"/>
            <w:shd w:val="clear" w:color="000000" w:fill="FFFFFF"/>
            <w:noWrap/>
            <w:vAlign w:val="center"/>
            <w:hideMark/>
          </w:tcPr>
          <w:p w14:paraId="4970347A" w14:textId="77777777" w:rsidR="00E65A70" w:rsidRPr="00403AB4" w:rsidRDefault="00E65A70" w:rsidP="00BF2538">
            <w:pPr>
              <w:jc w:val="center"/>
              <w:rPr>
                <w:b/>
                <w:bCs/>
                <w:color w:val="000000"/>
                <w:sz w:val="22"/>
                <w:szCs w:val="22"/>
                <w:lang w:val="es-GT" w:eastAsia="es-GT"/>
              </w:rPr>
            </w:pPr>
            <w:r w:rsidRPr="00403AB4">
              <w:rPr>
                <w:b/>
                <w:bCs/>
                <w:color w:val="000000"/>
                <w:sz w:val="22"/>
                <w:szCs w:val="22"/>
                <w:lang w:val="es-GT" w:eastAsia="es-GT"/>
              </w:rPr>
              <w:t>1.9</w:t>
            </w:r>
          </w:p>
        </w:tc>
      </w:tr>
      <w:tr w:rsidR="00E65A70" w:rsidRPr="00403AB4" w14:paraId="74AE882E" w14:textId="77777777" w:rsidTr="00A52B98">
        <w:trPr>
          <w:trHeight w:val="300"/>
        </w:trPr>
        <w:tc>
          <w:tcPr>
            <w:tcW w:w="4120" w:type="dxa"/>
            <w:shd w:val="clear" w:color="000000" w:fill="FFFFFF"/>
            <w:noWrap/>
            <w:vAlign w:val="bottom"/>
            <w:hideMark/>
          </w:tcPr>
          <w:p w14:paraId="61835233"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Brasil</w:t>
            </w:r>
          </w:p>
        </w:tc>
        <w:tc>
          <w:tcPr>
            <w:tcW w:w="1200" w:type="dxa"/>
            <w:shd w:val="clear" w:color="000000" w:fill="FFFFFF"/>
            <w:noWrap/>
            <w:vAlign w:val="bottom"/>
            <w:hideMark/>
          </w:tcPr>
          <w:p w14:paraId="05F5648B"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-3.9</w:t>
            </w:r>
          </w:p>
        </w:tc>
        <w:tc>
          <w:tcPr>
            <w:tcW w:w="1200" w:type="dxa"/>
            <w:shd w:val="clear" w:color="000000" w:fill="FFFFFF"/>
            <w:noWrap/>
            <w:vAlign w:val="bottom"/>
            <w:hideMark/>
          </w:tcPr>
          <w:p w14:paraId="321EDF32"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4.6</w:t>
            </w:r>
          </w:p>
        </w:tc>
        <w:tc>
          <w:tcPr>
            <w:tcW w:w="1200" w:type="dxa"/>
            <w:shd w:val="clear" w:color="000000" w:fill="FFFFFF"/>
            <w:noWrap/>
            <w:vAlign w:val="bottom"/>
            <w:hideMark/>
          </w:tcPr>
          <w:p w14:paraId="65654B91"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1.5</w:t>
            </w:r>
          </w:p>
        </w:tc>
        <w:tc>
          <w:tcPr>
            <w:tcW w:w="1200" w:type="dxa"/>
            <w:shd w:val="clear" w:color="000000" w:fill="FFFFFF"/>
            <w:noWrap/>
            <w:vAlign w:val="bottom"/>
            <w:hideMark/>
          </w:tcPr>
          <w:p w14:paraId="7A10E1AC"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0.8</w:t>
            </w:r>
          </w:p>
        </w:tc>
      </w:tr>
      <w:tr w:rsidR="00E65A70" w:rsidRPr="00403AB4" w14:paraId="2E33E7D9" w14:textId="77777777" w:rsidTr="00A52B98">
        <w:trPr>
          <w:trHeight w:val="300"/>
        </w:trPr>
        <w:tc>
          <w:tcPr>
            <w:tcW w:w="4120" w:type="dxa"/>
            <w:shd w:val="clear" w:color="000000" w:fill="FFFFFF"/>
            <w:noWrap/>
            <w:vAlign w:val="bottom"/>
            <w:hideMark/>
          </w:tcPr>
          <w:p w14:paraId="66AB40EC" w14:textId="77777777" w:rsidR="00E65A70" w:rsidRPr="00403AB4" w:rsidRDefault="00E65A70" w:rsidP="00BF2538">
            <w:pPr>
              <w:ind w:firstLineChars="200" w:firstLine="440"/>
              <w:rPr>
                <w:color w:val="000000"/>
                <w:sz w:val="22"/>
                <w:szCs w:val="22"/>
                <w:lang w:val="es-GT" w:eastAsia="es-GT"/>
              </w:rPr>
            </w:pPr>
            <w:r w:rsidRPr="00403AB4">
              <w:rPr>
                <w:color w:val="000000"/>
                <w:sz w:val="22"/>
                <w:szCs w:val="22"/>
                <w:lang w:val="es-GT" w:eastAsia="es-GT"/>
              </w:rPr>
              <w:t>México</w:t>
            </w:r>
          </w:p>
        </w:tc>
        <w:tc>
          <w:tcPr>
            <w:tcW w:w="1200" w:type="dxa"/>
            <w:shd w:val="clear" w:color="000000" w:fill="FFFFFF"/>
            <w:noWrap/>
            <w:vAlign w:val="bottom"/>
            <w:hideMark/>
          </w:tcPr>
          <w:p w14:paraId="52E69372"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-8.2</w:t>
            </w:r>
          </w:p>
        </w:tc>
        <w:tc>
          <w:tcPr>
            <w:tcW w:w="1200" w:type="dxa"/>
            <w:shd w:val="clear" w:color="000000" w:fill="FFFFFF"/>
            <w:noWrap/>
            <w:vAlign w:val="bottom"/>
            <w:hideMark/>
          </w:tcPr>
          <w:p w14:paraId="72B363F6"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4.8</w:t>
            </w:r>
          </w:p>
        </w:tc>
        <w:tc>
          <w:tcPr>
            <w:tcW w:w="1200" w:type="dxa"/>
            <w:shd w:val="clear" w:color="000000" w:fill="FFFFFF"/>
            <w:noWrap/>
            <w:vAlign w:val="bottom"/>
            <w:hideMark/>
          </w:tcPr>
          <w:p w14:paraId="670ED59E"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1.7</w:t>
            </w:r>
          </w:p>
        </w:tc>
        <w:tc>
          <w:tcPr>
            <w:tcW w:w="1200" w:type="dxa"/>
            <w:shd w:val="clear" w:color="000000" w:fill="FFFFFF"/>
            <w:noWrap/>
            <w:vAlign w:val="bottom"/>
            <w:hideMark/>
          </w:tcPr>
          <w:p w14:paraId="3F25F4FA" w14:textId="77777777" w:rsidR="00E65A70" w:rsidRPr="00403AB4" w:rsidRDefault="00E65A70" w:rsidP="00BF2538">
            <w:pPr>
              <w:jc w:val="center"/>
              <w:rPr>
                <w:color w:val="000000"/>
                <w:sz w:val="22"/>
                <w:szCs w:val="22"/>
                <w:lang w:val="es-GT" w:eastAsia="es-GT"/>
              </w:rPr>
            </w:pPr>
            <w:r w:rsidRPr="00403AB4">
              <w:rPr>
                <w:color w:val="000000"/>
                <w:sz w:val="22"/>
                <w:szCs w:val="22"/>
                <w:lang w:val="es-GT" w:eastAsia="es-GT"/>
              </w:rPr>
              <w:t>1.9</w:t>
            </w:r>
          </w:p>
        </w:tc>
      </w:tr>
    </w:tbl>
    <w:p w14:paraId="44A8937A" w14:textId="1BC9F8AB" w:rsidR="000C11FD" w:rsidRPr="00DA174C" w:rsidRDefault="00E65A70" w:rsidP="00E65A70">
      <w:pPr>
        <w:pStyle w:val="Default"/>
        <w:jc w:val="both"/>
        <w:rPr>
          <w:rFonts w:ascii="Times New Roman" w:hAnsi="Times New Roman" w:cs="Times New Roman"/>
          <w:color w:val="auto"/>
          <w:sz w:val="18"/>
        </w:rPr>
      </w:pPr>
      <w:r>
        <w:rPr>
          <w:rFonts w:ascii="Times New Roman" w:hAnsi="Times New Roman" w:cs="Times New Roman"/>
          <w:color w:val="auto"/>
          <w:sz w:val="16"/>
        </w:rPr>
        <w:fldChar w:fldCharType="end"/>
      </w:r>
      <w:proofErr w:type="spellStart"/>
      <w:r w:rsidR="000C11FD" w:rsidRPr="00DA174C">
        <w:rPr>
          <w:rFonts w:ascii="Times New Roman" w:hAnsi="Times New Roman" w:cs="Times New Roman"/>
          <w:color w:val="auto"/>
          <w:sz w:val="18"/>
        </w:rPr>
        <w:t>py</w:t>
      </w:r>
      <w:proofErr w:type="spellEnd"/>
      <w:r w:rsidR="000C11FD" w:rsidRPr="00DA174C">
        <w:rPr>
          <w:rFonts w:ascii="Times New Roman" w:hAnsi="Times New Roman" w:cs="Times New Roman"/>
          <w:color w:val="auto"/>
          <w:sz w:val="18"/>
        </w:rPr>
        <w:t xml:space="preserve"> = proyectado</w:t>
      </w:r>
    </w:p>
    <w:p w14:paraId="18523F2F" w14:textId="36503410" w:rsidR="00E65A70" w:rsidRDefault="00E65A70" w:rsidP="00E65A70">
      <w:pPr>
        <w:pStyle w:val="Default"/>
        <w:jc w:val="both"/>
        <w:rPr>
          <w:rFonts w:ascii="Times New Roman" w:hAnsi="Times New Roman" w:cs="Times New Roman"/>
          <w:color w:val="auto"/>
          <w:sz w:val="16"/>
        </w:rPr>
      </w:pPr>
      <w:r w:rsidRPr="000C11FD">
        <w:rPr>
          <w:rFonts w:ascii="Times New Roman" w:hAnsi="Times New Roman" w:cs="Times New Roman"/>
          <w:color w:val="auto"/>
          <w:sz w:val="18"/>
        </w:rPr>
        <w:t xml:space="preserve">Fuente: FMI "Actualización de </w:t>
      </w:r>
      <w:r w:rsidR="000C11FD">
        <w:rPr>
          <w:rFonts w:ascii="Times New Roman" w:hAnsi="Times New Roman" w:cs="Times New Roman"/>
          <w:color w:val="auto"/>
          <w:sz w:val="18"/>
        </w:rPr>
        <w:t>P</w:t>
      </w:r>
      <w:r w:rsidRPr="000C11FD">
        <w:rPr>
          <w:rFonts w:ascii="Times New Roman" w:hAnsi="Times New Roman" w:cs="Times New Roman"/>
          <w:color w:val="auto"/>
          <w:sz w:val="18"/>
        </w:rPr>
        <w:t>erspectivas de la Economía Mundial, abril</w:t>
      </w:r>
      <w:r w:rsidR="000C11FD">
        <w:rPr>
          <w:rFonts w:ascii="Times New Roman" w:hAnsi="Times New Roman" w:cs="Times New Roman"/>
          <w:color w:val="auto"/>
          <w:sz w:val="18"/>
        </w:rPr>
        <w:t xml:space="preserve"> de</w:t>
      </w:r>
      <w:r w:rsidRPr="000C11FD">
        <w:rPr>
          <w:rFonts w:ascii="Times New Roman" w:hAnsi="Times New Roman" w:cs="Times New Roman"/>
          <w:color w:val="auto"/>
          <w:sz w:val="18"/>
        </w:rPr>
        <w:t xml:space="preserve"> 2023"</w:t>
      </w:r>
      <w:r w:rsidR="00DA174C">
        <w:rPr>
          <w:rFonts w:ascii="Times New Roman" w:hAnsi="Times New Roman" w:cs="Times New Roman"/>
          <w:color w:val="auto"/>
          <w:sz w:val="18"/>
        </w:rPr>
        <w:t>.</w:t>
      </w:r>
      <w:r w:rsidRPr="000C11FD">
        <w:rPr>
          <w:rFonts w:ascii="Times New Roman" w:hAnsi="Times New Roman" w:cs="Times New Roman"/>
          <w:color w:val="auto"/>
          <w:sz w:val="18"/>
        </w:rPr>
        <w:t xml:space="preserve"> World Bank </w:t>
      </w:r>
      <w:r w:rsidR="00DA174C">
        <w:rPr>
          <w:rFonts w:ascii="Times New Roman" w:hAnsi="Times New Roman" w:cs="Times New Roman"/>
          <w:color w:val="auto"/>
          <w:sz w:val="18"/>
        </w:rPr>
        <w:t>“</w:t>
      </w:r>
      <w:r w:rsidRPr="000C11FD">
        <w:rPr>
          <w:rFonts w:ascii="Times New Roman" w:hAnsi="Times New Roman" w:cs="Times New Roman"/>
          <w:color w:val="auto"/>
          <w:sz w:val="18"/>
        </w:rPr>
        <w:t>Global Economic Prospects</w:t>
      </w:r>
      <w:r w:rsidR="00DA174C">
        <w:rPr>
          <w:rFonts w:ascii="Times New Roman" w:hAnsi="Times New Roman" w:cs="Times New Roman"/>
          <w:color w:val="auto"/>
          <w:sz w:val="18"/>
        </w:rPr>
        <w:t>”, junio de 2023.</w:t>
      </w:r>
    </w:p>
    <w:p w14:paraId="264EAF44" w14:textId="77777777" w:rsidR="00E65A70" w:rsidRDefault="00E65A70" w:rsidP="00E65A70">
      <w:pPr>
        <w:pStyle w:val="Default"/>
        <w:jc w:val="both"/>
      </w:pPr>
    </w:p>
    <w:p w14:paraId="33A6783B" w14:textId="545AC1DA" w:rsidR="00E65A70" w:rsidRDefault="00E65A70" w:rsidP="00E65A70">
      <w:pPr>
        <w:pStyle w:val="Default"/>
        <w:shd w:val="clear" w:color="auto" w:fill="FFFFFF" w:themeFill="background1"/>
        <w:jc w:val="both"/>
        <w:rPr>
          <w:rFonts w:ascii="Times New Roman" w:hAnsi="Times New Roman" w:cs="Times New Roman"/>
        </w:rPr>
      </w:pPr>
      <w:r w:rsidRPr="004221D1">
        <w:rPr>
          <w:rFonts w:ascii="Times New Roman" w:hAnsi="Times New Roman" w:cs="Times New Roman"/>
        </w:rPr>
        <w:t xml:space="preserve">A primera vista, la economía mundial parece apuntar a una recuperación gradual tras los duros golpes de la pandemia </w:t>
      </w:r>
      <w:r w:rsidR="006C0C01">
        <w:rPr>
          <w:rFonts w:ascii="Times New Roman" w:hAnsi="Times New Roman" w:cs="Times New Roman"/>
        </w:rPr>
        <w:t xml:space="preserve">del Covid-19 </w:t>
      </w:r>
      <w:r w:rsidRPr="004221D1">
        <w:rPr>
          <w:rFonts w:ascii="Times New Roman" w:hAnsi="Times New Roman" w:cs="Times New Roman"/>
        </w:rPr>
        <w:t xml:space="preserve">y </w:t>
      </w:r>
      <w:r>
        <w:rPr>
          <w:rFonts w:ascii="Times New Roman" w:hAnsi="Times New Roman" w:cs="Times New Roman"/>
        </w:rPr>
        <w:t>del conflicto</w:t>
      </w:r>
      <w:r w:rsidR="006C0C01">
        <w:rPr>
          <w:rFonts w:ascii="Times New Roman" w:hAnsi="Times New Roman" w:cs="Times New Roman"/>
        </w:rPr>
        <w:t xml:space="preserve"> entre</w:t>
      </w:r>
      <w:r w:rsidRPr="004221D1">
        <w:rPr>
          <w:rFonts w:ascii="Times New Roman" w:hAnsi="Times New Roman" w:cs="Times New Roman"/>
        </w:rPr>
        <w:t xml:space="preserve"> Rusia</w:t>
      </w:r>
      <w:r w:rsidR="006C0C01">
        <w:rPr>
          <w:rFonts w:ascii="Times New Roman" w:hAnsi="Times New Roman" w:cs="Times New Roman"/>
        </w:rPr>
        <w:t xml:space="preserve"> y </w:t>
      </w:r>
      <w:r w:rsidRPr="004221D1">
        <w:rPr>
          <w:rFonts w:ascii="Times New Roman" w:hAnsi="Times New Roman" w:cs="Times New Roman"/>
        </w:rPr>
        <w:t xml:space="preserve">Ucrania. </w:t>
      </w:r>
      <w:r w:rsidR="006C0C01">
        <w:rPr>
          <w:rFonts w:ascii="Times New Roman" w:hAnsi="Times New Roman" w:cs="Times New Roman"/>
        </w:rPr>
        <w:t xml:space="preserve">En el caso de </w:t>
      </w:r>
      <w:r w:rsidRPr="004221D1">
        <w:rPr>
          <w:rFonts w:ascii="Times New Roman" w:hAnsi="Times New Roman" w:cs="Times New Roman"/>
        </w:rPr>
        <w:t>China</w:t>
      </w:r>
      <w:r w:rsidR="006C0C01">
        <w:rPr>
          <w:rFonts w:ascii="Times New Roman" w:hAnsi="Times New Roman" w:cs="Times New Roman"/>
        </w:rPr>
        <w:t>,</w:t>
      </w:r>
      <w:r w:rsidRPr="004221D1">
        <w:rPr>
          <w:rFonts w:ascii="Times New Roman" w:hAnsi="Times New Roman" w:cs="Times New Roman"/>
        </w:rPr>
        <w:t xml:space="preserve"> </w:t>
      </w:r>
      <w:r w:rsidR="006C0C01">
        <w:rPr>
          <w:rFonts w:ascii="Times New Roman" w:hAnsi="Times New Roman" w:cs="Times New Roman"/>
        </w:rPr>
        <w:t xml:space="preserve">se </w:t>
      </w:r>
      <w:r w:rsidRPr="004221D1">
        <w:rPr>
          <w:rFonts w:ascii="Times New Roman" w:hAnsi="Times New Roman" w:cs="Times New Roman"/>
        </w:rPr>
        <w:t xml:space="preserve">está </w:t>
      </w:r>
      <w:r w:rsidR="006C0C01">
        <w:rPr>
          <w:rFonts w:ascii="Times New Roman" w:hAnsi="Times New Roman" w:cs="Times New Roman"/>
        </w:rPr>
        <w:t xml:space="preserve">logrando un </w:t>
      </w:r>
      <w:r w:rsidRPr="004221D1">
        <w:rPr>
          <w:rFonts w:ascii="Times New Roman" w:hAnsi="Times New Roman" w:cs="Times New Roman"/>
        </w:rPr>
        <w:t>repunt</w:t>
      </w:r>
      <w:r w:rsidR="006C0C01">
        <w:rPr>
          <w:rFonts w:ascii="Times New Roman" w:hAnsi="Times New Roman" w:cs="Times New Roman"/>
        </w:rPr>
        <w:t>e</w:t>
      </w:r>
      <w:r w:rsidRPr="004221D1">
        <w:rPr>
          <w:rFonts w:ascii="Times New Roman" w:hAnsi="Times New Roman" w:cs="Times New Roman"/>
        </w:rPr>
        <w:t xml:space="preserve"> con fuerza tras la reapertura de su economía. Los fraccionamientos en las cadenas de suministro se están disipando, mientras que los trastornos en los mercados de la energía y los alimentos causados por la guerra están remitiendo. Al mismo tiempo, la importante y sincronizada contracción de la política monetaria llevada a cabo por la mayor parte de los bancos centrales debería comenzar a dar sus frutos, y la inflación debería retroceder hacia los niveles fijados como meta. </w:t>
      </w:r>
      <w:r>
        <w:rPr>
          <w:rFonts w:ascii="Times New Roman" w:hAnsi="Times New Roman" w:cs="Times New Roman"/>
        </w:rPr>
        <w:t xml:space="preserve">Por lo que, </w:t>
      </w:r>
      <w:r w:rsidR="006C0C01">
        <w:rPr>
          <w:rFonts w:ascii="Times New Roman" w:hAnsi="Times New Roman" w:cs="Times New Roman"/>
        </w:rPr>
        <w:t>con</w:t>
      </w:r>
      <w:r>
        <w:rPr>
          <w:rFonts w:ascii="Times New Roman" w:hAnsi="Times New Roman" w:cs="Times New Roman"/>
        </w:rPr>
        <w:t xml:space="preserve"> base </w:t>
      </w:r>
      <w:r w:rsidR="006C0C01">
        <w:rPr>
          <w:rFonts w:ascii="Times New Roman" w:hAnsi="Times New Roman" w:cs="Times New Roman"/>
        </w:rPr>
        <w:t>en</w:t>
      </w:r>
      <w:r>
        <w:rPr>
          <w:rFonts w:ascii="Times New Roman" w:hAnsi="Times New Roman" w:cs="Times New Roman"/>
        </w:rPr>
        <w:t xml:space="preserve"> </w:t>
      </w:r>
      <w:r w:rsidRPr="004221D1">
        <w:rPr>
          <w:rFonts w:ascii="Times New Roman" w:hAnsi="Times New Roman" w:cs="Times New Roman"/>
        </w:rPr>
        <w:t>el último pronóstico del F</w:t>
      </w:r>
      <w:r w:rsidR="006C0C01">
        <w:rPr>
          <w:rFonts w:ascii="Times New Roman" w:hAnsi="Times New Roman" w:cs="Times New Roman"/>
        </w:rPr>
        <w:t>ondo Monetario Internacional (F</w:t>
      </w:r>
      <w:r w:rsidRPr="004221D1">
        <w:rPr>
          <w:rFonts w:ascii="Times New Roman" w:hAnsi="Times New Roman" w:cs="Times New Roman"/>
        </w:rPr>
        <w:t>MI</w:t>
      </w:r>
      <w:r w:rsidR="006C0C01">
        <w:rPr>
          <w:rFonts w:ascii="Times New Roman" w:hAnsi="Times New Roman" w:cs="Times New Roman"/>
        </w:rPr>
        <w:t>)</w:t>
      </w:r>
      <w:r w:rsidRPr="004221D1">
        <w:rPr>
          <w:rFonts w:ascii="Times New Roman" w:hAnsi="Times New Roman" w:cs="Times New Roman"/>
        </w:rPr>
        <w:t xml:space="preserve">, el crecimiento mundial </w:t>
      </w:r>
      <w:r>
        <w:rPr>
          <w:rFonts w:ascii="Times New Roman" w:hAnsi="Times New Roman" w:cs="Times New Roman"/>
        </w:rPr>
        <w:t xml:space="preserve">podría situarse </w:t>
      </w:r>
      <w:r w:rsidR="006C0C01">
        <w:rPr>
          <w:rFonts w:ascii="Times New Roman" w:hAnsi="Times New Roman" w:cs="Times New Roman"/>
        </w:rPr>
        <w:t>en torno</w:t>
      </w:r>
      <w:r>
        <w:rPr>
          <w:rFonts w:ascii="Times New Roman" w:hAnsi="Times New Roman" w:cs="Times New Roman"/>
        </w:rPr>
        <w:t xml:space="preserve"> al</w:t>
      </w:r>
      <w:r w:rsidRPr="004221D1">
        <w:rPr>
          <w:rFonts w:ascii="Times New Roman" w:hAnsi="Times New Roman" w:cs="Times New Roman"/>
        </w:rPr>
        <w:t xml:space="preserve"> 2</w:t>
      </w:r>
      <w:r>
        <w:rPr>
          <w:rFonts w:ascii="Times New Roman" w:hAnsi="Times New Roman" w:cs="Times New Roman"/>
        </w:rPr>
        <w:t>.9</w:t>
      </w:r>
      <w:r w:rsidRPr="004221D1">
        <w:rPr>
          <w:rFonts w:ascii="Times New Roman" w:hAnsi="Times New Roman" w:cs="Times New Roman"/>
        </w:rPr>
        <w:t>% este año, para luego aumentar ligeramente a 3</w:t>
      </w:r>
      <w:r>
        <w:rPr>
          <w:rFonts w:ascii="Times New Roman" w:hAnsi="Times New Roman" w:cs="Times New Roman"/>
        </w:rPr>
        <w:t>.</w:t>
      </w:r>
      <w:r w:rsidRPr="004221D1">
        <w:rPr>
          <w:rFonts w:ascii="Times New Roman" w:hAnsi="Times New Roman" w:cs="Times New Roman"/>
        </w:rPr>
        <w:t>0% en 2024</w:t>
      </w:r>
      <w:r>
        <w:rPr>
          <w:rFonts w:ascii="Times New Roman" w:hAnsi="Times New Roman" w:cs="Times New Roman"/>
        </w:rPr>
        <w:t>.</w:t>
      </w:r>
    </w:p>
    <w:p w14:paraId="145F2F93" w14:textId="77777777" w:rsidR="00E65A70" w:rsidRPr="004221D1" w:rsidRDefault="00E65A70" w:rsidP="00E65A70">
      <w:pPr>
        <w:pStyle w:val="Default"/>
        <w:shd w:val="clear" w:color="auto" w:fill="FFFFFF" w:themeFill="background1"/>
        <w:jc w:val="both"/>
        <w:rPr>
          <w:rFonts w:ascii="Times New Roman" w:hAnsi="Times New Roman" w:cs="Times New Roman"/>
        </w:rPr>
      </w:pPr>
    </w:p>
    <w:p w14:paraId="22B0E076" w14:textId="53FB7707" w:rsidR="00E65A70" w:rsidRDefault="00E65A70" w:rsidP="00E65A70">
      <w:pPr>
        <w:pStyle w:val="Sinespaciado"/>
        <w:ind w:right="49"/>
        <w:jc w:val="both"/>
        <w:rPr>
          <w:rFonts w:ascii="Times New Roman" w:hAnsi="Times New Roman"/>
          <w:color w:val="000000"/>
          <w:lang w:val="es-GT" w:eastAsia="es-ES"/>
        </w:rPr>
      </w:pPr>
      <w:r>
        <w:rPr>
          <w:rFonts w:ascii="Times New Roman" w:hAnsi="Times New Roman"/>
          <w:color w:val="000000"/>
          <w:lang w:val="es-GT" w:eastAsia="es-ES"/>
        </w:rPr>
        <w:t>Lo anterior, c</w:t>
      </w:r>
      <w:r w:rsidRPr="004221D1">
        <w:rPr>
          <w:rFonts w:ascii="Times New Roman" w:hAnsi="Times New Roman"/>
          <w:color w:val="000000"/>
          <w:lang w:val="es-GT" w:eastAsia="es-ES"/>
        </w:rPr>
        <w:t>omo resultado de la pandemia y la agitación económica de los últimos tres años</w:t>
      </w:r>
      <w:r w:rsidR="00494AA5">
        <w:rPr>
          <w:rFonts w:ascii="Times New Roman" w:hAnsi="Times New Roman"/>
          <w:color w:val="000000"/>
          <w:lang w:val="es-GT" w:eastAsia="es-ES"/>
        </w:rPr>
        <w:t>;</w:t>
      </w:r>
      <w:r w:rsidRPr="004221D1">
        <w:rPr>
          <w:rFonts w:ascii="Times New Roman" w:hAnsi="Times New Roman"/>
          <w:color w:val="000000"/>
          <w:lang w:val="es-GT" w:eastAsia="es-ES"/>
        </w:rPr>
        <w:t xml:space="preserve"> la deuda pública y privada</w:t>
      </w:r>
      <w:r>
        <w:rPr>
          <w:rFonts w:ascii="Times New Roman" w:hAnsi="Times New Roman"/>
          <w:color w:val="000000"/>
          <w:lang w:val="es-GT" w:eastAsia="es-ES"/>
        </w:rPr>
        <w:t>, que</w:t>
      </w:r>
      <w:r w:rsidRPr="004221D1">
        <w:rPr>
          <w:rFonts w:ascii="Times New Roman" w:hAnsi="Times New Roman"/>
          <w:color w:val="000000"/>
          <w:lang w:val="es-GT" w:eastAsia="es-ES"/>
        </w:rPr>
        <w:t xml:space="preserve"> ha alcanzado niveles no observados en décadas en la mayoría de las economías y permanecen en niveles elevados, pese a haber descendido en 2021</w:t>
      </w:r>
      <w:r w:rsidR="00494AA5">
        <w:rPr>
          <w:rFonts w:ascii="Times New Roman" w:hAnsi="Times New Roman"/>
          <w:color w:val="000000"/>
          <w:lang w:val="es-GT" w:eastAsia="es-ES"/>
        </w:rPr>
        <w:t>-20</w:t>
      </w:r>
      <w:r w:rsidRPr="004221D1">
        <w:rPr>
          <w:rFonts w:ascii="Times New Roman" w:hAnsi="Times New Roman"/>
          <w:color w:val="000000"/>
          <w:lang w:val="es-GT" w:eastAsia="es-ES"/>
        </w:rPr>
        <w:t>22 gracias a la reactivación económica tras la</w:t>
      </w:r>
      <w:r>
        <w:rPr>
          <w:rFonts w:ascii="Times New Roman" w:hAnsi="Times New Roman"/>
          <w:color w:val="000000"/>
          <w:lang w:val="es-GT" w:eastAsia="es-ES"/>
        </w:rPr>
        <w:t xml:space="preserve"> pandemia de</w:t>
      </w:r>
      <w:r w:rsidR="00494AA5">
        <w:rPr>
          <w:rFonts w:ascii="Times New Roman" w:hAnsi="Times New Roman"/>
          <w:color w:val="000000"/>
          <w:lang w:val="es-GT" w:eastAsia="es-ES"/>
        </w:rPr>
        <w:t>l</w:t>
      </w:r>
      <w:r w:rsidRPr="004221D1">
        <w:rPr>
          <w:rFonts w:ascii="Times New Roman" w:hAnsi="Times New Roman"/>
          <w:color w:val="000000"/>
          <w:lang w:val="es-GT" w:eastAsia="es-ES"/>
        </w:rPr>
        <w:t xml:space="preserve"> C</w:t>
      </w:r>
      <w:r w:rsidR="00494AA5">
        <w:rPr>
          <w:rFonts w:ascii="Times New Roman" w:hAnsi="Times New Roman"/>
          <w:color w:val="000000"/>
          <w:lang w:val="es-GT" w:eastAsia="es-ES"/>
        </w:rPr>
        <w:t>ovid</w:t>
      </w:r>
      <w:r w:rsidRPr="004221D1">
        <w:rPr>
          <w:rFonts w:ascii="Times New Roman" w:hAnsi="Times New Roman"/>
          <w:color w:val="000000"/>
          <w:lang w:val="es-GT" w:eastAsia="es-ES"/>
        </w:rPr>
        <w:noBreakHyphen/>
        <w:t>19 y al aumento de la inflación</w:t>
      </w:r>
      <w:r>
        <w:rPr>
          <w:rFonts w:ascii="Times New Roman" w:hAnsi="Times New Roman"/>
          <w:color w:val="000000"/>
          <w:lang w:val="es-GT" w:eastAsia="es-ES"/>
        </w:rPr>
        <w:t>.</w:t>
      </w:r>
    </w:p>
    <w:p w14:paraId="769FE256" w14:textId="77777777" w:rsidR="00E65A70" w:rsidRDefault="00E65A70" w:rsidP="00E65A70">
      <w:pPr>
        <w:pStyle w:val="Sinespaciado"/>
        <w:ind w:right="49"/>
        <w:jc w:val="both"/>
        <w:rPr>
          <w:rFonts w:ascii="Times New Roman" w:hAnsi="Times New Roman"/>
          <w:color w:val="000000"/>
          <w:lang w:val="es-GT" w:eastAsia="es-ES"/>
        </w:rPr>
      </w:pPr>
    </w:p>
    <w:p w14:paraId="4A6DA40D" w14:textId="06EE5353" w:rsidR="008A2431" w:rsidRDefault="00E65A70" w:rsidP="00E65A70">
      <w:pPr>
        <w:pStyle w:val="Sinespaciado"/>
        <w:ind w:right="49"/>
        <w:jc w:val="both"/>
        <w:rPr>
          <w:rFonts w:ascii="Times New Roman" w:hAnsi="Times New Roman"/>
          <w:color w:val="000000"/>
          <w:lang w:val="es-GT" w:eastAsia="es-ES"/>
        </w:rPr>
      </w:pPr>
      <w:r>
        <w:rPr>
          <w:rFonts w:ascii="Times New Roman" w:hAnsi="Times New Roman"/>
          <w:color w:val="000000"/>
          <w:lang w:val="es-GT" w:eastAsia="es-ES"/>
        </w:rPr>
        <w:t>Por otra parte, e</w:t>
      </w:r>
      <w:r w:rsidRPr="004221D1">
        <w:rPr>
          <w:rFonts w:ascii="Times New Roman" w:hAnsi="Times New Roman"/>
          <w:color w:val="000000"/>
          <w:lang w:val="es-GT" w:eastAsia="es-ES"/>
        </w:rPr>
        <w:t>l endurecimiento de la política monetaria</w:t>
      </w:r>
      <w:r>
        <w:rPr>
          <w:rFonts w:ascii="Times New Roman" w:hAnsi="Times New Roman"/>
          <w:color w:val="000000"/>
          <w:lang w:val="es-GT" w:eastAsia="es-ES"/>
        </w:rPr>
        <w:t xml:space="preserve">, </w:t>
      </w:r>
      <w:r w:rsidRPr="004221D1">
        <w:rPr>
          <w:rFonts w:ascii="Times New Roman" w:hAnsi="Times New Roman"/>
          <w:color w:val="000000"/>
          <w:lang w:val="es-GT" w:eastAsia="es-ES"/>
        </w:rPr>
        <w:t>en particular por parte de las principales economías avanzadas</w:t>
      </w:r>
      <w:r>
        <w:rPr>
          <w:rFonts w:ascii="Times New Roman" w:hAnsi="Times New Roman"/>
          <w:color w:val="000000"/>
          <w:lang w:val="es-GT" w:eastAsia="es-ES"/>
        </w:rPr>
        <w:t>, h</w:t>
      </w:r>
      <w:r w:rsidRPr="004221D1">
        <w:rPr>
          <w:rFonts w:ascii="Times New Roman" w:hAnsi="Times New Roman"/>
          <w:color w:val="000000"/>
          <w:lang w:val="es-GT" w:eastAsia="es-ES"/>
        </w:rPr>
        <w:t>a provocado fuertes aumentos de los costos de</w:t>
      </w:r>
      <w:r w:rsidR="00565826">
        <w:rPr>
          <w:rFonts w:ascii="Times New Roman" w:hAnsi="Times New Roman"/>
          <w:color w:val="000000"/>
          <w:lang w:val="es-GT" w:eastAsia="es-ES"/>
        </w:rPr>
        <w:t>l</w:t>
      </w:r>
      <w:r w:rsidRPr="004221D1">
        <w:rPr>
          <w:rFonts w:ascii="Times New Roman" w:hAnsi="Times New Roman"/>
          <w:color w:val="000000"/>
          <w:lang w:val="es-GT" w:eastAsia="es-ES"/>
        </w:rPr>
        <w:t xml:space="preserve"> endeudamiento, a raíz de lo cual han surgido preocupaciones acerca de la sostenibilidad de la deuda </w:t>
      </w:r>
      <w:r w:rsidR="00B458C0">
        <w:rPr>
          <w:rFonts w:ascii="Times New Roman" w:hAnsi="Times New Roman"/>
          <w:color w:val="000000"/>
          <w:lang w:val="es-GT" w:eastAsia="es-ES"/>
        </w:rPr>
        <w:t xml:space="preserve">pública </w:t>
      </w:r>
      <w:r w:rsidRPr="004221D1">
        <w:rPr>
          <w:rFonts w:ascii="Times New Roman" w:hAnsi="Times New Roman"/>
          <w:color w:val="000000"/>
          <w:lang w:val="es-GT" w:eastAsia="es-ES"/>
        </w:rPr>
        <w:t xml:space="preserve">de </w:t>
      </w:r>
      <w:r w:rsidR="00B458C0">
        <w:rPr>
          <w:rFonts w:ascii="Times New Roman" w:hAnsi="Times New Roman"/>
          <w:color w:val="000000"/>
          <w:lang w:val="es-GT" w:eastAsia="es-ES"/>
        </w:rPr>
        <w:t>determinadas</w:t>
      </w:r>
      <w:r w:rsidRPr="004221D1">
        <w:rPr>
          <w:rFonts w:ascii="Times New Roman" w:hAnsi="Times New Roman"/>
          <w:color w:val="000000"/>
          <w:lang w:val="es-GT" w:eastAsia="es-ES"/>
        </w:rPr>
        <w:t xml:space="preserve"> economías.</w:t>
      </w:r>
    </w:p>
    <w:p w14:paraId="45F56DD9" w14:textId="4CCC3D81" w:rsidR="00E65A70" w:rsidRDefault="00E65A70" w:rsidP="00E65A70">
      <w:pPr>
        <w:pStyle w:val="Sinespaciado"/>
        <w:ind w:right="49"/>
        <w:jc w:val="both"/>
        <w:rPr>
          <w:rFonts w:ascii="Times New Roman" w:hAnsi="Times New Roman"/>
          <w:color w:val="000000"/>
          <w:lang w:val="es-GT" w:eastAsia="es-ES"/>
        </w:rPr>
      </w:pPr>
      <w:r w:rsidRPr="004221D1">
        <w:rPr>
          <w:rFonts w:ascii="Times New Roman" w:hAnsi="Times New Roman"/>
          <w:color w:val="000000"/>
          <w:lang w:val="es-GT" w:eastAsia="es-ES"/>
        </w:rPr>
        <w:t>En el grupo de economías de mercados emergentes y en desarrollo, el nivel medio y la distribución de los diferenciales soberanos aumentaron marcadamente en el tercer trimestre de 2022, para después</w:t>
      </w:r>
      <w:r w:rsidR="00B458C0">
        <w:rPr>
          <w:rFonts w:ascii="Times New Roman" w:hAnsi="Times New Roman"/>
          <w:color w:val="000000"/>
          <w:lang w:val="es-GT" w:eastAsia="es-ES"/>
        </w:rPr>
        <w:t>, empezar a</w:t>
      </w:r>
      <w:r w:rsidRPr="004221D1">
        <w:rPr>
          <w:rFonts w:ascii="Times New Roman" w:hAnsi="Times New Roman"/>
          <w:color w:val="000000"/>
          <w:lang w:val="es-GT" w:eastAsia="es-ES"/>
        </w:rPr>
        <w:t xml:space="preserve"> descender a </w:t>
      </w:r>
      <w:r w:rsidR="00B458C0">
        <w:rPr>
          <w:rFonts w:ascii="Times New Roman" w:hAnsi="Times New Roman"/>
          <w:color w:val="000000"/>
          <w:lang w:val="es-GT" w:eastAsia="es-ES"/>
        </w:rPr>
        <w:t>principios</w:t>
      </w:r>
      <w:r w:rsidRPr="004221D1">
        <w:rPr>
          <w:rFonts w:ascii="Times New Roman" w:hAnsi="Times New Roman"/>
          <w:color w:val="000000"/>
          <w:lang w:val="es-GT" w:eastAsia="es-ES"/>
        </w:rPr>
        <w:t xml:space="preserve"> de</w:t>
      </w:r>
      <w:r w:rsidR="00B458C0">
        <w:rPr>
          <w:rFonts w:ascii="Times New Roman" w:hAnsi="Times New Roman"/>
          <w:color w:val="000000"/>
          <w:lang w:val="es-GT" w:eastAsia="es-ES"/>
        </w:rPr>
        <w:t>l año</w:t>
      </w:r>
      <w:r w:rsidRPr="004221D1">
        <w:rPr>
          <w:rFonts w:ascii="Times New Roman" w:hAnsi="Times New Roman"/>
          <w:color w:val="000000"/>
          <w:lang w:val="es-GT" w:eastAsia="es-ES"/>
        </w:rPr>
        <w:t xml:space="preserve"> 2023. Los efectos de la más reciente turbulencia en los mercados financieros sobre los diferenciales soberanos de las economías de mercados emergentes y en desarrollo</w:t>
      </w:r>
      <w:r w:rsidR="00144391">
        <w:rPr>
          <w:rFonts w:ascii="Times New Roman" w:hAnsi="Times New Roman"/>
          <w:color w:val="000000"/>
          <w:lang w:val="es-GT" w:eastAsia="es-ES"/>
        </w:rPr>
        <w:t>,</w:t>
      </w:r>
      <w:r w:rsidRPr="004221D1">
        <w:rPr>
          <w:rFonts w:ascii="Times New Roman" w:hAnsi="Times New Roman"/>
          <w:color w:val="000000"/>
          <w:lang w:val="es-GT" w:eastAsia="es-ES"/>
        </w:rPr>
        <w:t xml:space="preserve"> han sido limitados hasta ahora, pero existe un riesgo tangible de un aumento sorpresivo en los próximos meses</w:t>
      </w:r>
      <w:r w:rsidR="00B458C0">
        <w:rPr>
          <w:rFonts w:ascii="Times New Roman" w:hAnsi="Times New Roman"/>
          <w:color w:val="000000"/>
          <w:lang w:val="es-GT" w:eastAsia="es-ES"/>
        </w:rPr>
        <w:t>,</w:t>
      </w:r>
      <w:r w:rsidRPr="004221D1">
        <w:rPr>
          <w:rFonts w:ascii="Times New Roman" w:hAnsi="Times New Roman"/>
          <w:color w:val="000000"/>
          <w:lang w:val="es-GT" w:eastAsia="es-ES"/>
        </w:rPr>
        <w:t xml:space="preserve"> en el caso de que las condiciones financieras mundiales se v</w:t>
      </w:r>
      <w:r w:rsidR="00B458C0">
        <w:rPr>
          <w:rFonts w:ascii="Times New Roman" w:hAnsi="Times New Roman"/>
          <w:color w:val="000000"/>
          <w:lang w:val="es-GT" w:eastAsia="es-ES"/>
        </w:rPr>
        <w:t>uelvan</w:t>
      </w:r>
      <w:r w:rsidRPr="004221D1">
        <w:rPr>
          <w:rFonts w:ascii="Times New Roman" w:hAnsi="Times New Roman"/>
          <w:color w:val="000000"/>
          <w:lang w:val="es-GT" w:eastAsia="es-ES"/>
        </w:rPr>
        <w:t xml:space="preserve"> aún más restrictivas.</w:t>
      </w:r>
    </w:p>
    <w:p w14:paraId="7383E4DC" w14:textId="77777777" w:rsidR="00E65A70" w:rsidRDefault="00E65A70" w:rsidP="00E65A70">
      <w:pPr>
        <w:pStyle w:val="Sinespaciado"/>
        <w:ind w:right="49"/>
        <w:jc w:val="both"/>
        <w:rPr>
          <w:rFonts w:ascii="Times New Roman" w:hAnsi="Times New Roman"/>
          <w:color w:val="000000"/>
          <w:lang w:val="es-GT" w:eastAsia="es-ES"/>
        </w:rPr>
      </w:pPr>
    </w:p>
    <w:p w14:paraId="25EFD39E" w14:textId="46E2FC52" w:rsidR="00E65A70" w:rsidRDefault="00E65A70" w:rsidP="00E65A70">
      <w:pPr>
        <w:pStyle w:val="Sinespaciado"/>
        <w:ind w:right="49"/>
        <w:jc w:val="both"/>
        <w:rPr>
          <w:rFonts w:ascii="Times New Roman" w:hAnsi="Times New Roman"/>
          <w:color w:val="000000"/>
          <w:lang w:val="es-GT" w:eastAsia="es-ES"/>
        </w:rPr>
      </w:pPr>
      <w:r>
        <w:rPr>
          <w:rFonts w:ascii="Times New Roman" w:hAnsi="Times New Roman"/>
          <w:color w:val="000000"/>
          <w:lang w:val="es-GT" w:eastAsia="es-ES"/>
        </w:rPr>
        <w:t>De esa cuenta, e</w:t>
      </w:r>
      <w:r w:rsidRPr="00DF454D">
        <w:rPr>
          <w:rFonts w:ascii="Times New Roman" w:hAnsi="Times New Roman"/>
          <w:color w:val="000000"/>
          <w:lang w:val="es-GT" w:eastAsia="es-ES"/>
        </w:rPr>
        <w:t>n las economías emergentes y en desarrollo se registraría un crecimiento económico de 3.</w:t>
      </w:r>
      <w:r>
        <w:rPr>
          <w:rFonts w:ascii="Times New Roman" w:hAnsi="Times New Roman"/>
          <w:color w:val="000000"/>
          <w:lang w:val="es-GT" w:eastAsia="es-ES"/>
        </w:rPr>
        <w:t>4</w:t>
      </w:r>
      <w:r w:rsidRPr="00DF454D">
        <w:rPr>
          <w:rFonts w:ascii="Times New Roman" w:hAnsi="Times New Roman"/>
          <w:color w:val="000000"/>
          <w:lang w:val="es-GT" w:eastAsia="es-ES"/>
        </w:rPr>
        <w:t xml:space="preserve">% en 2023 y </w:t>
      </w:r>
      <w:r w:rsidR="00144391">
        <w:rPr>
          <w:rFonts w:ascii="Times New Roman" w:hAnsi="Times New Roman"/>
          <w:color w:val="000000"/>
          <w:lang w:val="es-GT" w:eastAsia="es-ES"/>
        </w:rPr>
        <w:t xml:space="preserve">de </w:t>
      </w:r>
      <w:r w:rsidRPr="00DF454D">
        <w:rPr>
          <w:rFonts w:ascii="Times New Roman" w:hAnsi="Times New Roman"/>
          <w:color w:val="000000"/>
          <w:lang w:val="es-GT" w:eastAsia="es-ES"/>
        </w:rPr>
        <w:t xml:space="preserve">4.2% en 2024, apoyado por la reapertura económica en la República Popular </w:t>
      </w:r>
      <w:r w:rsidR="00144391">
        <w:rPr>
          <w:rFonts w:ascii="Times New Roman" w:hAnsi="Times New Roman"/>
          <w:color w:val="000000"/>
          <w:lang w:val="es-GT" w:eastAsia="es-ES"/>
        </w:rPr>
        <w:t xml:space="preserve">de </w:t>
      </w:r>
      <w:r w:rsidRPr="00DF454D">
        <w:rPr>
          <w:rFonts w:ascii="Times New Roman" w:hAnsi="Times New Roman"/>
          <w:color w:val="000000"/>
          <w:lang w:val="es-GT" w:eastAsia="es-ES"/>
        </w:rPr>
        <w:t xml:space="preserve">China y el dinamismo de la economía </w:t>
      </w:r>
      <w:r w:rsidR="00144391">
        <w:rPr>
          <w:rFonts w:ascii="Times New Roman" w:hAnsi="Times New Roman"/>
          <w:color w:val="000000"/>
          <w:lang w:val="es-GT" w:eastAsia="es-ES"/>
        </w:rPr>
        <w:t>en</w:t>
      </w:r>
      <w:r w:rsidRPr="00DF454D">
        <w:rPr>
          <w:rFonts w:ascii="Times New Roman" w:hAnsi="Times New Roman"/>
          <w:color w:val="000000"/>
          <w:lang w:val="es-GT" w:eastAsia="es-ES"/>
        </w:rPr>
        <w:t xml:space="preserve"> India. No obstante, este grupo de economías aún enfrenta un entorno complejo e incierto, debido a las condiciones de financiamiento externo más restrictivas, a la desaceleración de la economía mundial, a los altos precios de los alimentos y los energéticos y a la prolongación del conflicto bélico entre Rusia y Ucrania. En consecuencia, el desempeño económico seguiría siendo heterogéneo a nivel de países y regiones, resultado de las diferencias en el grado de vulnerabilidad ante los distintos choques externos e internos, así como en el margen de maniobra de las políticas macroeconómicas.</w:t>
      </w:r>
    </w:p>
    <w:p w14:paraId="7C962C70" w14:textId="77777777" w:rsidR="00E65A70" w:rsidRPr="008A2431" w:rsidRDefault="00E65A70" w:rsidP="00E65A70"/>
    <w:p w14:paraId="2833AEF0" w14:textId="6C728C6B" w:rsidR="00E65A70" w:rsidRDefault="00E65A70" w:rsidP="00E65A70">
      <w:pPr>
        <w:pStyle w:val="Sinespaciado"/>
        <w:ind w:right="49"/>
        <w:jc w:val="both"/>
        <w:rPr>
          <w:rFonts w:ascii="Times New Roman" w:hAnsi="Times New Roman"/>
          <w:color w:val="000000"/>
          <w:lang w:val="es-GT" w:eastAsia="es-ES"/>
        </w:rPr>
      </w:pPr>
      <w:r w:rsidRPr="00DF454D">
        <w:rPr>
          <w:rFonts w:ascii="Times New Roman" w:hAnsi="Times New Roman"/>
          <w:color w:val="000000"/>
          <w:lang w:val="es-GT" w:eastAsia="es-ES"/>
        </w:rPr>
        <w:t xml:space="preserve">En América Latina, según las proyecciones, el crecimiento </w:t>
      </w:r>
      <w:r>
        <w:rPr>
          <w:rFonts w:ascii="Times New Roman" w:hAnsi="Times New Roman"/>
          <w:color w:val="000000"/>
          <w:lang w:val="es-GT" w:eastAsia="es-ES"/>
        </w:rPr>
        <w:t>de</w:t>
      </w:r>
      <w:r w:rsidRPr="00DF454D">
        <w:rPr>
          <w:rFonts w:ascii="Times New Roman" w:hAnsi="Times New Roman"/>
          <w:color w:val="000000"/>
          <w:lang w:val="es-GT" w:eastAsia="es-ES"/>
        </w:rPr>
        <w:t xml:space="preserve"> la región </w:t>
      </w:r>
      <w:r>
        <w:rPr>
          <w:rFonts w:ascii="Times New Roman" w:hAnsi="Times New Roman"/>
          <w:color w:val="000000"/>
          <w:lang w:val="es-GT" w:eastAsia="es-ES"/>
        </w:rPr>
        <w:t xml:space="preserve">se </w:t>
      </w:r>
      <w:r w:rsidRPr="00DF454D">
        <w:rPr>
          <w:rFonts w:ascii="Times New Roman" w:hAnsi="Times New Roman"/>
          <w:color w:val="000000"/>
          <w:lang w:val="es-GT" w:eastAsia="es-ES"/>
        </w:rPr>
        <w:t>desacelerará</w:t>
      </w:r>
      <w:r>
        <w:rPr>
          <w:rFonts w:ascii="Times New Roman" w:hAnsi="Times New Roman"/>
          <w:color w:val="000000"/>
          <w:lang w:val="es-GT" w:eastAsia="es-ES"/>
        </w:rPr>
        <w:t>, pudiendo ubicarse en torno al 2.5</w:t>
      </w:r>
      <w:r w:rsidRPr="00DF454D">
        <w:rPr>
          <w:rFonts w:ascii="Times New Roman" w:hAnsi="Times New Roman"/>
          <w:color w:val="000000"/>
          <w:lang w:val="es-GT" w:eastAsia="es-ES"/>
        </w:rPr>
        <w:t>%. Se prevé que el escaso crecimiento en las economías avanzadas incidirá en la demanda de exportaciones, mientras que es probable que las políticas monetarias restrictivas que se sigan aplicando en esas economías y la inflación interna persistentemente alta impidan cualquier mejora sustancial de las condiciones financieras a corto plazo.</w:t>
      </w:r>
    </w:p>
    <w:p w14:paraId="61CAF68A" w14:textId="0AB52AE0" w:rsidR="00E65A70" w:rsidRPr="00DF454D" w:rsidRDefault="00E65A70" w:rsidP="00E65A70">
      <w:pPr>
        <w:pStyle w:val="Sinespaciado"/>
        <w:ind w:right="49"/>
        <w:jc w:val="both"/>
        <w:rPr>
          <w:rFonts w:ascii="Times New Roman" w:hAnsi="Times New Roman"/>
          <w:color w:val="000000"/>
          <w:lang w:val="es-GT" w:eastAsia="es-ES"/>
        </w:rPr>
      </w:pPr>
    </w:p>
    <w:p w14:paraId="426105AB" w14:textId="651BA379" w:rsidR="00E65A70" w:rsidRDefault="00E65A70" w:rsidP="00E65A70">
      <w:pPr>
        <w:pStyle w:val="Sinespaciado"/>
        <w:ind w:right="49"/>
        <w:jc w:val="both"/>
        <w:rPr>
          <w:rFonts w:ascii="Times New Roman" w:hAnsi="Times New Roman"/>
          <w:color w:val="000000"/>
          <w:lang w:val="es-GT" w:eastAsia="es-ES"/>
        </w:rPr>
      </w:pPr>
      <w:r w:rsidRPr="00DF454D">
        <w:rPr>
          <w:rFonts w:ascii="Times New Roman" w:hAnsi="Times New Roman"/>
          <w:color w:val="000000"/>
          <w:lang w:val="es-GT" w:eastAsia="es-ES"/>
        </w:rPr>
        <w:t>Se prevé que el crecimiento de Brasil se desacelerará al 1</w:t>
      </w:r>
      <w:r>
        <w:rPr>
          <w:rFonts w:ascii="Times New Roman" w:hAnsi="Times New Roman"/>
          <w:color w:val="000000"/>
          <w:lang w:val="es-GT" w:eastAsia="es-ES"/>
        </w:rPr>
        <w:t>.5</w:t>
      </w:r>
      <w:r w:rsidRPr="00DF454D">
        <w:rPr>
          <w:rFonts w:ascii="Times New Roman" w:hAnsi="Times New Roman"/>
          <w:color w:val="000000"/>
          <w:lang w:val="es-GT" w:eastAsia="es-ES"/>
        </w:rPr>
        <w:t xml:space="preserve">% en 2023, </w:t>
      </w:r>
      <w:r>
        <w:rPr>
          <w:rFonts w:ascii="Times New Roman" w:hAnsi="Times New Roman"/>
          <w:color w:val="000000"/>
          <w:lang w:val="es-GT" w:eastAsia="es-ES"/>
        </w:rPr>
        <w:t>y cercano a 0.8%</w:t>
      </w:r>
      <w:r w:rsidRPr="00DF454D">
        <w:rPr>
          <w:rFonts w:ascii="Times New Roman" w:hAnsi="Times New Roman"/>
          <w:color w:val="000000"/>
          <w:lang w:val="es-GT" w:eastAsia="es-ES"/>
        </w:rPr>
        <w:t xml:space="preserve"> en 2024. Según las proyecciones, la tasa de crecimiento de México será moderada, </w:t>
      </w:r>
      <w:r w:rsidR="00DF7ECC">
        <w:rPr>
          <w:rFonts w:ascii="Times New Roman" w:hAnsi="Times New Roman"/>
          <w:color w:val="000000"/>
          <w:lang w:val="es-GT" w:eastAsia="es-ES"/>
        </w:rPr>
        <w:t xml:space="preserve">pasando </w:t>
      </w:r>
      <w:r w:rsidRPr="00DF454D">
        <w:rPr>
          <w:rFonts w:ascii="Times New Roman" w:hAnsi="Times New Roman"/>
          <w:color w:val="000000"/>
          <w:lang w:val="es-GT" w:eastAsia="es-ES"/>
        </w:rPr>
        <w:t xml:space="preserve">del </w:t>
      </w:r>
      <w:r>
        <w:rPr>
          <w:rFonts w:ascii="Times New Roman" w:hAnsi="Times New Roman"/>
          <w:color w:val="000000"/>
          <w:lang w:val="es-GT" w:eastAsia="es-ES"/>
        </w:rPr>
        <w:t>1.7</w:t>
      </w:r>
      <w:r w:rsidRPr="00DF454D">
        <w:rPr>
          <w:rFonts w:ascii="Times New Roman" w:hAnsi="Times New Roman"/>
          <w:color w:val="000000"/>
          <w:lang w:val="es-GT" w:eastAsia="es-ES"/>
        </w:rPr>
        <w:t>% en 2023, y seguirá creciendo un 1</w:t>
      </w:r>
      <w:r>
        <w:rPr>
          <w:rFonts w:ascii="Times New Roman" w:hAnsi="Times New Roman"/>
          <w:color w:val="000000"/>
          <w:lang w:val="es-GT" w:eastAsia="es-ES"/>
        </w:rPr>
        <w:t>.</w:t>
      </w:r>
      <w:r w:rsidRPr="00DF454D">
        <w:rPr>
          <w:rFonts w:ascii="Times New Roman" w:hAnsi="Times New Roman"/>
          <w:color w:val="000000"/>
          <w:lang w:val="es-GT" w:eastAsia="es-ES"/>
        </w:rPr>
        <w:t>9% en 2024.</w:t>
      </w:r>
    </w:p>
    <w:p w14:paraId="1F233C6D" w14:textId="77777777" w:rsidR="00E65A70" w:rsidRDefault="00E65A70" w:rsidP="00E65A70">
      <w:pPr>
        <w:pStyle w:val="Sinespaciado"/>
        <w:ind w:right="49"/>
        <w:jc w:val="both"/>
        <w:rPr>
          <w:rFonts w:ascii="Times New Roman" w:hAnsi="Times New Roman"/>
          <w:color w:val="000000"/>
          <w:lang w:val="es-GT" w:eastAsia="es-ES"/>
        </w:rPr>
      </w:pPr>
    </w:p>
    <w:p w14:paraId="18F96885" w14:textId="3A3752A6" w:rsidR="00E65A70" w:rsidRDefault="00E65A70" w:rsidP="00E65A70">
      <w:pPr>
        <w:pStyle w:val="Sinespaciado"/>
        <w:ind w:right="49"/>
        <w:jc w:val="both"/>
        <w:rPr>
          <w:rFonts w:ascii="Times New Roman" w:hAnsi="Times New Roman"/>
          <w:color w:val="000000"/>
          <w:lang w:val="es-GT" w:eastAsia="es-ES"/>
        </w:rPr>
      </w:pPr>
      <w:r w:rsidRPr="00DF454D">
        <w:rPr>
          <w:rFonts w:ascii="Times New Roman" w:hAnsi="Times New Roman"/>
          <w:color w:val="000000"/>
          <w:lang w:val="es-GT" w:eastAsia="es-ES"/>
        </w:rPr>
        <w:t>En la década actual, se prevé que el potencial crecimiento de la producción en la región será el más bajo entre las regiones de mercados emergentes y economías en desarrollo</w:t>
      </w:r>
      <w:r w:rsidR="00454349">
        <w:rPr>
          <w:rFonts w:ascii="Times New Roman" w:hAnsi="Times New Roman"/>
          <w:color w:val="000000"/>
          <w:lang w:val="es-GT" w:eastAsia="es-ES"/>
        </w:rPr>
        <w:t>,</w:t>
      </w:r>
      <w:r w:rsidRPr="00DF454D">
        <w:rPr>
          <w:rFonts w:ascii="Times New Roman" w:hAnsi="Times New Roman"/>
          <w:color w:val="000000"/>
          <w:lang w:val="es-GT" w:eastAsia="es-ES"/>
        </w:rPr>
        <w:t xml:space="preserve"> debido a un crecimiento inferior al promedio</w:t>
      </w:r>
      <w:r w:rsidR="00112092">
        <w:rPr>
          <w:rFonts w:ascii="Times New Roman" w:hAnsi="Times New Roman"/>
          <w:color w:val="000000"/>
          <w:lang w:val="es-GT" w:eastAsia="es-ES"/>
        </w:rPr>
        <w:t>,</w:t>
      </w:r>
      <w:r w:rsidRPr="00DF454D">
        <w:rPr>
          <w:rFonts w:ascii="Times New Roman" w:hAnsi="Times New Roman"/>
          <w:color w:val="000000"/>
          <w:lang w:val="es-GT" w:eastAsia="es-ES"/>
        </w:rPr>
        <w:t xml:space="preserve"> tanto de la productividad total de los factores</w:t>
      </w:r>
      <w:r w:rsidR="00112092">
        <w:rPr>
          <w:rFonts w:ascii="Times New Roman" w:hAnsi="Times New Roman"/>
          <w:color w:val="000000"/>
          <w:lang w:val="es-GT" w:eastAsia="es-ES"/>
        </w:rPr>
        <w:t>,</w:t>
      </w:r>
      <w:r w:rsidRPr="00DF454D">
        <w:rPr>
          <w:rFonts w:ascii="Times New Roman" w:hAnsi="Times New Roman"/>
          <w:color w:val="000000"/>
          <w:lang w:val="es-GT" w:eastAsia="es-ES"/>
        </w:rPr>
        <w:t xml:space="preserve"> </w:t>
      </w:r>
      <w:r w:rsidR="00112092">
        <w:rPr>
          <w:rFonts w:ascii="Times New Roman" w:hAnsi="Times New Roman"/>
          <w:color w:val="000000"/>
          <w:lang w:val="es-GT" w:eastAsia="es-ES"/>
        </w:rPr>
        <w:t>como</w:t>
      </w:r>
      <w:r w:rsidRPr="00DF454D">
        <w:rPr>
          <w:rFonts w:ascii="Times New Roman" w:hAnsi="Times New Roman"/>
          <w:color w:val="000000"/>
          <w:lang w:val="es-GT" w:eastAsia="es-ES"/>
        </w:rPr>
        <w:t xml:space="preserve"> de la fuerza de trabajo.</w:t>
      </w:r>
    </w:p>
    <w:p w14:paraId="332B7BC7" w14:textId="61785486" w:rsidR="00E65A70" w:rsidRPr="00DF454D" w:rsidRDefault="00E65A70" w:rsidP="00E65A70">
      <w:pPr>
        <w:pStyle w:val="Sinespaciado"/>
        <w:ind w:right="49"/>
        <w:jc w:val="both"/>
        <w:rPr>
          <w:rFonts w:ascii="Times New Roman" w:hAnsi="Times New Roman"/>
          <w:color w:val="000000"/>
          <w:lang w:val="es-GT" w:eastAsia="es-ES"/>
        </w:rPr>
      </w:pPr>
    </w:p>
    <w:p w14:paraId="26384362" w14:textId="31810F48" w:rsidR="00E65A70" w:rsidRDefault="00E65A70" w:rsidP="00E65A70">
      <w:pPr>
        <w:pStyle w:val="Sinespaciado"/>
        <w:ind w:right="49"/>
        <w:jc w:val="both"/>
        <w:rPr>
          <w:rFonts w:ascii="Times New Roman" w:hAnsi="Times New Roman"/>
          <w:color w:val="000000"/>
          <w:lang w:val="es-GT" w:eastAsia="es-ES"/>
        </w:rPr>
      </w:pPr>
      <w:r>
        <w:rPr>
          <w:rFonts w:ascii="Times New Roman" w:hAnsi="Times New Roman"/>
          <w:color w:val="000000"/>
          <w:lang w:val="es-GT" w:eastAsia="es-ES"/>
        </w:rPr>
        <w:t>Sin embargo, e</w:t>
      </w:r>
      <w:r w:rsidRPr="00DF454D">
        <w:rPr>
          <w:rFonts w:ascii="Times New Roman" w:hAnsi="Times New Roman"/>
          <w:color w:val="000000"/>
          <w:lang w:val="es-GT" w:eastAsia="es-ES"/>
        </w:rPr>
        <w:t>stas perspectivas están expuestas a varios riesgos de deterioro</w:t>
      </w:r>
      <w:r w:rsidR="00112092">
        <w:rPr>
          <w:rFonts w:ascii="Times New Roman" w:hAnsi="Times New Roman"/>
          <w:color w:val="000000"/>
          <w:lang w:val="es-GT" w:eastAsia="es-ES"/>
        </w:rPr>
        <w:t>,</w:t>
      </w:r>
      <w:r>
        <w:rPr>
          <w:rFonts w:ascii="Times New Roman" w:hAnsi="Times New Roman"/>
          <w:color w:val="000000"/>
          <w:lang w:val="es-GT" w:eastAsia="es-ES"/>
        </w:rPr>
        <w:t xml:space="preserve"> entre ellos, </w:t>
      </w:r>
      <w:r w:rsidRPr="00DF454D">
        <w:rPr>
          <w:rFonts w:ascii="Times New Roman" w:hAnsi="Times New Roman"/>
          <w:color w:val="000000"/>
          <w:lang w:val="es-GT" w:eastAsia="es-ES"/>
        </w:rPr>
        <w:t>la inflación persistente en las economías avanzadas</w:t>
      </w:r>
      <w:r w:rsidR="00112092">
        <w:rPr>
          <w:rFonts w:ascii="Times New Roman" w:hAnsi="Times New Roman"/>
          <w:color w:val="000000"/>
          <w:lang w:val="es-GT" w:eastAsia="es-ES"/>
        </w:rPr>
        <w:t xml:space="preserve"> y la posibilidad de</w:t>
      </w:r>
      <w:r w:rsidRPr="00DF454D">
        <w:rPr>
          <w:rFonts w:ascii="Times New Roman" w:hAnsi="Times New Roman"/>
          <w:color w:val="000000"/>
          <w:lang w:val="es-GT" w:eastAsia="es-ES"/>
        </w:rPr>
        <w:t xml:space="preserve"> que sus bancos centrales manten</w:t>
      </w:r>
      <w:r w:rsidR="00112092">
        <w:rPr>
          <w:rFonts w:ascii="Times New Roman" w:hAnsi="Times New Roman"/>
          <w:color w:val="000000"/>
          <w:lang w:val="es-GT" w:eastAsia="es-ES"/>
        </w:rPr>
        <w:t>gan</w:t>
      </w:r>
      <w:r w:rsidRPr="00DF454D">
        <w:rPr>
          <w:rFonts w:ascii="Times New Roman" w:hAnsi="Times New Roman"/>
          <w:color w:val="000000"/>
          <w:lang w:val="es-GT" w:eastAsia="es-ES"/>
        </w:rPr>
        <w:t xml:space="preserve"> políticas monetarias más restrictivas que las </w:t>
      </w:r>
      <w:r w:rsidR="00112092">
        <w:rPr>
          <w:rFonts w:ascii="Times New Roman" w:hAnsi="Times New Roman"/>
          <w:color w:val="000000"/>
          <w:lang w:val="es-GT" w:eastAsia="es-ES"/>
        </w:rPr>
        <w:t>definidas</w:t>
      </w:r>
      <w:r w:rsidRPr="00DF454D">
        <w:rPr>
          <w:rFonts w:ascii="Times New Roman" w:hAnsi="Times New Roman"/>
          <w:color w:val="000000"/>
          <w:lang w:val="es-GT" w:eastAsia="es-ES"/>
        </w:rPr>
        <w:t xml:space="preserve"> al principio. En especial, puede ocurrir que las monedas de la región de América Latina y </w:t>
      </w:r>
      <w:r w:rsidR="00112092">
        <w:rPr>
          <w:rFonts w:ascii="Times New Roman" w:hAnsi="Times New Roman"/>
          <w:color w:val="000000"/>
          <w:lang w:val="es-GT" w:eastAsia="es-ES"/>
        </w:rPr>
        <w:t>e</w:t>
      </w:r>
      <w:r w:rsidRPr="00DF454D">
        <w:rPr>
          <w:rFonts w:ascii="Times New Roman" w:hAnsi="Times New Roman"/>
          <w:color w:val="000000"/>
          <w:lang w:val="es-GT" w:eastAsia="es-ES"/>
        </w:rPr>
        <w:t xml:space="preserve">l Caribe se deprecien con respecto a las de las economías avanzadas, </w:t>
      </w:r>
      <w:r w:rsidR="00AA0D59">
        <w:rPr>
          <w:rFonts w:ascii="Times New Roman" w:hAnsi="Times New Roman"/>
          <w:color w:val="000000"/>
          <w:lang w:val="es-GT" w:eastAsia="es-ES"/>
        </w:rPr>
        <w:t>situación q</w:t>
      </w:r>
      <w:r w:rsidRPr="00DF454D">
        <w:rPr>
          <w:rFonts w:ascii="Times New Roman" w:hAnsi="Times New Roman"/>
          <w:color w:val="000000"/>
          <w:lang w:val="es-GT" w:eastAsia="es-ES"/>
        </w:rPr>
        <w:t>ue aumentaría los costos del servicio de la deuda e incrementaría aún más la inflación local.</w:t>
      </w:r>
    </w:p>
    <w:p w14:paraId="577DC205" w14:textId="3F341B57" w:rsidR="00E65A70" w:rsidRPr="00DF454D" w:rsidRDefault="00E65A70" w:rsidP="00E65A70">
      <w:pPr>
        <w:pStyle w:val="Sinespaciado"/>
        <w:ind w:right="49"/>
        <w:jc w:val="both"/>
        <w:rPr>
          <w:rFonts w:ascii="Times New Roman" w:hAnsi="Times New Roman"/>
          <w:color w:val="000000"/>
          <w:lang w:val="es-GT" w:eastAsia="es-ES"/>
        </w:rPr>
      </w:pPr>
    </w:p>
    <w:p w14:paraId="0E89153B" w14:textId="5BE60B35" w:rsidR="00E65A70" w:rsidRPr="00DF454D" w:rsidRDefault="00E65A70" w:rsidP="00E65A70">
      <w:pPr>
        <w:pStyle w:val="Sinespaciado"/>
        <w:ind w:right="49"/>
        <w:jc w:val="both"/>
        <w:rPr>
          <w:rFonts w:ascii="Times New Roman" w:hAnsi="Times New Roman"/>
          <w:color w:val="000000"/>
          <w:lang w:val="es-GT" w:eastAsia="es-ES"/>
        </w:rPr>
      </w:pPr>
      <w:r>
        <w:rPr>
          <w:rFonts w:ascii="Times New Roman" w:hAnsi="Times New Roman"/>
          <w:color w:val="000000"/>
          <w:lang w:val="es-GT" w:eastAsia="es-ES"/>
        </w:rPr>
        <w:t>E</w:t>
      </w:r>
      <w:r w:rsidRPr="00DF454D">
        <w:rPr>
          <w:rFonts w:ascii="Times New Roman" w:hAnsi="Times New Roman"/>
          <w:color w:val="000000"/>
          <w:lang w:val="es-GT" w:eastAsia="es-ES"/>
        </w:rPr>
        <w:t xml:space="preserve">xiste el riesgo de que el sector inmobiliario de China </w:t>
      </w:r>
      <w:r>
        <w:rPr>
          <w:rFonts w:ascii="Times New Roman" w:hAnsi="Times New Roman"/>
          <w:color w:val="000000"/>
          <w:lang w:val="es-GT" w:eastAsia="es-ES"/>
        </w:rPr>
        <w:t>continúe debilitándose</w:t>
      </w:r>
      <w:r w:rsidRPr="00DF454D">
        <w:rPr>
          <w:rFonts w:ascii="Times New Roman" w:hAnsi="Times New Roman"/>
          <w:color w:val="000000"/>
          <w:lang w:val="es-GT" w:eastAsia="es-ES"/>
        </w:rPr>
        <w:t xml:space="preserve">, lo que afectaría los precios de los metales (principalmente, del cobre y del hierro) y representaría un riesgo de deterioro para Brasil, Chile y Perú. Por último, el cambio climático sigue planteando riesgos para </w:t>
      </w:r>
      <w:r>
        <w:rPr>
          <w:rFonts w:ascii="Times New Roman" w:hAnsi="Times New Roman"/>
          <w:color w:val="000000"/>
          <w:lang w:val="es-GT" w:eastAsia="es-ES"/>
        </w:rPr>
        <w:t xml:space="preserve">toda </w:t>
      </w:r>
      <w:r w:rsidRPr="00DF454D">
        <w:rPr>
          <w:rFonts w:ascii="Times New Roman" w:hAnsi="Times New Roman"/>
          <w:color w:val="000000"/>
          <w:lang w:val="es-GT" w:eastAsia="es-ES"/>
        </w:rPr>
        <w:t>la región</w:t>
      </w:r>
      <w:r>
        <w:rPr>
          <w:rFonts w:ascii="Times New Roman" w:hAnsi="Times New Roman"/>
          <w:color w:val="000000"/>
          <w:lang w:val="es-GT" w:eastAsia="es-ES"/>
        </w:rPr>
        <w:t>, los que</w:t>
      </w:r>
      <w:r w:rsidRPr="00DF454D">
        <w:rPr>
          <w:rFonts w:ascii="Times New Roman" w:hAnsi="Times New Roman"/>
          <w:color w:val="000000"/>
          <w:lang w:val="es-GT" w:eastAsia="es-ES"/>
        </w:rPr>
        <w:t xml:space="preserve"> podrían aumentar nuevamente </w:t>
      </w:r>
      <w:r>
        <w:rPr>
          <w:rFonts w:ascii="Times New Roman" w:hAnsi="Times New Roman"/>
          <w:color w:val="000000"/>
          <w:lang w:val="es-GT" w:eastAsia="es-ES"/>
        </w:rPr>
        <w:t xml:space="preserve">ante </w:t>
      </w:r>
      <w:r w:rsidRPr="00DF454D">
        <w:rPr>
          <w:rFonts w:ascii="Times New Roman" w:hAnsi="Times New Roman"/>
          <w:color w:val="000000"/>
          <w:lang w:val="es-GT" w:eastAsia="es-ES"/>
        </w:rPr>
        <w:t xml:space="preserve">las probabilidades de que se experimenten los fenómenos extremos de </w:t>
      </w:r>
      <w:r w:rsidR="00AA0D59">
        <w:rPr>
          <w:rFonts w:ascii="Times New Roman" w:hAnsi="Times New Roman"/>
          <w:color w:val="000000"/>
          <w:lang w:val="es-GT" w:eastAsia="es-ES"/>
        </w:rPr>
        <w:t>l</w:t>
      </w:r>
      <w:r w:rsidRPr="00DF454D">
        <w:rPr>
          <w:rFonts w:ascii="Times New Roman" w:hAnsi="Times New Roman"/>
          <w:color w:val="000000"/>
          <w:lang w:val="es-GT" w:eastAsia="es-ES"/>
        </w:rPr>
        <w:t xml:space="preserve">a Niña o </w:t>
      </w:r>
      <w:r w:rsidR="00AA0D59">
        <w:rPr>
          <w:rFonts w:ascii="Times New Roman" w:hAnsi="Times New Roman"/>
          <w:color w:val="000000"/>
          <w:lang w:val="es-GT" w:eastAsia="es-ES"/>
        </w:rPr>
        <w:t>el</w:t>
      </w:r>
      <w:r w:rsidRPr="00DF454D">
        <w:rPr>
          <w:rFonts w:ascii="Times New Roman" w:hAnsi="Times New Roman"/>
          <w:color w:val="000000"/>
          <w:lang w:val="es-GT" w:eastAsia="es-ES"/>
        </w:rPr>
        <w:t xml:space="preserve"> Niño.</w:t>
      </w:r>
    </w:p>
    <w:p w14:paraId="3C0042FD" w14:textId="77777777" w:rsidR="00E65A70" w:rsidRDefault="00E65A70" w:rsidP="00E65A70">
      <w:pPr>
        <w:rPr>
          <w:color w:val="000000"/>
          <w:lang w:val="es-GT"/>
        </w:rPr>
      </w:pPr>
    </w:p>
    <w:p w14:paraId="0EF07225" w14:textId="77777777" w:rsidR="00E65A70" w:rsidRPr="0059599D" w:rsidRDefault="00E65A70" w:rsidP="00E65A70">
      <w:pPr>
        <w:pStyle w:val="Ttulo2"/>
        <w:rPr>
          <w:rFonts w:ascii="Times New Roman" w:hAnsi="Times New Roman"/>
          <w:color w:val="auto"/>
          <w:sz w:val="24"/>
          <w:lang w:val="es-MX"/>
        </w:rPr>
      </w:pPr>
      <w:bookmarkStart w:id="7" w:name="_Toc4742460"/>
      <w:bookmarkStart w:id="8" w:name="_Toc141105921"/>
      <w:bookmarkStart w:id="9" w:name="_Toc142920534"/>
      <w:r w:rsidRPr="0059599D">
        <w:rPr>
          <w:rFonts w:ascii="Times New Roman" w:hAnsi="Times New Roman"/>
          <w:color w:val="auto"/>
          <w:sz w:val="24"/>
          <w:lang w:val="es-MX"/>
        </w:rPr>
        <w:t>Entorno Macroeconómico Nacional</w:t>
      </w:r>
      <w:bookmarkEnd w:id="7"/>
      <w:bookmarkEnd w:id="8"/>
      <w:bookmarkEnd w:id="9"/>
    </w:p>
    <w:p w14:paraId="39579DAE" w14:textId="77777777" w:rsidR="00E65A70" w:rsidRPr="00124AD6" w:rsidRDefault="00E65A70" w:rsidP="00E65A70">
      <w:pPr>
        <w:rPr>
          <w:lang w:val="es-MX"/>
        </w:rPr>
      </w:pPr>
    </w:p>
    <w:p w14:paraId="7148E470" w14:textId="45B4F45E" w:rsidR="00E65A70" w:rsidRDefault="00E65A70" w:rsidP="00E65A70">
      <w:pPr>
        <w:pStyle w:val="Default"/>
        <w:shd w:val="clear" w:color="auto" w:fill="FFFFFF" w:themeFill="background1"/>
        <w:jc w:val="both"/>
        <w:rPr>
          <w:rFonts w:ascii="Times New Roman" w:hAnsi="Times New Roman" w:cs="Times New Roman"/>
        </w:rPr>
      </w:pPr>
      <w:r>
        <w:rPr>
          <w:rFonts w:ascii="Times New Roman" w:hAnsi="Times New Roman" w:cs="Times New Roman"/>
        </w:rPr>
        <w:t>E</w:t>
      </w:r>
      <w:r w:rsidRPr="00D60691">
        <w:rPr>
          <w:rFonts w:ascii="Times New Roman" w:hAnsi="Times New Roman" w:cs="Times New Roman"/>
        </w:rPr>
        <w:t xml:space="preserve">n el escenario interno, </w:t>
      </w:r>
      <w:r>
        <w:rPr>
          <w:rFonts w:ascii="Times New Roman" w:hAnsi="Times New Roman" w:cs="Times New Roman"/>
        </w:rPr>
        <w:t xml:space="preserve">de acuerdo con el Banco de Guatemala, </w:t>
      </w:r>
      <w:r w:rsidRPr="00D60691">
        <w:rPr>
          <w:rFonts w:ascii="Times New Roman" w:hAnsi="Times New Roman" w:cs="Times New Roman"/>
        </w:rPr>
        <w:t xml:space="preserve">la actividad económica registró un crecimiento anual de 4.1% en 2022, resultado del aumento de la demanda interna (tanto del consumo privado e inversión como del gasto de gobierno) y de la demanda externa de bienes y servicios. Por el lado del origen de la producción, </w:t>
      </w:r>
      <w:r>
        <w:rPr>
          <w:rFonts w:ascii="Times New Roman" w:hAnsi="Times New Roman" w:cs="Times New Roman"/>
        </w:rPr>
        <w:t xml:space="preserve">se </w:t>
      </w:r>
      <w:r w:rsidRPr="00D60691">
        <w:rPr>
          <w:rFonts w:ascii="Times New Roman" w:hAnsi="Times New Roman" w:cs="Times New Roman"/>
        </w:rPr>
        <w:t xml:space="preserve">refleja la expansión de todas las actividades productivas, excepto </w:t>
      </w:r>
      <w:r w:rsidR="004E37AD">
        <w:rPr>
          <w:rFonts w:ascii="Times New Roman" w:hAnsi="Times New Roman" w:cs="Times New Roman"/>
        </w:rPr>
        <w:t xml:space="preserve">la de </w:t>
      </w:r>
      <w:r w:rsidRPr="00D60691">
        <w:rPr>
          <w:rFonts w:ascii="Times New Roman" w:hAnsi="Times New Roman" w:cs="Times New Roman"/>
        </w:rPr>
        <w:t xml:space="preserve">explotación de minas y canteras y la de salud. Por su parte, en el primer </w:t>
      </w:r>
      <w:r>
        <w:rPr>
          <w:rFonts w:ascii="Times New Roman" w:hAnsi="Times New Roman" w:cs="Times New Roman"/>
        </w:rPr>
        <w:t>se</w:t>
      </w:r>
      <w:r w:rsidRPr="00D60691">
        <w:rPr>
          <w:rFonts w:ascii="Times New Roman" w:hAnsi="Times New Roman" w:cs="Times New Roman"/>
        </w:rPr>
        <w:t xml:space="preserve">mestre de 2023, la actividad económica </w:t>
      </w:r>
      <w:r>
        <w:rPr>
          <w:rFonts w:ascii="Times New Roman" w:hAnsi="Times New Roman" w:cs="Times New Roman"/>
        </w:rPr>
        <w:t>ha mantenido</w:t>
      </w:r>
      <w:r w:rsidRPr="00D60691">
        <w:rPr>
          <w:rFonts w:ascii="Times New Roman" w:hAnsi="Times New Roman" w:cs="Times New Roman"/>
        </w:rPr>
        <w:t xml:space="preserve"> un desempeño positivo, lo cual se refleja en el comportamiento de algunos de los principales indicadores de corto plazo</w:t>
      </w:r>
      <w:r>
        <w:rPr>
          <w:rFonts w:ascii="Times New Roman" w:hAnsi="Times New Roman" w:cs="Times New Roman"/>
        </w:rPr>
        <w:t>.</w:t>
      </w:r>
      <w:r w:rsidRPr="00D60691">
        <w:rPr>
          <w:rFonts w:ascii="Times New Roman" w:hAnsi="Times New Roman" w:cs="Times New Roman"/>
        </w:rPr>
        <w:t xml:space="preserve"> En este contexto, se estima que el Producto Interno Bruto (PIB) crecería en un rango de entre 2.5% y 4.5% en 2023, con un valor central de 3.5% en el escenario base (ritmo cercano a su potencial).</w:t>
      </w:r>
    </w:p>
    <w:p w14:paraId="1470A0CA" w14:textId="4A0FA12D" w:rsidR="00E65A70" w:rsidRDefault="00E65A70" w:rsidP="00E65A70">
      <w:pPr>
        <w:pStyle w:val="Default"/>
        <w:shd w:val="clear" w:color="auto" w:fill="FFFFFF" w:themeFill="background1"/>
        <w:jc w:val="both"/>
        <w:rPr>
          <w:rFonts w:ascii="Times New Roman" w:hAnsi="Times New Roman" w:cs="Times New Roman"/>
        </w:rPr>
      </w:pPr>
    </w:p>
    <w:p w14:paraId="6E807212" w14:textId="77777777" w:rsidR="00E65A70" w:rsidRPr="00124AD6" w:rsidRDefault="00E65A70" w:rsidP="00E65A70">
      <w:pPr>
        <w:jc w:val="center"/>
        <w:rPr>
          <w:b/>
        </w:rPr>
      </w:pPr>
      <w:r w:rsidRPr="00124AD6">
        <w:rPr>
          <w:b/>
        </w:rPr>
        <w:t xml:space="preserve">Gráfica </w:t>
      </w:r>
      <w:r>
        <w:rPr>
          <w:b/>
        </w:rPr>
        <w:t>1</w:t>
      </w:r>
    </w:p>
    <w:p w14:paraId="50A5207D" w14:textId="77777777" w:rsidR="00E65A70" w:rsidRPr="00124AD6" w:rsidRDefault="00E65A70" w:rsidP="00E65A70">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14:paraId="69DC304D" w14:textId="77777777" w:rsidR="00E65A70" w:rsidRPr="00124AD6" w:rsidRDefault="00E65A70" w:rsidP="00E65A70">
      <w:pPr>
        <w:jc w:val="center"/>
        <w:rPr>
          <w:b/>
        </w:rPr>
      </w:pPr>
      <w:r w:rsidRPr="00124AD6">
        <w:rPr>
          <w:b/>
        </w:rPr>
        <w:t xml:space="preserve">(Tasas de </w:t>
      </w:r>
      <w:r>
        <w:rPr>
          <w:b/>
        </w:rPr>
        <w:t>V</w:t>
      </w:r>
      <w:r w:rsidRPr="00124AD6">
        <w:rPr>
          <w:b/>
        </w:rPr>
        <w:t xml:space="preserve">ariación </w:t>
      </w:r>
      <w:r>
        <w:rPr>
          <w:b/>
        </w:rPr>
        <w:t>I</w:t>
      </w:r>
      <w:r w:rsidRPr="00124AD6">
        <w:rPr>
          <w:b/>
        </w:rPr>
        <w:t>nteranual 20</w:t>
      </w:r>
      <w:r>
        <w:rPr>
          <w:b/>
        </w:rPr>
        <w:t xml:space="preserve">15 </w:t>
      </w:r>
      <w:r w:rsidRPr="00124AD6">
        <w:rPr>
          <w:b/>
        </w:rPr>
        <w:t>- 20</w:t>
      </w:r>
      <w:r>
        <w:rPr>
          <w:b/>
        </w:rPr>
        <w:t>23</w:t>
      </w:r>
      <w:r w:rsidRPr="00124AD6">
        <w:rPr>
          <w:b/>
        </w:rPr>
        <w:t>)</w:t>
      </w:r>
    </w:p>
    <w:p w14:paraId="3F35F275" w14:textId="77777777" w:rsidR="00E65A70" w:rsidRDefault="00E65A70" w:rsidP="00E65A70">
      <w:pPr>
        <w:jc w:val="center"/>
      </w:pPr>
      <w:r>
        <w:rPr>
          <w:noProof/>
        </w:rPr>
        <w:drawing>
          <wp:inline distT="0" distB="0" distL="0" distR="0" wp14:anchorId="164DCDF3" wp14:editId="65F95EAC">
            <wp:extent cx="5796280" cy="3116912"/>
            <wp:effectExtent l="0" t="0" r="13970" b="7620"/>
            <wp:docPr id="2" name="Gráfico 2">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3A34F58" w14:textId="6DC6E72F" w:rsidR="00E65A70" w:rsidRPr="00223D6A" w:rsidRDefault="00E65A70" w:rsidP="00E65A70">
      <w:pPr>
        <w:jc w:val="both"/>
        <w:rPr>
          <w:sz w:val="18"/>
          <w:lang w:val="es-MX"/>
        </w:rPr>
      </w:pPr>
      <w:r w:rsidRPr="00223D6A">
        <w:rPr>
          <w:sz w:val="18"/>
          <w:lang w:val="es-MX"/>
        </w:rPr>
        <w:t>p/</w:t>
      </w:r>
      <w:r w:rsidR="005E4727">
        <w:rPr>
          <w:sz w:val="18"/>
          <w:lang w:val="es-MX"/>
        </w:rPr>
        <w:t xml:space="preserve">   </w:t>
      </w:r>
      <w:r w:rsidRPr="00223D6A">
        <w:rPr>
          <w:sz w:val="18"/>
          <w:lang w:val="es-MX"/>
        </w:rPr>
        <w:t>preliminar</w:t>
      </w:r>
    </w:p>
    <w:p w14:paraId="7B279877" w14:textId="28FFA1AC" w:rsidR="00E65A70" w:rsidRPr="00FF4D84" w:rsidRDefault="00E65A70" w:rsidP="00E65A70">
      <w:pPr>
        <w:jc w:val="both"/>
        <w:rPr>
          <w:sz w:val="18"/>
          <w:lang w:val="es-GT"/>
        </w:rPr>
      </w:pPr>
      <w:r w:rsidRPr="00223D6A">
        <w:rPr>
          <w:sz w:val="18"/>
          <w:lang w:val="es-MX"/>
        </w:rPr>
        <w:t>py/ escenarios</w:t>
      </w:r>
      <w:r w:rsidR="00000921">
        <w:rPr>
          <w:sz w:val="18"/>
          <w:lang w:val="es-MX"/>
        </w:rPr>
        <w:t xml:space="preserve"> proyectados</w:t>
      </w:r>
      <w:r w:rsidRPr="00FF4D84">
        <w:rPr>
          <w:sz w:val="18"/>
          <w:lang w:val="es-GT"/>
        </w:rPr>
        <w:t xml:space="preserve"> </w:t>
      </w:r>
      <w:r>
        <w:rPr>
          <w:sz w:val="18"/>
          <w:lang w:val="es-GT"/>
        </w:rPr>
        <w:t>(</w:t>
      </w:r>
      <w:r w:rsidRPr="00FF4D84">
        <w:rPr>
          <w:sz w:val="18"/>
          <w:lang w:val="es-GT"/>
        </w:rPr>
        <w:t>bajo y alto</w:t>
      </w:r>
      <w:r>
        <w:rPr>
          <w:sz w:val="18"/>
          <w:lang w:val="es-GT"/>
        </w:rPr>
        <w:t>)</w:t>
      </w:r>
    </w:p>
    <w:p w14:paraId="39110198" w14:textId="77777777" w:rsidR="00E65A70" w:rsidRPr="004312A9" w:rsidRDefault="00E65A70" w:rsidP="00E65A70">
      <w:pPr>
        <w:jc w:val="both"/>
        <w:rPr>
          <w:sz w:val="18"/>
          <w:lang w:val="es-MX"/>
        </w:rPr>
      </w:pPr>
      <w:r w:rsidRPr="004312A9">
        <w:rPr>
          <w:sz w:val="18"/>
          <w:lang w:val="es-MX"/>
        </w:rPr>
        <w:t>Fuente: Banco de Guatemala.</w:t>
      </w:r>
    </w:p>
    <w:p w14:paraId="5C770181" w14:textId="3839C537" w:rsidR="00E65A70" w:rsidRPr="001D39B3" w:rsidRDefault="00E65A70" w:rsidP="00E65A70">
      <w:pPr>
        <w:jc w:val="both"/>
        <w:rPr>
          <w:lang w:val="es-MX"/>
        </w:rPr>
      </w:pPr>
    </w:p>
    <w:p w14:paraId="1B4F987D" w14:textId="77777777" w:rsidR="001D39B3" w:rsidRPr="001D39B3" w:rsidRDefault="001D39B3" w:rsidP="00E65A70">
      <w:pPr>
        <w:jc w:val="both"/>
        <w:rPr>
          <w:lang w:val="es-MX"/>
        </w:rPr>
      </w:pPr>
    </w:p>
    <w:p w14:paraId="5C81912C" w14:textId="3503C5B0" w:rsidR="00E65A70" w:rsidRDefault="00E65A70" w:rsidP="00E65A70">
      <w:pPr>
        <w:jc w:val="both"/>
      </w:pPr>
      <w:r>
        <w:t>El Índice de Confianza de la Actividad Económica</w:t>
      </w:r>
      <w:r w:rsidR="00000921">
        <w:t xml:space="preserve"> (ICAE)</w:t>
      </w:r>
      <w:r>
        <w:t xml:space="preserve">, </w:t>
      </w:r>
      <w:r w:rsidRPr="00124AD6">
        <w:t xml:space="preserve">refleja la percepción </w:t>
      </w:r>
      <w:r>
        <w:t xml:space="preserve">que tiene el panel de analistas económicos entrevistados </w:t>
      </w:r>
      <w:r w:rsidRPr="00124AD6">
        <w:t xml:space="preserve">sobre la situación económica actual </w:t>
      </w:r>
      <w:r>
        <w:t>y el ambiente para los negocios.</w:t>
      </w:r>
    </w:p>
    <w:p w14:paraId="71AB209E" w14:textId="77777777" w:rsidR="00E65A70" w:rsidRDefault="00E65A70" w:rsidP="00E65A70">
      <w:pPr>
        <w:jc w:val="both"/>
      </w:pPr>
    </w:p>
    <w:p w14:paraId="4D0F5338" w14:textId="52326A71" w:rsidR="00E65A70" w:rsidRDefault="00E65A70" w:rsidP="00E65A70">
      <w:pPr>
        <w:jc w:val="both"/>
      </w:pPr>
      <w:r>
        <w:t>A junio de 2023, el nivel de</w:t>
      </w:r>
      <w:r w:rsidR="00000921">
        <w:t xml:space="preserve"> este í</w:t>
      </w:r>
      <w:r>
        <w:t xml:space="preserve">ndice se situó en 53.89 puntos, </w:t>
      </w:r>
      <w:r w:rsidR="00000921">
        <w:t xml:space="preserve">siendo </w:t>
      </w:r>
      <w:r>
        <w:t xml:space="preserve">inferior en 0.11% </w:t>
      </w:r>
      <w:r w:rsidR="00000921">
        <w:t xml:space="preserve">con </w:t>
      </w:r>
      <w:r>
        <w:t>respecto al registrado en junio de 2022 (54.0</w:t>
      </w:r>
      <w:r w:rsidR="001D39B3">
        <w:t>0</w:t>
      </w:r>
      <w:r>
        <w:t xml:space="preserve"> puntos).</w:t>
      </w:r>
    </w:p>
    <w:p w14:paraId="5FF87511" w14:textId="77777777" w:rsidR="00E65A70" w:rsidRDefault="00E65A70" w:rsidP="00E65A70">
      <w:pPr>
        <w:jc w:val="both"/>
      </w:pPr>
    </w:p>
    <w:p w14:paraId="59AFF254" w14:textId="2AF9A56D" w:rsidR="00E65A70" w:rsidRDefault="00E65A70" w:rsidP="00E65A70">
      <w:pPr>
        <w:jc w:val="both"/>
      </w:pPr>
    </w:p>
    <w:p w14:paraId="464C00E4" w14:textId="77777777" w:rsidR="00B65F16" w:rsidRDefault="00B65F16" w:rsidP="00E65A70">
      <w:pPr>
        <w:jc w:val="both"/>
      </w:pPr>
    </w:p>
    <w:p w14:paraId="1A035882" w14:textId="77777777" w:rsidR="00E65A70" w:rsidRPr="00124AD6" w:rsidRDefault="00E65A70" w:rsidP="00E65A70">
      <w:pPr>
        <w:jc w:val="center"/>
        <w:rPr>
          <w:b/>
        </w:rPr>
      </w:pPr>
      <w:r w:rsidRPr="00124AD6">
        <w:rPr>
          <w:b/>
        </w:rPr>
        <w:t xml:space="preserve">Gráfica </w:t>
      </w:r>
      <w:r>
        <w:rPr>
          <w:b/>
        </w:rPr>
        <w:t>2</w:t>
      </w:r>
    </w:p>
    <w:p w14:paraId="0D672D4D" w14:textId="77777777" w:rsidR="00E65A70" w:rsidRPr="00124AD6" w:rsidRDefault="00E65A70" w:rsidP="00E65A70">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p>
    <w:p w14:paraId="4A418DAE" w14:textId="1B754D40" w:rsidR="00E65A70" w:rsidRPr="00124AD6" w:rsidRDefault="001D39B3" w:rsidP="00E65A70">
      <w:pPr>
        <w:jc w:val="center"/>
        <w:rPr>
          <w:rFonts w:eastAsia="Calibri"/>
          <w:b/>
          <w:bCs/>
          <w:color w:val="000000"/>
          <w:lang w:val="es-GT" w:eastAsia="es-GT"/>
        </w:rPr>
      </w:pPr>
      <w:r>
        <w:rPr>
          <w:rFonts w:eastAsia="Calibri"/>
          <w:b/>
          <w:bCs/>
          <w:color w:val="000000"/>
          <w:lang w:val="es-GT" w:eastAsia="es-GT"/>
        </w:rPr>
        <w:t>Período</w:t>
      </w:r>
      <w:r w:rsidR="00E65A70" w:rsidRPr="00124AD6">
        <w:rPr>
          <w:rFonts w:eastAsia="Calibri"/>
          <w:b/>
          <w:bCs/>
          <w:color w:val="000000"/>
          <w:lang w:val="es-GT" w:eastAsia="es-GT"/>
        </w:rPr>
        <w:t xml:space="preserve"> 201</w:t>
      </w:r>
      <w:r>
        <w:rPr>
          <w:rFonts w:eastAsia="Calibri"/>
          <w:b/>
          <w:bCs/>
          <w:color w:val="000000"/>
          <w:lang w:val="es-GT" w:eastAsia="es-GT"/>
        </w:rPr>
        <w:t>7</w:t>
      </w:r>
      <w:r w:rsidR="00E65A70" w:rsidRPr="00124AD6">
        <w:rPr>
          <w:rFonts w:eastAsia="Calibri"/>
          <w:b/>
          <w:bCs/>
          <w:color w:val="000000"/>
          <w:lang w:val="es-GT" w:eastAsia="es-GT"/>
        </w:rPr>
        <w:t xml:space="preserve"> </w:t>
      </w:r>
      <w:r w:rsidR="00E65A70">
        <w:rPr>
          <w:rFonts w:eastAsia="Calibri"/>
          <w:b/>
          <w:bCs/>
          <w:color w:val="000000"/>
          <w:lang w:val="es-GT" w:eastAsia="es-GT"/>
        </w:rPr>
        <w:t>-</w:t>
      </w:r>
      <w:r w:rsidR="00E65A70" w:rsidRPr="00124AD6">
        <w:rPr>
          <w:rFonts w:eastAsia="Calibri"/>
          <w:b/>
          <w:bCs/>
          <w:color w:val="000000"/>
          <w:lang w:val="es-GT" w:eastAsia="es-GT"/>
        </w:rPr>
        <w:t xml:space="preserve"> 20</w:t>
      </w:r>
      <w:r w:rsidR="00E65A70">
        <w:rPr>
          <w:rFonts w:eastAsia="Calibri"/>
          <w:b/>
          <w:bCs/>
          <w:color w:val="000000"/>
          <w:lang w:val="es-GT" w:eastAsia="es-GT"/>
        </w:rPr>
        <w:t>23*</w:t>
      </w:r>
    </w:p>
    <w:p w14:paraId="4FE53A94" w14:textId="5EAC84F3" w:rsidR="00E65A70" w:rsidRPr="00124AD6" w:rsidRDefault="001D39B3" w:rsidP="00E65A70">
      <w:pPr>
        <w:jc w:val="center"/>
        <w:rPr>
          <w:lang w:val="es-MX"/>
        </w:rPr>
      </w:pPr>
      <w:r>
        <w:rPr>
          <w:rFonts w:eastAsia="Calibri"/>
          <w:b/>
          <w:bCs/>
          <w:color w:val="000000"/>
          <w:lang w:val="es-GT" w:eastAsia="es-GT"/>
        </w:rPr>
        <w:t xml:space="preserve">(En </w:t>
      </w:r>
      <w:r w:rsidR="00E65A70" w:rsidRPr="00124AD6">
        <w:rPr>
          <w:rFonts w:eastAsia="Calibri"/>
          <w:b/>
          <w:bCs/>
          <w:color w:val="000000"/>
          <w:lang w:val="es-GT" w:eastAsia="es-GT"/>
        </w:rPr>
        <w:t>Puntos</w:t>
      </w:r>
      <w:r>
        <w:rPr>
          <w:rFonts w:eastAsia="Calibri"/>
          <w:b/>
          <w:bCs/>
          <w:color w:val="000000"/>
          <w:lang w:val="es-GT" w:eastAsia="es-GT"/>
        </w:rPr>
        <w:t>)</w:t>
      </w:r>
    </w:p>
    <w:p w14:paraId="69E75C1F" w14:textId="77777777" w:rsidR="00E65A70" w:rsidRPr="006F31E2" w:rsidRDefault="00E65A70" w:rsidP="00E65A70">
      <w:pPr>
        <w:jc w:val="both"/>
        <w:rPr>
          <w:noProof/>
          <w:lang w:val="es-MX"/>
        </w:rPr>
      </w:pPr>
      <w:r>
        <w:rPr>
          <w:noProof/>
        </w:rPr>
        <w:drawing>
          <wp:inline distT="0" distB="0" distL="0" distR="0" wp14:anchorId="2DDACEFC" wp14:editId="244F2DF9">
            <wp:extent cx="5803900" cy="2965836"/>
            <wp:effectExtent l="0" t="0" r="6350" b="6350"/>
            <wp:docPr id="8" name="Gráfico 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3BB577B" w14:textId="77777777" w:rsidR="00E65A70" w:rsidRPr="004312A9" w:rsidRDefault="00E65A70" w:rsidP="00E65A70">
      <w:pPr>
        <w:jc w:val="both"/>
        <w:rPr>
          <w:sz w:val="18"/>
          <w:lang w:val="es-MX"/>
        </w:rPr>
      </w:pPr>
      <w:r>
        <w:rPr>
          <w:sz w:val="16"/>
          <w:lang w:val="es-MX"/>
        </w:rPr>
        <w:t xml:space="preserve">* </w:t>
      </w:r>
      <w:r w:rsidRPr="004312A9">
        <w:rPr>
          <w:sz w:val="18"/>
          <w:lang w:val="es-MX"/>
        </w:rPr>
        <w:t>Al 30 de junio de 2</w:t>
      </w:r>
      <w:r>
        <w:rPr>
          <w:sz w:val="18"/>
          <w:lang w:val="es-MX"/>
        </w:rPr>
        <w:t>023</w:t>
      </w:r>
    </w:p>
    <w:p w14:paraId="0517D9B6" w14:textId="77777777" w:rsidR="00E65A70" w:rsidRPr="004312A9" w:rsidRDefault="00E65A70" w:rsidP="00E65A70">
      <w:pPr>
        <w:jc w:val="both"/>
        <w:rPr>
          <w:sz w:val="18"/>
          <w:lang w:val="es-MX"/>
        </w:rPr>
      </w:pPr>
      <w:r>
        <w:rPr>
          <w:sz w:val="18"/>
          <w:lang w:val="es-MX"/>
        </w:rPr>
        <w:t xml:space="preserve">   </w:t>
      </w:r>
      <w:r w:rsidRPr="004312A9">
        <w:rPr>
          <w:sz w:val="18"/>
          <w:lang w:val="es-MX"/>
        </w:rPr>
        <w:t>Fuente: Banco de Guatemala.</w:t>
      </w:r>
    </w:p>
    <w:p w14:paraId="7F07CE4A" w14:textId="77777777" w:rsidR="00E65A70" w:rsidRPr="00124AD6" w:rsidRDefault="00E65A70" w:rsidP="00E65A70">
      <w:pPr>
        <w:jc w:val="both"/>
        <w:rPr>
          <w:lang w:val="es-MX"/>
        </w:rPr>
      </w:pPr>
    </w:p>
    <w:p w14:paraId="6981EF68" w14:textId="77777777" w:rsidR="00E65A70" w:rsidRDefault="00E65A70" w:rsidP="00E65A70"/>
    <w:p w14:paraId="38CA52CE" w14:textId="0AFCDC79" w:rsidR="00E65A70" w:rsidRDefault="00E65A70" w:rsidP="00E65A70">
      <w:pPr>
        <w:jc w:val="both"/>
      </w:pPr>
      <w:r>
        <w:t>De acuerdo con el Banco de Guatemala, a</w:t>
      </w:r>
      <w:r w:rsidRPr="009D0467">
        <w:t xml:space="preserve"> </w:t>
      </w:r>
      <w:r>
        <w:t xml:space="preserve">junio </w:t>
      </w:r>
      <w:r w:rsidRPr="009D0467">
        <w:t>de 20</w:t>
      </w:r>
      <w:r>
        <w:t>23</w:t>
      </w:r>
      <w:r w:rsidRPr="009D0467">
        <w:t xml:space="preserve">, </w:t>
      </w:r>
      <w:r w:rsidRPr="00936022">
        <w:rPr>
          <w:lang w:val="es-GT"/>
        </w:rPr>
        <w:t xml:space="preserve">el ritmo inflacionario, como se había previsto, presentó una desaceleración </w:t>
      </w:r>
      <w:r w:rsidR="00287CDD">
        <w:rPr>
          <w:lang w:val="es-GT"/>
        </w:rPr>
        <w:t xml:space="preserve">con </w:t>
      </w:r>
      <w:r w:rsidRPr="00936022">
        <w:rPr>
          <w:lang w:val="es-GT"/>
        </w:rPr>
        <w:t xml:space="preserve">respecto al nivel </w:t>
      </w:r>
      <w:r w:rsidR="00287CDD">
        <w:rPr>
          <w:lang w:val="es-GT"/>
        </w:rPr>
        <w:t>observado en</w:t>
      </w:r>
      <w:r w:rsidRPr="00936022">
        <w:rPr>
          <w:lang w:val="es-GT"/>
        </w:rPr>
        <w:t xml:space="preserve"> febrero</w:t>
      </w:r>
      <w:r w:rsidR="00023308">
        <w:rPr>
          <w:lang w:val="es-GT"/>
        </w:rPr>
        <w:t xml:space="preserve"> del mismo año</w:t>
      </w:r>
      <w:r w:rsidRPr="00936022">
        <w:rPr>
          <w:lang w:val="es-GT"/>
        </w:rPr>
        <w:t xml:space="preserve">, por lo que la inflación total se ubicó en </w:t>
      </w:r>
      <w:r>
        <w:rPr>
          <w:lang w:val="es-GT"/>
        </w:rPr>
        <w:t>4.9</w:t>
      </w:r>
      <w:r w:rsidRPr="00936022">
        <w:rPr>
          <w:lang w:val="es-GT"/>
        </w:rPr>
        <w:t xml:space="preserve">%, por </w:t>
      </w:r>
      <w:r>
        <w:rPr>
          <w:lang w:val="es-GT"/>
        </w:rPr>
        <w:t>debajo</w:t>
      </w:r>
      <w:r w:rsidRPr="00936022">
        <w:rPr>
          <w:lang w:val="es-GT"/>
        </w:rPr>
        <w:t xml:space="preserve"> de la meta de inflación determinada por la Junta Monetaria (4.0% +/- 1.0 punto porcentual). En ese sentido, cabe indicar que durante </w:t>
      </w:r>
      <w:r w:rsidR="00023308">
        <w:rPr>
          <w:lang w:val="es-GT"/>
        </w:rPr>
        <w:t xml:space="preserve">el </w:t>
      </w:r>
      <w:r w:rsidRPr="00936022">
        <w:rPr>
          <w:lang w:val="es-GT"/>
        </w:rPr>
        <w:t>2022 se registró un significativo incremento en el precio internacional de las materias primas, particularmente de los energéticos y de los alimentos, situación asociada al conflicto entre Rusia y Ucrania que, en combinación con las interrupciones en las cadenas mundiales de suministro</w:t>
      </w:r>
      <w:r w:rsidR="00023308">
        <w:rPr>
          <w:lang w:val="es-GT"/>
        </w:rPr>
        <w:t>, provocadas</w:t>
      </w:r>
      <w:r w:rsidRPr="00936022">
        <w:rPr>
          <w:lang w:val="es-GT"/>
        </w:rPr>
        <w:t xml:space="preserve"> por la pandemia del C</w:t>
      </w:r>
      <w:r w:rsidR="00023308">
        <w:rPr>
          <w:lang w:val="es-GT"/>
        </w:rPr>
        <w:t>ovid</w:t>
      </w:r>
      <w:r w:rsidRPr="00936022">
        <w:rPr>
          <w:lang w:val="es-GT"/>
        </w:rPr>
        <w:t>-19, generó un fuerte proceso inflacionario a nivel mundial.</w:t>
      </w:r>
    </w:p>
    <w:p w14:paraId="44D78380" w14:textId="77777777" w:rsidR="00E65A70" w:rsidRDefault="00E65A70" w:rsidP="00E65A70">
      <w:pPr>
        <w:jc w:val="both"/>
      </w:pPr>
    </w:p>
    <w:p w14:paraId="1ADC9719" w14:textId="1CCFFDDB" w:rsidR="00E65A70" w:rsidRPr="001918F4" w:rsidRDefault="00E65A70" w:rsidP="00E65A70">
      <w:pPr>
        <w:jc w:val="both"/>
      </w:pPr>
      <w:r>
        <w:t>La inflación subyacente a junio de 2023 se ubica en 4.3%, cifra inferior en 0.02 puntos a la registrada durante el mismo período de 2022. El nivel de inflación que se registró en 2022 se debió principalmente a</w:t>
      </w:r>
      <w:r w:rsidRPr="007D6B96">
        <w:t xml:space="preserve">l </w:t>
      </w:r>
      <w:r>
        <w:t>conflicto</w:t>
      </w:r>
      <w:r w:rsidRPr="007D6B96">
        <w:t xml:space="preserve"> </w:t>
      </w:r>
      <w:r w:rsidR="003046B5">
        <w:t xml:space="preserve">entre </w:t>
      </w:r>
      <w:r w:rsidRPr="007D6B96">
        <w:t>Rusia</w:t>
      </w:r>
      <w:r w:rsidR="003046B5">
        <w:t xml:space="preserve"> y </w:t>
      </w:r>
      <w:r w:rsidRPr="007D6B96">
        <w:t>Ucrania, que junto a la continuidad de la pandemia del C</w:t>
      </w:r>
      <w:r w:rsidR="003046B5">
        <w:t>ovid</w:t>
      </w:r>
      <w:r w:rsidRPr="007D6B96">
        <w:t>-19, gener</w:t>
      </w:r>
      <w:r w:rsidR="003046B5">
        <w:t>ó</w:t>
      </w:r>
      <w:r w:rsidRPr="007D6B96">
        <w:t xml:space="preserve"> un fuerte proceso inflacionario que está afectando a todos los países a nivel mundial, derivado del marcado aumento, tanto del </w:t>
      </w:r>
      <w:r w:rsidR="003046B5">
        <w:t xml:space="preserve">precio de </w:t>
      </w:r>
      <w:r w:rsidRPr="007D6B96">
        <w:t>petróleo y sus derivados</w:t>
      </w:r>
      <w:r w:rsidR="003046B5">
        <w:t>,</w:t>
      </w:r>
      <w:r w:rsidRPr="007D6B96">
        <w:t xml:space="preserve"> como del precio de las materias primas</w:t>
      </w:r>
      <w:r>
        <w:t xml:space="preserve"> (</w:t>
      </w:r>
      <w:r w:rsidRPr="001918F4">
        <w:t xml:space="preserve">Banco de Guatemala, </w:t>
      </w:r>
      <w:r>
        <w:t xml:space="preserve">junio </w:t>
      </w:r>
      <w:r w:rsidR="003046B5">
        <w:t xml:space="preserve">de </w:t>
      </w:r>
      <w:r>
        <w:t>2023</w:t>
      </w:r>
      <w:r w:rsidRPr="001918F4">
        <w:t>).</w:t>
      </w:r>
    </w:p>
    <w:p w14:paraId="1B9D6C81" w14:textId="77777777" w:rsidR="00E65A70" w:rsidRPr="008578BF" w:rsidRDefault="00E65A70" w:rsidP="00E65A70">
      <w:pPr>
        <w:jc w:val="both"/>
      </w:pPr>
    </w:p>
    <w:p w14:paraId="01586337" w14:textId="6CCB10CE" w:rsidR="00B65F16" w:rsidRDefault="00B65F16">
      <w:pPr>
        <w:rPr>
          <w:rFonts w:ascii="Atlas Grotesk Regular" w:eastAsia="Calibri" w:hAnsi="Atlas Grotesk Regular" w:cs="Atlas Grotesk Regular"/>
          <w:color w:val="000000"/>
          <w:lang w:val="es-MX" w:eastAsia="es-MX"/>
        </w:rPr>
      </w:pPr>
      <w:r>
        <w:rPr>
          <w:rFonts w:ascii="Atlas Grotesk Regular" w:eastAsia="Calibri" w:hAnsi="Atlas Grotesk Regular" w:cs="Atlas Grotesk Regular"/>
          <w:color w:val="000000"/>
          <w:lang w:val="es-MX" w:eastAsia="es-MX"/>
        </w:rPr>
        <w:br w:type="page"/>
      </w:r>
    </w:p>
    <w:p w14:paraId="455090D8" w14:textId="77777777" w:rsidR="00E65A70" w:rsidRPr="0033652B" w:rsidRDefault="00E65A70" w:rsidP="00E65A70">
      <w:pPr>
        <w:autoSpaceDE w:val="0"/>
        <w:autoSpaceDN w:val="0"/>
        <w:adjustRightInd w:val="0"/>
        <w:rPr>
          <w:rFonts w:ascii="Atlas Grotesk Regular" w:eastAsia="Calibri" w:hAnsi="Atlas Grotesk Regular" w:cs="Atlas Grotesk Regular"/>
          <w:color w:val="000000"/>
          <w:lang w:val="es-MX" w:eastAsia="es-MX"/>
        </w:rPr>
      </w:pPr>
    </w:p>
    <w:p w14:paraId="36E2D9FF" w14:textId="77777777" w:rsidR="00E65A70" w:rsidRPr="00124AD6" w:rsidRDefault="00E65A70" w:rsidP="00E65A70">
      <w:pPr>
        <w:jc w:val="center"/>
        <w:rPr>
          <w:b/>
        </w:rPr>
      </w:pPr>
      <w:r w:rsidRPr="00124AD6">
        <w:rPr>
          <w:b/>
        </w:rPr>
        <w:t xml:space="preserve">Gráfica </w:t>
      </w:r>
      <w:r>
        <w:rPr>
          <w:b/>
        </w:rPr>
        <w:t>3</w:t>
      </w:r>
    </w:p>
    <w:p w14:paraId="37D1DB23" w14:textId="77777777" w:rsidR="00E65A70" w:rsidRDefault="00E65A70" w:rsidP="00E65A70">
      <w:pPr>
        <w:jc w:val="center"/>
        <w:rPr>
          <w:b/>
        </w:rPr>
      </w:pPr>
      <w:r w:rsidRPr="00124AD6">
        <w:rPr>
          <w:b/>
        </w:rPr>
        <w:t>Guatemala: Ritmo Inflacionario</w:t>
      </w:r>
      <w:r>
        <w:rPr>
          <w:b/>
        </w:rPr>
        <w:t xml:space="preserve"> Total e Inflación Subyacente</w:t>
      </w:r>
    </w:p>
    <w:p w14:paraId="08D0A84F" w14:textId="77777777" w:rsidR="00E65A70" w:rsidRDefault="00E65A70" w:rsidP="00E65A70">
      <w:pPr>
        <w:jc w:val="center"/>
        <w:rPr>
          <w:b/>
        </w:rPr>
      </w:pPr>
      <w:r>
        <w:rPr>
          <w:b/>
        </w:rPr>
        <w:t>Período 2014 - 2023*</w:t>
      </w:r>
    </w:p>
    <w:p w14:paraId="47D582F7" w14:textId="29F4CB05" w:rsidR="00E65A70" w:rsidRDefault="00E65A70" w:rsidP="00E65A70">
      <w:pPr>
        <w:jc w:val="center"/>
        <w:rPr>
          <w:b/>
        </w:rPr>
      </w:pPr>
      <w:r>
        <w:rPr>
          <w:noProof/>
        </w:rPr>
        <w:drawing>
          <wp:inline distT="0" distB="0" distL="0" distR="0" wp14:anchorId="38F6F972" wp14:editId="144E0297">
            <wp:extent cx="5820355" cy="3745064"/>
            <wp:effectExtent l="0" t="0" r="9525" b="8255"/>
            <wp:docPr id="17" name="Gráfico 17">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82C9366" w14:textId="77777777" w:rsidR="00E65A70" w:rsidRPr="00117227" w:rsidRDefault="00E65A70" w:rsidP="00E65A70">
      <w:pPr>
        <w:rPr>
          <w:sz w:val="18"/>
          <w:lang w:val="es-MX"/>
        </w:rPr>
      </w:pPr>
      <w:r w:rsidRPr="00117227">
        <w:rPr>
          <w:sz w:val="18"/>
          <w:lang w:val="es-MX"/>
        </w:rPr>
        <w:t>*</w:t>
      </w:r>
      <w:r>
        <w:rPr>
          <w:sz w:val="18"/>
          <w:lang w:val="es-MX"/>
        </w:rPr>
        <w:t xml:space="preserve"> </w:t>
      </w:r>
      <w:r w:rsidRPr="00117227">
        <w:rPr>
          <w:sz w:val="18"/>
          <w:lang w:val="es-MX"/>
        </w:rPr>
        <w:t xml:space="preserve">Al 30 de junio de </w:t>
      </w:r>
      <w:r>
        <w:rPr>
          <w:sz w:val="18"/>
          <w:lang w:val="es-MX"/>
        </w:rPr>
        <w:t>2023</w:t>
      </w:r>
    </w:p>
    <w:p w14:paraId="111FA552" w14:textId="77777777" w:rsidR="00E65A70" w:rsidRPr="00117227" w:rsidRDefault="00E65A70" w:rsidP="00E65A70">
      <w:pPr>
        <w:rPr>
          <w:sz w:val="18"/>
          <w:lang w:val="es-MX"/>
        </w:rPr>
      </w:pPr>
      <w:r>
        <w:rPr>
          <w:sz w:val="18"/>
          <w:lang w:val="es-MX"/>
        </w:rPr>
        <w:t xml:space="preserve">   </w:t>
      </w:r>
      <w:r w:rsidRPr="00117227">
        <w:rPr>
          <w:sz w:val="18"/>
          <w:lang w:val="es-MX"/>
        </w:rPr>
        <w:t>Fuente: Banco de Guatemala.</w:t>
      </w:r>
    </w:p>
    <w:p w14:paraId="0615F889" w14:textId="1B8D94EB" w:rsidR="00E65A70" w:rsidRPr="00117227" w:rsidRDefault="00E65A70" w:rsidP="00E65A70">
      <w:pPr>
        <w:rPr>
          <w:sz w:val="18"/>
          <w:lang w:val="es-MX"/>
        </w:rPr>
      </w:pPr>
      <w:r>
        <w:rPr>
          <w:sz w:val="18"/>
          <w:lang w:val="es-MX"/>
        </w:rPr>
        <w:t xml:space="preserve">   </w:t>
      </w:r>
      <w:r w:rsidRPr="00117227">
        <w:rPr>
          <w:sz w:val="18"/>
          <w:lang w:val="es-MX"/>
        </w:rPr>
        <w:t xml:space="preserve">Base de datos </w:t>
      </w:r>
      <w:r>
        <w:rPr>
          <w:sz w:val="18"/>
          <w:lang w:val="es-MX"/>
        </w:rPr>
        <w:t>de I</w:t>
      </w:r>
      <w:r w:rsidRPr="00117227">
        <w:rPr>
          <w:sz w:val="18"/>
          <w:lang w:val="es-MX"/>
        </w:rPr>
        <w:t xml:space="preserve">nflación </w:t>
      </w:r>
      <w:r>
        <w:rPr>
          <w:sz w:val="18"/>
          <w:lang w:val="es-MX"/>
        </w:rPr>
        <w:t>S</w:t>
      </w:r>
      <w:r w:rsidRPr="00117227">
        <w:rPr>
          <w:sz w:val="18"/>
          <w:lang w:val="es-MX"/>
        </w:rPr>
        <w:t xml:space="preserve">ubyacente y </w:t>
      </w:r>
      <w:r>
        <w:rPr>
          <w:sz w:val="18"/>
          <w:lang w:val="es-MX"/>
        </w:rPr>
        <w:t>R</w:t>
      </w:r>
      <w:r w:rsidRPr="00117227">
        <w:rPr>
          <w:sz w:val="18"/>
          <w:lang w:val="es-MX"/>
        </w:rPr>
        <w:t xml:space="preserve">itmo </w:t>
      </w:r>
      <w:r>
        <w:rPr>
          <w:sz w:val="18"/>
          <w:lang w:val="es-MX"/>
        </w:rPr>
        <w:t>I</w:t>
      </w:r>
      <w:r w:rsidRPr="00117227">
        <w:rPr>
          <w:sz w:val="18"/>
          <w:lang w:val="es-MX"/>
        </w:rPr>
        <w:t xml:space="preserve">nflacionario </w:t>
      </w:r>
      <w:r>
        <w:rPr>
          <w:sz w:val="18"/>
          <w:lang w:val="es-MX"/>
        </w:rPr>
        <w:t>T</w:t>
      </w:r>
      <w:r w:rsidRPr="00117227">
        <w:rPr>
          <w:sz w:val="18"/>
          <w:lang w:val="es-MX"/>
        </w:rPr>
        <w:t xml:space="preserve">otal </w:t>
      </w:r>
      <w:r w:rsidR="00B65F16">
        <w:rPr>
          <w:sz w:val="18"/>
          <w:lang w:val="es-MX"/>
        </w:rPr>
        <w:t xml:space="preserve">en </w:t>
      </w:r>
      <w:r w:rsidRPr="00117227">
        <w:rPr>
          <w:sz w:val="18"/>
          <w:lang w:val="es-MX"/>
        </w:rPr>
        <w:t>20</w:t>
      </w:r>
      <w:r>
        <w:rPr>
          <w:sz w:val="18"/>
          <w:lang w:val="es-MX"/>
        </w:rPr>
        <w:t>23</w:t>
      </w:r>
      <w:r w:rsidRPr="00117227">
        <w:rPr>
          <w:sz w:val="18"/>
          <w:lang w:val="es-MX"/>
        </w:rPr>
        <w:t>.</w:t>
      </w:r>
    </w:p>
    <w:p w14:paraId="13EC46A9" w14:textId="1ADF39E0" w:rsidR="00E65A70" w:rsidRPr="004C237A" w:rsidRDefault="00E65A70" w:rsidP="00E65A70"/>
    <w:p w14:paraId="6A5F7F48" w14:textId="77777777" w:rsidR="00E65A70" w:rsidRDefault="00E65A70" w:rsidP="00E65A70">
      <w:pPr>
        <w:jc w:val="both"/>
        <w:rPr>
          <w:lang w:val="es-MX"/>
        </w:rPr>
      </w:pPr>
    </w:p>
    <w:p w14:paraId="6CA2EEB4" w14:textId="4E3DD067" w:rsidR="00E65A70" w:rsidRPr="00CC4238" w:rsidRDefault="00F04668" w:rsidP="00E65A70">
      <w:pPr>
        <w:jc w:val="both"/>
        <w:rPr>
          <w:lang w:val="es-MX"/>
        </w:rPr>
      </w:pPr>
      <w:r>
        <w:rPr>
          <w:lang w:val="es-MX"/>
        </w:rPr>
        <w:t>Con</w:t>
      </w:r>
      <w:r w:rsidR="00E65A70">
        <w:rPr>
          <w:lang w:val="es-MX"/>
        </w:rPr>
        <w:t xml:space="preserve"> relación </w:t>
      </w:r>
      <w:r>
        <w:rPr>
          <w:lang w:val="es-MX"/>
        </w:rPr>
        <w:t>a</w:t>
      </w:r>
      <w:r w:rsidR="00E65A70">
        <w:rPr>
          <w:lang w:val="es-MX"/>
        </w:rPr>
        <w:t xml:space="preserve"> </w:t>
      </w:r>
      <w:r w:rsidR="00E65A70" w:rsidRPr="00124AD6">
        <w:rPr>
          <w:lang w:val="es-MX"/>
        </w:rPr>
        <w:t>las remesas familiares</w:t>
      </w:r>
      <w:r w:rsidR="00E65A70">
        <w:rPr>
          <w:lang w:val="es-MX"/>
        </w:rPr>
        <w:t>, a</w:t>
      </w:r>
      <w:r w:rsidR="00E65A70">
        <w:t xml:space="preserve"> junio </w:t>
      </w:r>
      <w:r>
        <w:t xml:space="preserve">de </w:t>
      </w:r>
      <w:r w:rsidR="00E65A70">
        <w:t>202</w:t>
      </w:r>
      <w:r w:rsidR="00082E01">
        <w:t>3</w:t>
      </w:r>
      <w:r w:rsidR="00E65A70">
        <w:t xml:space="preserve"> se registró un monto acumulado de </w:t>
      </w:r>
      <w:r w:rsidR="00E65A70" w:rsidRPr="00CC4238">
        <w:rPr>
          <w:lang w:val="es-MX"/>
        </w:rPr>
        <w:t>US$</w:t>
      </w:r>
      <w:r w:rsidR="00E65A70">
        <w:rPr>
          <w:lang w:val="es-MX"/>
        </w:rPr>
        <w:t>9</w:t>
      </w:r>
      <w:r w:rsidR="00E65A70" w:rsidRPr="00CC4238">
        <w:rPr>
          <w:lang w:val="es-MX"/>
        </w:rPr>
        <w:t>,</w:t>
      </w:r>
      <w:r w:rsidR="00E65A70">
        <w:rPr>
          <w:lang w:val="es-MX"/>
        </w:rPr>
        <w:t>658</w:t>
      </w:r>
      <w:r w:rsidR="00E65A70" w:rsidRPr="00CC4238">
        <w:rPr>
          <w:lang w:val="es-MX"/>
        </w:rPr>
        <w:t>.</w:t>
      </w:r>
      <w:r w:rsidR="00E65A70">
        <w:rPr>
          <w:lang w:val="es-MX"/>
        </w:rPr>
        <w:t>0</w:t>
      </w:r>
      <w:r w:rsidR="00E65A70" w:rsidRPr="00CC4238">
        <w:rPr>
          <w:lang w:val="es-MX"/>
        </w:rPr>
        <w:t xml:space="preserve"> millones</w:t>
      </w:r>
      <w:r w:rsidR="00082E01">
        <w:rPr>
          <w:lang w:val="es-MX"/>
        </w:rPr>
        <w:t>,</w:t>
      </w:r>
      <w:r w:rsidR="00E65A70" w:rsidRPr="00CC4238">
        <w:rPr>
          <w:lang w:val="es-MX"/>
        </w:rPr>
        <w:t xml:space="preserve"> monto superior en </w:t>
      </w:r>
      <w:r w:rsidR="00082E01">
        <w:rPr>
          <w:lang w:val="es-MX"/>
        </w:rPr>
        <w:t>US</w:t>
      </w:r>
      <w:r w:rsidR="00E65A70" w:rsidRPr="00CC4238">
        <w:rPr>
          <w:lang w:val="es-MX"/>
        </w:rPr>
        <w:t>$</w:t>
      </w:r>
      <w:r w:rsidR="00E65A70">
        <w:rPr>
          <w:lang w:val="es-MX"/>
        </w:rPr>
        <w:t>946.6</w:t>
      </w:r>
      <w:r w:rsidR="00E65A70" w:rsidRPr="00CC4238">
        <w:rPr>
          <w:lang w:val="es-MX"/>
        </w:rPr>
        <w:t xml:space="preserve"> millones al acumulado a junio</w:t>
      </w:r>
      <w:r w:rsidR="00082E01">
        <w:rPr>
          <w:lang w:val="es-MX"/>
        </w:rPr>
        <w:t xml:space="preserve"> de</w:t>
      </w:r>
      <w:r w:rsidR="00E65A70" w:rsidRPr="00CC4238">
        <w:rPr>
          <w:lang w:val="es-MX"/>
        </w:rPr>
        <w:t xml:space="preserve"> 202</w:t>
      </w:r>
      <w:r w:rsidR="00082E01">
        <w:rPr>
          <w:lang w:val="es-MX"/>
        </w:rPr>
        <w:t>2</w:t>
      </w:r>
      <w:r w:rsidR="00E65A70" w:rsidRPr="00CC4238">
        <w:rPr>
          <w:lang w:val="es-MX"/>
        </w:rPr>
        <w:t xml:space="preserve"> </w:t>
      </w:r>
      <w:r w:rsidR="00082E01">
        <w:rPr>
          <w:lang w:val="es-MX"/>
        </w:rPr>
        <w:t xml:space="preserve">que fue </w:t>
      </w:r>
      <w:r w:rsidR="00E65A70" w:rsidRPr="00CC4238">
        <w:rPr>
          <w:lang w:val="es-MX"/>
        </w:rPr>
        <w:t>de US$8,711.4</w:t>
      </w:r>
      <w:r w:rsidR="00082E01">
        <w:rPr>
          <w:lang w:val="es-MX"/>
        </w:rPr>
        <w:t xml:space="preserve"> </w:t>
      </w:r>
      <w:r w:rsidR="00E65A70" w:rsidRPr="00CC4238">
        <w:rPr>
          <w:lang w:val="es-MX"/>
        </w:rPr>
        <w:t xml:space="preserve">millones, </w:t>
      </w:r>
      <w:r w:rsidR="00E65A70">
        <w:rPr>
          <w:lang w:val="es-MX"/>
        </w:rPr>
        <w:t xml:space="preserve">lo cual </w:t>
      </w:r>
      <w:r w:rsidR="00E65A70" w:rsidRPr="00CC4238">
        <w:rPr>
          <w:lang w:val="es-MX"/>
        </w:rPr>
        <w:t xml:space="preserve">representa un incremento del </w:t>
      </w:r>
      <w:r w:rsidR="00E65A70">
        <w:rPr>
          <w:lang w:val="es-MX"/>
        </w:rPr>
        <w:t>10.9</w:t>
      </w:r>
      <w:r w:rsidR="00E65A70" w:rsidRPr="00CC4238">
        <w:rPr>
          <w:lang w:val="es-MX"/>
        </w:rPr>
        <w:t xml:space="preserve">%. </w:t>
      </w:r>
      <w:r w:rsidR="00E65A70">
        <w:rPr>
          <w:lang w:val="es-MX"/>
        </w:rPr>
        <w:t>De acuerdo con el Banco de Guatemala,</w:t>
      </w:r>
      <w:r w:rsidR="00E65A70" w:rsidRPr="00CC4238">
        <w:rPr>
          <w:lang w:val="es-MX"/>
        </w:rPr>
        <w:t xml:space="preserve"> en el primer semestre </w:t>
      </w:r>
      <w:r w:rsidR="00082E01">
        <w:rPr>
          <w:lang w:val="es-MX"/>
        </w:rPr>
        <w:t xml:space="preserve">de </w:t>
      </w:r>
      <w:r w:rsidR="00E65A70">
        <w:rPr>
          <w:lang w:val="es-MX"/>
        </w:rPr>
        <w:t>2023</w:t>
      </w:r>
      <w:r w:rsidR="00E65A70" w:rsidRPr="00CC4238">
        <w:rPr>
          <w:lang w:val="es-MX"/>
        </w:rPr>
        <w:t>, el flujo de remesas familiares mostró un crecimiento importante, asociado principalmente, al elevado nivel de empleo en los Estados Unidos de América, particularmente el segmento de empleo hispano, resultado de la evolución positiva de la economía estadounidense. En este contexto, y consistente con las perspectivas de crecimiento para dicha economía, se prevé que en 202</w:t>
      </w:r>
      <w:r w:rsidR="00E65A70">
        <w:rPr>
          <w:lang w:val="es-MX"/>
        </w:rPr>
        <w:t>3</w:t>
      </w:r>
      <w:r w:rsidR="00E65A70" w:rsidRPr="00CC4238">
        <w:rPr>
          <w:lang w:val="es-MX"/>
        </w:rPr>
        <w:t xml:space="preserve"> se registre un aumento entre </w:t>
      </w:r>
      <w:r w:rsidR="00E65A70">
        <w:rPr>
          <w:lang w:val="es-MX"/>
        </w:rPr>
        <w:t>6.0</w:t>
      </w:r>
      <w:r w:rsidR="00E65A70" w:rsidRPr="00CC4238">
        <w:rPr>
          <w:lang w:val="es-MX"/>
        </w:rPr>
        <w:t xml:space="preserve">% y </w:t>
      </w:r>
      <w:r w:rsidR="00E65A70">
        <w:rPr>
          <w:lang w:val="es-MX"/>
        </w:rPr>
        <w:t>9.0</w:t>
      </w:r>
      <w:r w:rsidR="00E65A70" w:rsidRPr="00CC4238">
        <w:rPr>
          <w:lang w:val="es-MX"/>
        </w:rPr>
        <w:t>%</w:t>
      </w:r>
      <w:r w:rsidR="00082E01">
        <w:rPr>
          <w:lang w:val="es-MX"/>
        </w:rPr>
        <w:t xml:space="preserve"> con</w:t>
      </w:r>
      <w:r w:rsidR="00E65A70">
        <w:rPr>
          <w:lang w:val="es-MX"/>
        </w:rPr>
        <w:t xml:space="preserve"> respecto a lo observado </w:t>
      </w:r>
      <w:r w:rsidR="00082E01">
        <w:rPr>
          <w:lang w:val="es-MX"/>
        </w:rPr>
        <w:t xml:space="preserve">en </w:t>
      </w:r>
      <w:r w:rsidR="00E65A70">
        <w:rPr>
          <w:lang w:val="es-MX"/>
        </w:rPr>
        <w:t>el año anterior</w:t>
      </w:r>
      <w:r w:rsidR="00E65A70" w:rsidRPr="00CC4238">
        <w:rPr>
          <w:lang w:val="es-MX"/>
        </w:rPr>
        <w:t>.</w:t>
      </w:r>
    </w:p>
    <w:p w14:paraId="41AC71C4" w14:textId="77777777" w:rsidR="00E65A70" w:rsidRPr="00CC4238" w:rsidRDefault="00E65A70" w:rsidP="00E65A70">
      <w:pPr>
        <w:jc w:val="both"/>
        <w:rPr>
          <w:lang w:val="es-MX"/>
        </w:rPr>
      </w:pPr>
    </w:p>
    <w:p w14:paraId="0F954825" w14:textId="77777777" w:rsidR="00E65A70" w:rsidRDefault="00E65A70" w:rsidP="00E65A70">
      <w:pPr>
        <w:spacing w:after="160" w:line="259" w:lineRule="auto"/>
        <w:rPr>
          <w:b/>
        </w:rPr>
      </w:pPr>
      <w:r>
        <w:rPr>
          <w:b/>
        </w:rPr>
        <w:br w:type="page"/>
      </w:r>
    </w:p>
    <w:p w14:paraId="6CFD620B" w14:textId="77777777" w:rsidR="00E65A70" w:rsidRPr="00124AD6" w:rsidRDefault="00E65A70" w:rsidP="00E65A70">
      <w:pPr>
        <w:jc w:val="center"/>
        <w:rPr>
          <w:b/>
        </w:rPr>
      </w:pPr>
      <w:r w:rsidRPr="00124AD6">
        <w:rPr>
          <w:b/>
        </w:rPr>
        <w:t xml:space="preserve">Gráfica </w:t>
      </w:r>
      <w:r>
        <w:rPr>
          <w:b/>
        </w:rPr>
        <w:t>4</w:t>
      </w:r>
    </w:p>
    <w:p w14:paraId="4FA73F73" w14:textId="77777777" w:rsidR="00E65A70" w:rsidRDefault="00E65A70" w:rsidP="00E65A70">
      <w:pPr>
        <w:jc w:val="center"/>
        <w:rPr>
          <w:b/>
        </w:rPr>
      </w:pPr>
      <w:r w:rsidRPr="00124AD6">
        <w:rPr>
          <w:b/>
        </w:rPr>
        <w:t>Guatemala: Remesas Familiares</w:t>
      </w:r>
    </w:p>
    <w:p w14:paraId="5E39F791" w14:textId="77777777" w:rsidR="00E65A70" w:rsidRDefault="00E65A70" w:rsidP="00E65A70">
      <w:pPr>
        <w:jc w:val="center"/>
        <w:rPr>
          <w:b/>
        </w:rPr>
      </w:pPr>
      <w:r>
        <w:rPr>
          <w:b/>
        </w:rPr>
        <w:t>En Millones de US Dólares</w:t>
      </w:r>
    </w:p>
    <w:p w14:paraId="70DB58E1" w14:textId="2715E394" w:rsidR="00E65A70" w:rsidRPr="00124AD6" w:rsidRDefault="00082E01" w:rsidP="00E65A70">
      <w:pPr>
        <w:jc w:val="center"/>
        <w:rPr>
          <w:b/>
        </w:rPr>
      </w:pPr>
      <w:r>
        <w:rPr>
          <w:b/>
        </w:rPr>
        <w:t xml:space="preserve">Período </w:t>
      </w:r>
      <w:r w:rsidR="00E65A70" w:rsidRPr="00124AD6">
        <w:rPr>
          <w:b/>
        </w:rPr>
        <w:t>201</w:t>
      </w:r>
      <w:r w:rsidR="00E65A70">
        <w:rPr>
          <w:b/>
        </w:rPr>
        <w:t>1</w:t>
      </w:r>
      <w:r w:rsidR="00E65A70" w:rsidRPr="00124AD6">
        <w:rPr>
          <w:b/>
        </w:rPr>
        <w:t xml:space="preserve"> </w:t>
      </w:r>
      <w:r w:rsidR="007D20DD">
        <w:rPr>
          <w:b/>
        </w:rPr>
        <w:t>-</w:t>
      </w:r>
      <w:r w:rsidR="00E65A70" w:rsidRPr="00124AD6">
        <w:rPr>
          <w:b/>
        </w:rPr>
        <w:t xml:space="preserve"> 20</w:t>
      </w:r>
      <w:r w:rsidR="00E65A70">
        <w:rPr>
          <w:b/>
        </w:rPr>
        <w:t>23</w:t>
      </w:r>
    </w:p>
    <w:p w14:paraId="29ED9C76" w14:textId="15F2A3CE" w:rsidR="00E65A70" w:rsidRDefault="00E65A70" w:rsidP="00E65A70">
      <w:pPr>
        <w:jc w:val="center"/>
        <w:rPr>
          <w:b/>
        </w:rPr>
      </w:pPr>
      <w:r w:rsidRPr="00124AD6">
        <w:rPr>
          <w:b/>
        </w:rPr>
        <w:t>(</w:t>
      </w:r>
      <w:r w:rsidR="00082E01">
        <w:rPr>
          <w:b/>
        </w:rPr>
        <w:t>A</w:t>
      </w:r>
      <w:r>
        <w:rPr>
          <w:b/>
        </w:rPr>
        <w:t>l 30 de junio de cada año</w:t>
      </w:r>
      <w:r w:rsidRPr="00124AD6">
        <w:rPr>
          <w:b/>
        </w:rPr>
        <w:t>)</w:t>
      </w:r>
    </w:p>
    <w:p w14:paraId="36A6F265" w14:textId="77777777" w:rsidR="00E65A70" w:rsidRDefault="00E65A70" w:rsidP="00E65A70">
      <w:pPr>
        <w:jc w:val="center"/>
        <w:rPr>
          <w:b/>
        </w:rPr>
      </w:pPr>
      <w:r>
        <w:rPr>
          <w:noProof/>
        </w:rPr>
        <w:drawing>
          <wp:inline distT="0" distB="0" distL="0" distR="0" wp14:anchorId="3A91216B" wp14:editId="1E726BF2">
            <wp:extent cx="5875020" cy="3613708"/>
            <wp:effectExtent l="0" t="0" r="11430" b="6350"/>
            <wp:docPr id="11" name="Gráfico 11">
              <a:extLst xmlns:a="http://schemas.openxmlformats.org/drawingml/2006/main">
                <a:ext uri="{FF2B5EF4-FFF2-40B4-BE49-F238E27FC236}">
                  <a16:creationId xmlns:a16="http://schemas.microsoft.com/office/drawing/2014/main" id="{4F7159A2-F0F1-4B6D-8B61-37A6EC214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noProof/>
        </w:rPr>
        <w:t xml:space="preserve"> </w:t>
      </w:r>
    </w:p>
    <w:p w14:paraId="53BC7DB7" w14:textId="568FD099" w:rsidR="00E65A70" w:rsidRPr="00117227" w:rsidRDefault="00E65A70" w:rsidP="00E65A70">
      <w:pPr>
        <w:jc w:val="both"/>
        <w:rPr>
          <w:noProof/>
          <w:sz w:val="18"/>
        </w:rPr>
      </w:pPr>
      <w:r w:rsidRPr="00117227">
        <w:rPr>
          <w:noProof/>
          <w:sz w:val="18"/>
        </w:rPr>
        <w:t>Fuente: Banco de Guatemala.</w:t>
      </w:r>
    </w:p>
    <w:p w14:paraId="012FB6D1" w14:textId="5F631557" w:rsidR="00E65A70" w:rsidRDefault="00E65A70" w:rsidP="00E65A70">
      <w:pPr>
        <w:rPr>
          <w:lang w:val="es-MX"/>
        </w:rPr>
      </w:pPr>
    </w:p>
    <w:p w14:paraId="7736A26A" w14:textId="77777777" w:rsidR="007D20DD" w:rsidRDefault="007D20DD" w:rsidP="00E65A70">
      <w:pPr>
        <w:rPr>
          <w:lang w:val="es-MX"/>
        </w:rPr>
      </w:pPr>
    </w:p>
    <w:p w14:paraId="1E852188" w14:textId="23DE77FE" w:rsidR="00E65A70" w:rsidRPr="00D1063F" w:rsidRDefault="00E65A70" w:rsidP="00E65A70">
      <w:pPr>
        <w:jc w:val="both"/>
        <w:rPr>
          <w:lang w:val="es-MX"/>
        </w:rPr>
      </w:pPr>
      <w:r w:rsidRPr="00D1063F">
        <w:t>E</w:t>
      </w:r>
      <w:r w:rsidR="0001217F" w:rsidRPr="00D1063F">
        <w:t>n 2023, e</w:t>
      </w:r>
      <w:r w:rsidRPr="00D1063F">
        <w:t xml:space="preserve">l nivel de Reservas Internacionales Netas (RIN) </w:t>
      </w:r>
      <w:r w:rsidR="0001217F" w:rsidRPr="00D1063F">
        <w:t>es</w:t>
      </w:r>
      <w:r w:rsidRPr="00D1063F">
        <w:t xml:space="preserve"> de US$21,160.5 millones, superior en US$1,284.9 millones al</w:t>
      </w:r>
      <w:r w:rsidR="0001217F" w:rsidRPr="00D1063F">
        <w:t xml:space="preserve"> saldo reportado al</w:t>
      </w:r>
      <w:r w:rsidRPr="00D1063F">
        <w:t xml:space="preserve"> 31 de diciembre de 2022, resultado principalmente, de los pagos netos por deuda externa del sector público y de la disminución de depósitos en moneda extranjera de los bancos del sistema en el Banco de Guatemala, lo que compensó las compras netas por activación de la regla cambiaria y por el mecanismo de acumulación de reservas internacionales. El referido nivel de RIN equivale a 8.0 meses de importación de bienes, lo que refleja la sólida posición externa del país</w:t>
      </w:r>
      <w:r w:rsidR="0053771A" w:rsidRPr="00D1063F">
        <w:t>;</w:t>
      </w:r>
      <w:r w:rsidRPr="00D1063F">
        <w:t xml:space="preserve"> e</w:t>
      </w:r>
      <w:r w:rsidR="0053771A" w:rsidRPr="00D1063F">
        <w:t>ste</w:t>
      </w:r>
      <w:r w:rsidRPr="00D1063F">
        <w:t xml:space="preserve"> resultado </w:t>
      </w:r>
      <w:r w:rsidR="0053771A" w:rsidRPr="00D1063F">
        <w:t xml:space="preserve">también </w:t>
      </w:r>
      <w:r w:rsidRPr="00D1063F">
        <w:t xml:space="preserve">es producto de las compras netas por activación de la regla cambiaria, de la acumulación de reservas y de la colocación en el mercado nacional de bonos expresados en dólares estadounidenses; lo cual fue compensado parcialmente, por los pagos netos </w:t>
      </w:r>
      <w:r w:rsidR="0053771A" w:rsidRPr="00D1063F">
        <w:t>de</w:t>
      </w:r>
      <w:r w:rsidRPr="00D1063F">
        <w:t xml:space="preserve"> deuda externa del sector público y por el pago de intereses de los depósitos a plazo en dólares de los Estados Unidos de América emitidos por el Gobierno de la República.</w:t>
      </w:r>
    </w:p>
    <w:p w14:paraId="74641B52" w14:textId="77777777" w:rsidR="00E65A70" w:rsidRDefault="00E65A70" w:rsidP="00E65A70">
      <w:pPr>
        <w:jc w:val="both"/>
        <w:rPr>
          <w:lang w:val="es-MX"/>
        </w:rPr>
      </w:pPr>
    </w:p>
    <w:p w14:paraId="3F7917FB" w14:textId="77777777" w:rsidR="00E65A70" w:rsidRDefault="00E65A70" w:rsidP="00E65A70">
      <w:pPr>
        <w:spacing w:after="160" w:line="259" w:lineRule="auto"/>
        <w:rPr>
          <w:b/>
          <w:lang w:val="es-MX"/>
        </w:rPr>
      </w:pPr>
      <w:r>
        <w:rPr>
          <w:b/>
          <w:lang w:val="es-MX"/>
        </w:rPr>
        <w:br w:type="page"/>
      </w:r>
    </w:p>
    <w:p w14:paraId="2399CBBB" w14:textId="77777777" w:rsidR="00E65A70" w:rsidRPr="00124AD6" w:rsidRDefault="00E65A70" w:rsidP="00E65A70">
      <w:pPr>
        <w:jc w:val="center"/>
        <w:rPr>
          <w:b/>
          <w:lang w:val="es-MX"/>
        </w:rPr>
      </w:pPr>
      <w:r w:rsidRPr="00124AD6">
        <w:rPr>
          <w:b/>
          <w:lang w:val="es-MX"/>
        </w:rPr>
        <w:t xml:space="preserve">Gráfica </w:t>
      </w:r>
      <w:r>
        <w:rPr>
          <w:b/>
          <w:lang w:val="es-MX"/>
        </w:rPr>
        <w:t>5</w:t>
      </w:r>
    </w:p>
    <w:p w14:paraId="5E298CB7" w14:textId="77777777" w:rsidR="00E65A70" w:rsidRPr="00124AD6" w:rsidRDefault="00E65A70" w:rsidP="00E65A70">
      <w:pPr>
        <w:jc w:val="center"/>
        <w:rPr>
          <w:b/>
          <w:lang w:val="es-MX"/>
        </w:rPr>
      </w:pPr>
      <w:r w:rsidRPr="00124AD6">
        <w:rPr>
          <w:b/>
          <w:lang w:val="es-MX"/>
        </w:rPr>
        <w:t>Reservas Monetarias Internacionales 201</w:t>
      </w:r>
      <w:r>
        <w:rPr>
          <w:b/>
          <w:lang w:val="es-MX"/>
        </w:rPr>
        <w:t xml:space="preserve">0 </w:t>
      </w:r>
      <w:r w:rsidRPr="00124AD6">
        <w:rPr>
          <w:b/>
          <w:lang w:val="es-MX"/>
        </w:rPr>
        <w:t>-</w:t>
      </w:r>
      <w:r>
        <w:rPr>
          <w:b/>
          <w:lang w:val="es-MX"/>
        </w:rPr>
        <w:t xml:space="preserve"> </w:t>
      </w:r>
      <w:r w:rsidRPr="00124AD6">
        <w:rPr>
          <w:b/>
          <w:lang w:val="es-MX"/>
        </w:rPr>
        <w:t>20</w:t>
      </w:r>
      <w:r>
        <w:rPr>
          <w:b/>
          <w:lang w:val="es-MX"/>
        </w:rPr>
        <w:t>23*</w:t>
      </w:r>
    </w:p>
    <w:p w14:paraId="7B0822C4" w14:textId="77777777" w:rsidR="00E65A70" w:rsidRDefault="00E65A70" w:rsidP="00E65A70">
      <w:pPr>
        <w:jc w:val="center"/>
        <w:rPr>
          <w:noProof/>
          <w:lang w:val="es-GT" w:eastAsia="es-GT"/>
        </w:rPr>
      </w:pPr>
      <w:r w:rsidRPr="00124AD6">
        <w:rPr>
          <w:b/>
          <w:lang w:val="es-MX"/>
        </w:rPr>
        <w:t>(En Millones de US Dólares)</w:t>
      </w:r>
    </w:p>
    <w:p w14:paraId="3B62849A" w14:textId="77777777" w:rsidR="00E65A70" w:rsidRDefault="00E65A70" w:rsidP="00E65A70">
      <w:pPr>
        <w:jc w:val="center"/>
        <w:rPr>
          <w:b/>
          <w:lang w:val="es-MX"/>
        </w:rPr>
      </w:pPr>
      <w:r>
        <w:rPr>
          <w:noProof/>
        </w:rPr>
        <w:drawing>
          <wp:inline distT="0" distB="0" distL="0" distR="0" wp14:anchorId="7E9ED97E" wp14:editId="3D1710E1">
            <wp:extent cx="5812155" cy="3093058"/>
            <wp:effectExtent l="0" t="0" r="17145" b="12700"/>
            <wp:docPr id="22" name="Gráfico 22">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D85D86C" w14:textId="32FD14AE" w:rsidR="00E65A70" w:rsidRPr="00131277" w:rsidRDefault="00E65A70" w:rsidP="00E65A70">
      <w:pPr>
        <w:rPr>
          <w:sz w:val="18"/>
          <w:lang w:val="es-MX"/>
        </w:rPr>
      </w:pPr>
      <w:r w:rsidRPr="00131277">
        <w:rPr>
          <w:sz w:val="18"/>
          <w:lang w:val="es-MX"/>
        </w:rPr>
        <w:t>*</w:t>
      </w:r>
      <w:r>
        <w:rPr>
          <w:sz w:val="18"/>
          <w:lang w:val="es-MX"/>
        </w:rPr>
        <w:t xml:space="preserve"> </w:t>
      </w:r>
      <w:r w:rsidRPr="00131277">
        <w:rPr>
          <w:sz w:val="18"/>
          <w:lang w:val="es-MX"/>
        </w:rPr>
        <w:t xml:space="preserve">Acumulado al 30 de junio de </w:t>
      </w:r>
      <w:r>
        <w:rPr>
          <w:sz w:val="18"/>
          <w:lang w:val="es-MX"/>
        </w:rPr>
        <w:t>2023</w:t>
      </w:r>
    </w:p>
    <w:p w14:paraId="22CC74DD" w14:textId="46DFC6BB" w:rsidR="00E65A70" w:rsidRPr="00124AD6" w:rsidRDefault="00E65A70" w:rsidP="00E65A70">
      <w:pPr>
        <w:rPr>
          <w:lang w:val="es-MX"/>
        </w:rPr>
      </w:pPr>
      <w:r>
        <w:rPr>
          <w:sz w:val="18"/>
          <w:lang w:val="es-MX"/>
        </w:rPr>
        <w:t xml:space="preserve">   </w:t>
      </w:r>
      <w:r w:rsidRPr="00131277">
        <w:rPr>
          <w:sz w:val="18"/>
          <w:lang w:val="es-MX"/>
        </w:rPr>
        <w:t>Fuente: Banco de Guatemala</w:t>
      </w:r>
      <w:r>
        <w:rPr>
          <w:sz w:val="16"/>
          <w:lang w:val="es-MX"/>
        </w:rPr>
        <w:t>.</w:t>
      </w:r>
    </w:p>
    <w:p w14:paraId="18ABFCA8" w14:textId="77777777" w:rsidR="00E65A70" w:rsidRPr="007D20DD" w:rsidRDefault="00E65A70" w:rsidP="00E65A70">
      <w:pPr>
        <w:rPr>
          <w:sz w:val="22"/>
          <w:lang w:val="es-MX"/>
        </w:rPr>
      </w:pPr>
    </w:p>
    <w:p w14:paraId="761487EB" w14:textId="12D7EA2D" w:rsidR="00E65A70" w:rsidRDefault="00E65A70" w:rsidP="00E65A70">
      <w:pPr>
        <w:jc w:val="both"/>
      </w:pPr>
      <w:r>
        <w:rPr>
          <w:lang w:val="es-MX"/>
        </w:rPr>
        <w:t xml:space="preserve">Respecto de la Tasa </w:t>
      </w:r>
      <w:r w:rsidR="00E87D05">
        <w:rPr>
          <w:lang w:val="es-MX"/>
        </w:rPr>
        <w:t xml:space="preserve">de Interés </w:t>
      </w:r>
      <w:r>
        <w:rPr>
          <w:lang w:val="es-MX"/>
        </w:rPr>
        <w:t xml:space="preserve">Líder de Política Monetaria, </w:t>
      </w:r>
      <w:r>
        <w:t xml:space="preserve">durante el primer semestre de 2023 </w:t>
      </w:r>
      <w:r w:rsidR="00F36EBE">
        <w:t xml:space="preserve">y </w:t>
      </w:r>
      <w:r>
        <w:t xml:space="preserve">conforme </w:t>
      </w:r>
      <w:r w:rsidR="00E87D05">
        <w:t>a</w:t>
      </w:r>
      <w:r>
        <w:t xml:space="preserve">l calendario previsto, la Junta Monetaria se reunió en enero, febrero, marzo, abril, mayo y junio para decidir sobre el nivel de la tasa de interés líder de </w:t>
      </w:r>
      <w:r w:rsidR="00E87D05">
        <w:t xml:space="preserve">la </w:t>
      </w:r>
      <w:r>
        <w:t xml:space="preserve">política monetaria. Durante las primeras sesiones, la Junta Monetaria decidió incrementar </w:t>
      </w:r>
      <w:r w:rsidR="00F668D5">
        <w:t>dicha</w:t>
      </w:r>
      <w:r>
        <w:t xml:space="preserve"> tasa, tomando como base el análisis integral de la coyuntura</w:t>
      </w:r>
      <w:r w:rsidR="001A625B">
        <w:t>,</w:t>
      </w:r>
      <w:r>
        <w:t xml:space="preserve"> tanto externa como interna, expresado en un balance de riesgos de inflación.</w:t>
      </w:r>
    </w:p>
    <w:p w14:paraId="0CAF3311" w14:textId="77777777" w:rsidR="00E65A70" w:rsidRPr="007D20DD" w:rsidRDefault="00E65A70" w:rsidP="00E65A70">
      <w:pPr>
        <w:jc w:val="both"/>
        <w:rPr>
          <w:sz w:val="22"/>
        </w:rPr>
      </w:pPr>
    </w:p>
    <w:p w14:paraId="3846CDD8" w14:textId="74246FDC" w:rsidR="00E65A70" w:rsidRDefault="00E65A70" w:rsidP="00E65A70">
      <w:pPr>
        <w:jc w:val="both"/>
      </w:pPr>
      <w:r>
        <w:t>Sin embargo</w:t>
      </w:r>
      <w:r w:rsidRPr="00C10157">
        <w:t xml:space="preserve">, en las reuniones de mayo y junio, en el contexto </w:t>
      </w:r>
      <w:r w:rsidRPr="003323EB">
        <w:t>que las perspectivas para la actividad económica mundial</w:t>
      </w:r>
      <w:r w:rsidR="001A625B">
        <w:t>,</w:t>
      </w:r>
      <w:r w:rsidRPr="003323EB">
        <w:t xml:space="preserve"> continúan evidenciando crecimientos positivos para el presente y el próximo año, aunque a un ritmo menor que el año anterior, </w:t>
      </w:r>
      <w:r>
        <w:t xml:space="preserve">aún </w:t>
      </w:r>
      <w:r w:rsidRPr="003323EB">
        <w:t xml:space="preserve">en un contexto de volatilidad, incertidumbre y riesgos a la baja, debido a condiciones financieras internacionales restrictivas y a la prolongación de tensiones geopolíticas a nivel mundial. </w:t>
      </w:r>
      <w:r w:rsidR="00F668D5">
        <w:t>Además, se su</w:t>
      </w:r>
      <w:r w:rsidRPr="003323EB">
        <w:t>brayó que la inflación a nivel internacional ha empezado a ceder, particularmente la de los principales socios comerciales del país, aunque todavía por encima de lo previsto</w:t>
      </w:r>
      <w:r w:rsidRPr="00C10157">
        <w:t>.</w:t>
      </w:r>
    </w:p>
    <w:p w14:paraId="039F98A2" w14:textId="77777777" w:rsidR="00E65A70" w:rsidRPr="007D20DD" w:rsidRDefault="00E65A70" w:rsidP="00E65A70">
      <w:pPr>
        <w:jc w:val="both"/>
        <w:rPr>
          <w:sz w:val="22"/>
        </w:rPr>
      </w:pPr>
    </w:p>
    <w:p w14:paraId="1CAF2D62" w14:textId="655EB37A" w:rsidR="00E65A70" w:rsidRPr="00C10157" w:rsidRDefault="00E65A70" w:rsidP="00E65A70">
      <w:pPr>
        <w:jc w:val="both"/>
      </w:pPr>
      <w:r>
        <w:t xml:space="preserve">A nivel interno, </w:t>
      </w:r>
      <w:r w:rsidRPr="003323EB">
        <w:t xml:space="preserve">la Junta Monetaria resaltó que la mayor parte de los indicadores de actividad económica, siguen con un comportamiento acorde a la proyección de crecimiento económico para 2023 y 2024 (entre 2.5% y 4.5%). Por otra parte, destacó que la inflación a mayo de 2023 continuó reduciéndose, resultado principalmente, de los aumentos en la tasa de interés líder de política monetaria, de una menor presión inflacionaria externa y de la reducción de las expectativas de inflación. En ese contexto, señaló que tanto los pronósticos como las expectativas sugieren que la inflación mantendría una trayectoria decreciente que convergería a la meta determinada por la Junta Monetaria para fin de año. </w:t>
      </w:r>
      <w:r>
        <w:t xml:space="preserve"> </w:t>
      </w:r>
      <w:r w:rsidRPr="00C10157">
        <w:t xml:space="preserve">(Banco de Guatemala, </w:t>
      </w:r>
      <w:r>
        <w:t>Comunicado de Prensa</w:t>
      </w:r>
      <w:r w:rsidR="00B37407">
        <w:t xml:space="preserve"> de la </w:t>
      </w:r>
      <w:r>
        <w:t>Junta Monetaria</w:t>
      </w:r>
      <w:r w:rsidR="00B37407">
        <w:t>;</w:t>
      </w:r>
      <w:r>
        <w:t xml:space="preserve"> 28 de junio</w:t>
      </w:r>
      <w:r w:rsidR="00B37407">
        <w:t xml:space="preserve"> de</w:t>
      </w:r>
      <w:r>
        <w:t xml:space="preserve"> 2023</w:t>
      </w:r>
      <w:r w:rsidRPr="00C10157">
        <w:t>).</w:t>
      </w:r>
    </w:p>
    <w:p w14:paraId="076CDABA" w14:textId="77777777" w:rsidR="00E65A70" w:rsidRPr="00411E68" w:rsidRDefault="00E65A70" w:rsidP="00E65A70">
      <w:pPr>
        <w:jc w:val="both"/>
      </w:pPr>
    </w:p>
    <w:p w14:paraId="760FC80A" w14:textId="77777777" w:rsidR="00E65A70" w:rsidRDefault="00E65A70" w:rsidP="00E65A70">
      <w:pPr>
        <w:jc w:val="both"/>
        <w:rPr>
          <w:b/>
          <w:lang w:val="es-MX"/>
        </w:rPr>
      </w:pPr>
    </w:p>
    <w:p w14:paraId="567A29DB" w14:textId="77777777" w:rsidR="00E65A70" w:rsidRPr="00124AD6" w:rsidRDefault="00E65A70" w:rsidP="00E65A70">
      <w:pPr>
        <w:jc w:val="center"/>
        <w:rPr>
          <w:b/>
          <w:lang w:val="es-MX"/>
        </w:rPr>
      </w:pPr>
      <w:r w:rsidRPr="00124AD6">
        <w:rPr>
          <w:b/>
          <w:lang w:val="es-MX"/>
        </w:rPr>
        <w:t xml:space="preserve">Gráfica </w:t>
      </w:r>
      <w:r>
        <w:rPr>
          <w:b/>
          <w:lang w:val="es-MX"/>
        </w:rPr>
        <w:t>6</w:t>
      </w:r>
    </w:p>
    <w:p w14:paraId="27A4AB13" w14:textId="77777777" w:rsidR="00E65A70" w:rsidRPr="00124AD6" w:rsidRDefault="00E65A70" w:rsidP="00E65A70">
      <w:pPr>
        <w:jc w:val="center"/>
        <w:rPr>
          <w:b/>
          <w:lang w:val="es-MX"/>
        </w:rPr>
      </w:pPr>
      <w:r w:rsidRPr="00124AD6">
        <w:rPr>
          <w:b/>
          <w:lang w:val="es-MX"/>
        </w:rPr>
        <w:t xml:space="preserve">Tasa </w:t>
      </w:r>
      <w:r>
        <w:rPr>
          <w:b/>
          <w:lang w:val="es-MX"/>
        </w:rPr>
        <w:t xml:space="preserve">de Interés </w:t>
      </w:r>
      <w:r w:rsidRPr="00124AD6">
        <w:rPr>
          <w:b/>
          <w:lang w:val="es-MX"/>
        </w:rPr>
        <w:t>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p>
    <w:p w14:paraId="7343BCAF" w14:textId="0119F7C4" w:rsidR="00E65A70" w:rsidRPr="00124AD6" w:rsidRDefault="00E65A70" w:rsidP="00E65A70">
      <w:pPr>
        <w:jc w:val="center"/>
        <w:rPr>
          <w:b/>
          <w:lang w:val="es-MX"/>
        </w:rPr>
      </w:pPr>
      <w:r w:rsidRPr="00124AD6">
        <w:rPr>
          <w:b/>
          <w:lang w:val="es-MX"/>
        </w:rPr>
        <w:t>(Período 20</w:t>
      </w:r>
      <w:r>
        <w:rPr>
          <w:b/>
          <w:lang w:val="es-MX"/>
        </w:rPr>
        <w:t>1</w:t>
      </w:r>
      <w:r w:rsidR="00B37407">
        <w:rPr>
          <w:b/>
          <w:lang w:val="es-MX"/>
        </w:rPr>
        <w:t>1</w:t>
      </w:r>
      <w:r w:rsidRPr="00124AD6">
        <w:rPr>
          <w:b/>
          <w:lang w:val="es-MX"/>
        </w:rPr>
        <w:t xml:space="preserve"> - 20</w:t>
      </w:r>
      <w:r>
        <w:rPr>
          <w:b/>
          <w:lang w:val="es-MX"/>
        </w:rPr>
        <w:t>23</w:t>
      </w:r>
      <w:r w:rsidRPr="00124AD6">
        <w:rPr>
          <w:b/>
          <w:lang w:val="es-MX"/>
        </w:rPr>
        <w:t>)</w:t>
      </w:r>
    </w:p>
    <w:p w14:paraId="08AA7C0A" w14:textId="77777777" w:rsidR="00E65A70" w:rsidRDefault="00E65A70" w:rsidP="00E65A70">
      <w:pPr>
        <w:jc w:val="both"/>
        <w:rPr>
          <w:noProof/>
          <w:lang w:val="es-GT" w:eastAsia="es-GT"/>
        </w:rPr>
      </w:pPr>
      <w:r>
        <w:rPr>
          <w:noProof/>
        </w:rPr>
        <w:drawing>
          <wp:inline distT="0" distB="0" distL="0" distR="0" wp14:anchorId="489BEC42" wp14:editId="3E4A7019">
            <wp:extent cx="5828030" cy="3452774"/>
            <wp:effectExtent l="0" t="0" r="1270" b="14605"/>
            <wp:docPr id="24" name="Gráfico 24">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F6545DB" w14:textId="77777777" w:rsidR="00E65A70" w:rsidRPr="00442774" w:rsidRDefault="00E65A70" w:rsidP="00E65A70">
      <w:pPr>
        <w:rPr>
          <w:sz w:val="16"/>
          <w:lang w:val="es-MX"/>
        </w:rPr>
      </w:pPr>
      <w:r w:rsidRPr="00565001">
        <w:rPr>
          <w:sz w:val="18"/>
          <w:lang w:val="es-MX"/>
        </w:rPr>
        <w:t>Fuente: Banco de Guatemala</w:t>
      </w:r>
      <w:r>
        <w:rPr>
          <w:sz w:val="16"/>
          <w:lang w:val="es-MX"/>
        </w:rPr>
        <w:t>.</w:t>
      </w:r>
    </w:p>
    <w:p w14:paraId="3B359B34" w14:textId="03D04B26" w:rsidR="00E65A70" w:rsidRDefault="00E65A70" w:rsidP="00E65A70">
      <w:pPr>
        <w:jc w:val="both"/>
        <w:rPr>
          <w:lang w:val="es-MX"/>
        </w:rPr>
      </w:pPr>
    </w:p>
    <w:p w14:paraId="68DFAAF2" w14:textId="77777777" w:rsidR="004310F7" w:rsidRDefault="004310F7" w:rsidP="00E65A70">
      <w:pPr>
        <w:jc w:val="both"/>
        <w:rPr>
          <w:lang w:val="es-MX"/>
        </w:rPr>
      </w:pPr>
    </w:p>
    <w:p w14:paraId="12900005" w14:textId="6AE9BA99" w:rsidR="00E65A70" w:rsidRDefault="00E65A70" w:rsidP="00E65A70">
      <w:pPr>
        <w:jc w:val="both"/>
      </w:pPr>
      <w:r w:rsidRPr="00C31899">
        <w:t xml:space="preserve">De acuerdo con el Banco de Guatemala, el tipo de cambio nominal </w:t>
      </w:r>
      <w:r>
        <w:t xml:space="preserve">promedio </w:t>
      </w:r>
      <w:r w:rsidRPr="00C31899">
        <w:t>al 30 de junio de 202</w:t>
      </w:r>
      <w:r>
        <w:t>3</w:t>
      </w:r>
      <w:r w:rsidRPr="00C31899">
        <w:t>,</w:t>
      </w:r>
      <w:r>
        <w:t xml:space="preserve"> fue de 7.82 lo que permite estimar</w:t>
      </w:r>
      <w:r w:rsidRPr="00C31899">
        <w:t xml:space="preserve"> una depreciación interanual </w:t>
      </w:r>
      <w:r>
        <w:t>en</w:t>
      </w:r>
      <w:r w:rsidRPr="00C31899">
        <w:t xml:space="preserve"> </w:t>
      </w:r>
      <w:r>
        <w:t>el orden del 1.3</w:t>
      </w:r>
      <w:r w:rsidRPr="00C31899">
        <w:t xml:space="preserve">%, congruente con la evolución de factores </w:t>
      </w:r>
      <w:r>
        <w:t>como</w:t>
      </w:r>
      <w:r w:rsidRPr="00C31899">
        <w:t xml:space="preserve"> el crecimiento del flujo de remesas familiares y el comportamiento de los flujos comerciales.</w:t>
      </w:r>
    </w:p>
    <w:p w14:paraId="395D8966" w14:textId="77777777" w:rsidR="00E65A70" w:rsidRDefault="00E65A70" w:rsidP="00E65A70">
      <w:pPr>
        <w:jc w:val="both"/>
      </w:pPr>
    </w:p>
    <w:p w14:paraId="546CCFC4" w14:textId="36C7CBC7" w:rsidR="00E65A70" w:rsidRPr="00C31899" w:rsidRDefault="00E65A70" w:rsidP="00E65A70">
      <w:pPr>
        <w:jc w:val="both"/>
      </w:pPr>
      <w:r>
        <w:t>E</w:t>
      </w:r>
      <w:r w:rsidRPr="00C31899">
        <w:t xml:space="preserve">l Banco </w:t>
      </w:r>
      <w:r w:rsidR="002D091E">
        <w:t>de Guatemala</w:t>
      </w:r>
      <w:r w:rsidRPr="00C31899">
        <w:t xml:space="preserve"> continuó participando en el mercado cambiario con el objetivo de reducir la volatilidad del tipo de cambio nominal, sin alterar su tendencia, realizando mediante la regla de participación ventas de divisas.</w:t>
      </w:r>
      <w:r>
        <w:t xml:space="preserve"> </w:t>
      </w:r>
      <w:r>
        <w:rPr>
          <w:lang w:val="es-GT"/>
        </w:rPr>
        <w:t>A</w:t>
      </w:r>
      <w:r w:rsidRPr="00A61D1F">
        <w:rPr>
          <w:lang w:val="es-GT"/>
        </w:rPr>
        <w:t xml:space="preserve">l 31 de marzo de 2023, el Banco de Guatemala por activación de la regla cambiaria </w:t>
      </w:r>
      <w:r>
        <w:rPr>
          <w:lang w:val="es-GT"/>
        </w:rPr>
        <w:t xml:space="preserve">había </w:t>
      </w:r>
      <w:r w:rsidRPr="00A61D1F">
        <w:rPr>
          <w:lang w:val="es-GT"/>
        </w:rPr>
        <w:t>compr</w:t>
      </w:r>
      <w:r>
        <w:rPr>
          <w:lang w:val="es-GT"/>
        </w:rPr>
        <w:t>ado ya</w:t>
      </w:r>
      <w:r w:rsidRPr="00A61D1F">
        <w:rPr>
          <w:lang w:val="es-GT"/>
        </w:rPr>
        <w:t xml:space="preserve"> US$50.0 millones y efectu</w:t>
      </w:r>
      <w:r>
        <w:rPr>
          <w:lang w:val="es-GT"/>
        </w:rPr>
        <w:t>ado</w:t>
      </w:r>
      <w:r w:rsidRPr="00A61D1F">
        <w:rPr>
          <w:lang w:val="es-GT"/>
        </w:rPr>
        <w:t xml:space="preserve"> ventas por US$123.8 millones. En ese sentido, las ventas netas del Banco de Guatemala en el </w:t>
      </w:r>
      <w:r w:rsidR="002D091E">
        <w:rPr>
          <w:lang w:val="es-GT"/>
        </w:rPr>
        <w:t>mercado internacional de divisas</w:t>
      </w:r>
      <w:r w:rsidRPr="00A61D1F">
        <w:rPr>
          <w:lang w:val="es-GT"/>
        </w:rPr>
        <w:t xml:space="preserve"> a la referida fecha, se situaron en US$73.8 millones, equivalente</w:t>
      </w:r>
      <w:r w:rsidR="002D091E">
        <w:rPr>
          <w:lang w:val="es-GT"/>
        </w:rPr>
        <w:t>s</w:t>
      </w:r>
      <w:r w:rsidRPr="00A61D1F">
        <w:rPr>
          <w:lang w:val="es-GT"/>
        </w:rPr>
        <w:t xml:space="preserve"> a 0.4% del total negociado. Cabe indicar que en 2022 se efectuaron compras netas por US$539.3 millones, equivalente</w:t>
      </w:r>
      <w:r w:rsidR="002D091E">
        <w:rPr>
          <w:lang w:val="es-GT"/>
        </w:rPr>
        <w:t>s</w:t>
      </w:r>
      <w:r w:rsidRPr="00A61D1F">
        <w:rPr>
          <w:lang w:val="es-GT"/>
        </w:rPr>
        <w:t xml:space="preserve"> a 0.73% del total negociado.</w:t>
      </w:r>
    </w:p>
    <w:p w14:paraId="6D6B7781" w14:textId="77777777" w:rsidR="00E65A70" w:rsidRPr="00C31899" w:rsidRDefault="00E65A70" w:rsidP="00E65A70">
      <w:pPr>
        <w:rPr>
          <w:b/>
        </w:rPr>
      </w:pPr>
    </w:p>
    <w:p w14:paraId="4ED47FE1" w14:textId="29E1655D" w:rsidR="00E65A70" w:rsidRDefault="00E65A70" w:rsidP="00E65A70">
      <w:pPr>
        <w:rPr>
          <w:b/>
        </w:rPr>
      </w:pPr>
    </w:p>
    <w:p w14:paraId="46FA72FB" w14:textId="1119EAFE" w:rsidR="002D091E" w:rsidRDefault="002D091E" w:rsidP="00E65A70">
      <w:pPr>
        <w:rPr>
          <w:b/>
        </w:rPr>
      </w:pPr>
    </w:p>
    <w:p w14:paraId="2A58C3A7" w14:textId="2A56AC0B" w:rsidR="002D091E" w:rsidRDefault="002D091E" w:rsidP="00E65A70">
      <w:pPr>
        <w:rPr>
          <w:b/>
        </w:rPr>
      </w:pPr>
    </w:p>
    <w:p w14:paraId="5A12FBAF" w14:textId="254E52AD" w:rsidR="002D091E" w:rsidRDefault="002D091E" w:rsidP="00E65A70">
      <w:pPr>
        <w:rPr>
          <w:b/>
        </w:rPr>
      </w:pPr>
    </w:p>
    <w:p w14:paraId="48C6721E" w14:textId="0014B661" w:rsidR="002D091E" w:rsidRDefault="002D091E" w:rsidP="00E65A70">
      <w:pPr>
        <w:rPr>
          <w:b/>
        </w:rPr>
      </w:pPr>
    </w:p>
    <w:p w14:paraId="493AC9DB" w14:textId="77777777" w:rsidR="00E65A70" w:rsidRPr="00124AD6" w:rsidRDefault="00E65A70" w:rsidP="00E65A70">
      <w:pPr>
        <w:jc w:val="center"/>
        <w:rPr>
          <w:b/>
          <w:lang w:val="es-MX"/>
        </w:rPr>
      </w:pPr>
      <w:r w:rsidRPr="00124AD6">
        <w:rPr>
          <w:b/>
          <w:lang w:val="es-MX"/>
        </w:rPr>
        <w:t xml:space="preserve">Gráfica </w:t>
      </w:r>
      <w:r>
        <w:rPr>
          <w:b/>
          <w:lang w:val="es-MX"/>
        </w:rPr>
        <w:t>7</w:t>
      </w:r>
    </w:p>
    <w:p w14:paraId="6F5EBEB5" w14:textId="77777777" w:rsidR="00E65A70" w:rsidRPr="00124AD6" w:rsidRDefault="00E65A70" w:rsidP="00E65A70">
      <w:pPr>
        <w:jc w:val="center"/>
        <w:rPr>
          <w:b/>
          <w:lang w:val="es-MX"/>
        </w:rPr>
      </w:pPr>
      <w:r w:rsidRPr="00124AD6">
        <w:rPr>
          <w:b/>
          <w:lang w:val="es-MX"/>
        </w:rPr>
        <w:t>Tipo de Cambio</w:t>
      </w:r>
    </w:p>
    <w:p w14:paraId="20C71207" w14:textId="77777777" w:rsidR="00E65A70" w:rsidRDefault="00E65A70" w:rsidP="00E65A70">
      <w:pPr>
        <w:jc w:val="center"/>
        <w:rPr>
          <w:b/>
          <w:lang w:val="es-MX"/>
        </w:rPr>
      </w:pPr>
      <w:r w:rsidRPr="00124AD6">
        <w:rPr>
          <w:b/>
          <w:lang w:val="es-MX"/>
        </w:rPr>
        <w:t>(Quetzales por US</w:t>
      </w:r>
      <w:r>
        <w:rPr>
          <w:b/>
          <w:lang w:val="es-MX"/>
        </w:rPr>
        <w:t>$1.00</w:t>
      </w:r>
      <w:r w:rsidRPr="00124AD6">
        <w:rPr>
          <w:b/>
          <w:lang w:val="es-MX"/>
        </w:rPr>
        <w:t>)</w:t>
      </w:r>
    </w:p>
    <w:p w14:paraId="100B5C28" w14:textId="77777777" w:rsidR="00E65A70" w:rsidRDefault="00E65A70" w:rsidP="00E65A70">
      <w:pPr>
        <w:jc w:val="center"/>
        <w:rPr>
          <w:noProof/>
          <w:lang w:val="es-GT" w:eastAsia="es-GT"/>
        </w:rPr>
      </w:pPr>
      <w:r>
        <w:rPr>
          <w:noProof/>
        </w:rPr>
        <w:drawing>
          <wp:inline distT="0" distB="0" distL="0" distR="0" wp14:anchorId="058CBF75" wp14:editId="12127695">
            <wp:extent cx="5875020" cy="2949934"/>
            <wp:effectExtent l="0" t="0" r="11430" b="3175"/>
            <wp:docPr id="26" name="Gráfico 26">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5A27557" w14:textId="044FBE20" w:rsidR="00E65A70" w:rsidRDefault="00E65A70" w:rsidP="00E65A70">
      <w:pPr>
        <w:rPr>
          <w:sz w:val="16"/>
          <w:lang w:val="es-MX"/>
        </w:rPr>
      </w:pPr>
      <w:r w:rsidRPr="00565001">
        <w:rPr>
          <w:sz w:val="18"/>
          <w:lang w:val="es-MX"/>
        </w:rPr>
        <w:t>Fuente: Banco de Guatemala</w:t>
      </w:r>
      <w:r>
        <w:rPr>
          <w:sz w:val="16"/>
          <w:lang w:val="es-MX"/>
        </w:rPr>
        <w:t>.</w:t>
      </w:r>
    </w:p>
    <w:p w14:paraId="547C66C4" w14:textId="37361FE5" w:rsidR="00E65A70" w:rsidRPr="00A969C7" w:rsidRDefault="00E65A70" w:rsidP="00E65A70">
      <w:pPr>
        <w:rPr>
          <w:lang w:val="es-MX"/>
        </w:rPr>
      </w:pPr>
    </w:p>
    <w:p w14:paraId="437F5714" w14:textId="50D5C839" w:rsidR="00E65A70" w:rsidRPr="00A61D1F" w:rsidRDefault="00E65A70" w:rsidP="00E65A70">
      <w:pPr>
        <w:jc w:val="both"/>
      </w:pPr>
      <w:r>
        <w:t xml:space="preserve">En lo relativo a la Calificación de Riesgo País, </w:t>
      </w:r>
      <w:r w:rsidR="00A969C7">
        <w:t xml:space="preserve">la agencia calificadora </w:t>
      </w:r>
      <w:r w:rsidRPr="00A61D1F">
        <w:t>Fitch Ratings, en su informe publicado el 16 de febrero de 2023, mejoró la calificación crediticia de Guatemala</w:t>
      </w:r>
      <w:r w:rsidR="00A969C7">
        <w:t>, pasando</w:t>
      </w:r>
      <w:r w:rsidRPr="00A61D1F">
        <w:t xml:space="preserve"> de “BB-” (con perspectiva positiva) a “BB” (con perspectiva estable). La agencia calificadora de riesgo </w:t>
      </w:r>
      <w:r w:rsidR="001F0BCF">
        <w:t>S</w:t>
      </w:r>
      <w:r w:rsidR="00A969C7">
        <w:t>t</w:t>
      </w:r>
      <w:r w:rsidR="001F0BCF">
        <w:t>a</w:t>
      </w:r>
      <w:r w:rsidR="00A969C7">
        <w:t>ndar</w:t>
      </w:r>
      <w:r w:rsidR="001F0BCF">
        <w:t>d</w:t>
      </w:r>
      <w:r w:rsidR="00A969C7">
        <w:t xml:space="preserve"> </w:t>
      </w:r>
      <w:r w:rsidRPr="00A61D1F">
        <w:t>&amp;</w:t>
      </w:r>
      <w:r w:rsidR="00A969C7">
        <w:t xml:space="preserve"> </w:t>
      </w:r>
      <w:r w:rsidRPr="00A61D1F">
        <w:t>P</w:t>
      </w:r>
      <w:r w:rsidR="00A969C7">
        <w:t>oor</w:t>
      </w:r>
      <w:r w:rsidR="001F0BCF">
        <w:t>’</w:t>
      </w:r>
      <w:r w:rsidR="00A969C7">
        <w:t>s</w:t>
      </w:r>
      <w:r w:rsidRPr="00A61D1F">
        <w:t xml:space="preserve"> Global Ratings en su informe publicado el 11 de abril de 2023, elevó la calificación crediticia de Guatemala de “BB-” (con perspectiva positiva) a “BB” (con perspectiva estable)</w:t>
      </w:r>
      <w:r w:rsidR="001F0BCF">
        <w:t>,</w:t>
      </w:r>
      <w:r w:rsidRPr="00A61D1F">
        <w:t xml:space="preserve"> y en junio de 202</w:t>
      </w:r>
      <w:r>
        <w:t>3</w:t>
      </w:r>
      <w:r w:rsidRPr="00A61D1F">
        <w:t>, la empresa calificadora de riesgo Moody´s Investors Service</w:t>
      </w:r>
      <w:r>
        <w:t>,</w:t>
      </w:r>
      <w:r w:rsidRPr="00A61D1F">
        <w:t xml:space="preserve"> mantuvo la calificación crediticia de Guatemala de Ba1 (perspectiva estable).</w:t>
      </w:r>
    </w:p>
    <w:p w14:paraId="073C66FF" w14:textId="77777777" w:rsidR="00E65A70" w:rsidRPr="00A61D1F" w:rsidRDefault="00E65A70" w:rsidP="00E65A70">
      <w:pPr>
        <w:autoSpaceDE w:val="0"/>
        <w:autoSpaceDN w:val="0"/>
        <w:adjustRightInd w:val="0"/>
        <w:jc w:val="both"/>
        <w:rPr>
          <w:rFonts w:ascii="Arial" w:eastAsia="Calibri" w:hAnsi="Arial" w:cs="Arial"/>
          <w:color w:val="000000"/>
          <w:sz w:val="22"/>
          <w:szCs w:val="22"/>
          <w:lang w:val="es-ES_tradnl" w:eastAsia="en-US"/>
        </w:rPr>
      </w:pPr>
    </w:p>
    <w:p w14:paraId="3347F81D" w14:textId="105B80A9" w:rsidR="00E65A70" w:rsidRPr="00A61D1F" w:rsidRDefault="00E65A70" w:rsidP="00E65A70">
      <w:pPr>
        <w:autoSpaceDE w:val="0"/>
        <w:autoSpaceDN w:val="0"/>
        <w:adjustRightInd w:val="0"/>
        <w:jc w:val="both"/>
      </w:pPr>
      <w:r w:rsidRPr="00A61D1F">
        <w:t>De acuerdo con los informes de las calificadoras</w:t>
      </w:r>
      <w:r w:rsidR="001F0BCF">
        <w:t xml:space="preserve"> de riesgo</w:t>
      </w:r>
      <w:r w:rsidRPr="00A61D1F">
        <w:t xml:space="preserve">, las mejoras observadas son producto de la resiliencia mostrada </w:t>
      </w:r>
      <w:r w:rsidR="001F0BCF">
        <w:t>en</w:t>
      </w:r>
      <w:r w:rsidRPr="00A61D1F">
        <w:t xml:space="preserve"> la economía; la estabilidad macroeconómica de larga data y una política económica prudente apoyada en diversos factores, entre los que se destacan:</w:t>
      </w:r>
    </w:p>
    <w:p w14:paraId="6B064234" w14:textId="77777777" w:rsidR="00E65A70" w:rsidRPr="00A61D1F" w:rsidRDefault="00E65A70" w:rsidP="00E65A70">
      <w:pPr>
        <w:autoSpaceDE w:val="0"/>
        <w:autoSpaceDN w:val="0"/>
        <w:adjustRightInd w:val="0"/>
        <w:jc w:val="both"/>
      </w:pPr>
    </w:p>
    <w:p w14:paraId="6A26C4A4" w14:textId="7F7C2C43" w:rsidR="00E65A70" w:rsidRPr="00A61D1F" w:rsidRDefault="00E65A70" w:rsidP="008B27EA">
      <w:pPr>
        <w:numPr>
          <w:ilvl w:val="0"/>
          <w:numId w:val="11"/>
        </w:numPr>
        <w:autoSpaceDE w:val="0"/>
        <w:autoSpaceDN w:val="0"/>
        <w:adjustRightInd w:val="0"/>
        <w:jc w:val="both"/>
      </w:pPr>
      <w:r w:rsidRPr="00A61D1F">
        <w:t>El buen desempeño fiscal y económico; mejora en las métricas externas, luego de la pandemia</w:t>
      </w:r>
      <w:r w:rsidR="001F0BCF">
        <w:t xml:space="preserve"> del Covid-19</w:t>
      </w:r>
      <w:r w:rsidRPr="00A61D1F">
        <w:t xml:space="preserve"> y los choques de precios globales.</w:t>
      </w:r>
    </w:p>
    <w:p w14:paraId="6C52BC3D" w14:textId="77777777" w:rsidR="00E65A70" w:rsidRPr="00A61D1F" w:rsidRDefault="00E65A70" w:rsidP="00E65A70">
      <w:pPr>
        <w:autoSpaceDE w:val="0"/>
        <w:autoSpaceDN w:val="0"/>
        <w:adjustRightInd w:val="0"/>
        <w:jc w:val="both"/>
      </w:pPr>
    </w:p>
    <w:p w14:paraId="3D0C693F" w14:textId="1093E886" w:rsidR="00E65A70" w:rsidRPr="00A61D1F" w:rsidRDefault="00E65A70" w:rsidP="008B27EA">
      <w:pPr>
        <w:numPr>
          <w:ilvl w:val="0"/>
          <w:numId w:val="11"/>
        </w:numPr>
        <w:autoSpaceDE w:val="0"/>
        <w:autoSpaceDN w:val="0"/>
        <w:adjustRightInd w:val="0"/>
        <w:jc w:val="both"/>
      </w:pPr>
      <w:r w:rsidRPr="00A61D1F">
        <w:t>La recuperación del P</w:t>
      </w:r>
      <w:r w:rsidR="001F0BCF">
        <w:t>roducto Interno Bruto (P</w:t>
      </w:r>
      <w:r w:rsidRPr="00A61D1F">
        <w:t>IB</w:t>
      </w:r>
      <w:r w:rsidR="001F0BCF">
        <w:t>)</w:t>
      </w:r>
      <w:r w:rsidRPr="00A61D1F">
        <w:t xml:space="preserve"> real</w:t>
      </w:r>
      <w:r w:rsidR="001F0BCF">
        <w:t>,</w:t>
      </w:r>
      <w:r w:rsidRPr="00A61D1F">
        <w:t xml:space="preserve"> post pandemia</w:t>
      </w:r>
      <w:r w:rsidR="001F0BCF">
        <w:t>,</w:t>
      </w:r>
      <w:r w:rsidRPr="00A61D1F">
        <w:t xml:space="preserve"> es una de las más rápidas de América Latina.</w:t>
      </w:r>
    </w:p>
    <w:p w14:paraId="202E5DBF" w14:textId="77777777" w:rsidR="00E65A70" w:rsidRPr="00A61D1F" w:rsidRDefault="00E65A70" w:rsidP="00E65A70">
      <w:pPr>
        <w:autoSpaceDE w:val="0"/>
        <w:autoSpaceDN w:val="0"/>
        <w:adjustRightInd w:val="0"/>
        <w:jc w:val="both"/>
      </w:pPr>
    </w:p>
    <w:p w14:paraId="2DCF2348" w14:textId="695BFC75" w:rsidR="00E65A70" w:rsidRPr="00A61D1F" w:rsidRDefault="00E65A70" w:rsidP="008B27EA">
      <w:pPr>
        <w:numPr>
          <w:ilvl w:val="0"/>
          <w:numId w:val="11"/>
        </w:numPr>
        <w:autoSpaceDE w:val="0"/>
        <w:autoSpaceDN w:val="0"/>
        <w:adjustRightInd w:val="0"/>
        <w:jc w:val="both"/>
      </w:pPr>
      <w:r w:rsidRPr="00A61D1F">
        <w:t xml:space="preserve">Los déficits fiscales y la deuda </w:t>
      </w:r>
      <w:r w:rsidR="001F0BCF">
        <w:t xml:space="preserve">pública </w:t>
      </w:r>
      <w:r w:rsidRPr="00A61D1F">
        <w:t xml:space="preserve">siguen siendo </w:t>
      </w:r>
      <w:r w:rsidR="001F0BCF">
        <w:t xml:space="preserve">de </w:t>
      </w:r>
      <w:r w:rsidRPr="00A61D1F">
        <w:t>los más bajos entre sus pares en la categoría 'BB' y se han beneficiado de una mejor recaudación de impuestos.</w:t>
      </w:r>
    </w:p>
    <w:p w14:paraId="7E895226" w14:textId="77777777" w:rsidR="00E65A70" w:rsidRPr="00A61D1F" w:rsidRDefault="00E65A70" w:rsidP="00E65A70">
      <w:pPr>
        <w:autoSpaceDE w:val="0"/>
        <w:autoSpaceDN w:val="0"/>
        <w:adjustRightInd w:val="0"/>
        <w:jc w:val="both"/>
      </w:pPr>
    </w:p>
    <w:p w14:paraId="75218991" w14:textId="77777777" w:rsidR="00E65A70" w:rsidRPr="00A61D1F" w:rsidRDefault="00E65A70" w:rsidP="008B27EA">
      <w:pPr>
        <w:numPr>
          <w:ilvl w:val="0"/>
          <w:numId w:val="11"/>
        </w:numPr>
        <w:autoSpaceDE w:val="0"/>
        <w:autoSpaceDN w:val="0"/>
        <w:adjustRightInd w:val="0"/>
        <w:jc w:val="both"/>
      </w:pPr>
      <w:r w:rsidRPr="00A61D1F">
        <w:t>Los superávits en cuenta corriente han mejorado las ya sólidas posiciones de solvencia y liquidez externa, a pesar de un shock adverso de los términos de intercambio en los últimos años.</w:t>
      </w:r>
    </w:p>
    <w:p w14:paraId="22A772FE" w14:textId="0896FB2E" w:rsidR="00E65A70" w:rsidRDefault="00E65A70" w:rsidP="00E65A70">
      <w:pPr>
        <w:autoSpaceDE w:val="0"/>
        <w:autoSpaceDN w:val="0"/>
        <w:adjustRightInd w:val="0"/>
        <w:jc w:val="both"/>
      </w:pPr>
    </w:p>
    <w:p w14:paraId="232EB91A" w14:textId="77777777" w:rsidR="007D20DD" w:rsidRPr="00A61D1F" w:rsidRDefault="007D20DD" w:rsidP="00E65A70">
      <w:pPr>
        <w:autoSpaceDE w:val="0"/>
        <w:autoSpaceDN w:val="0"/>
        <w:adjustRightInd w:val="0"/>
        <w:jc w:val="both"/>
      </w:pPr>
    </w:p>
    <w:p w14:paraId="0CF342BC" w14:textId="77777777" w:rsidR="00E65A70" w:rsidRPr="00A61D1F" w:rsidRDefault="00E65A70" w:rsidP="00E65A70">
      <w:pPr>
        <w:autoSpaceDE w:val="0"/>
        <w:autoSpaceDN w:val="0"/>
        <w:adjustRightInd w:val="0"/>
        <w:jc w:val="both"/>
      </w:pPr>
      <w:r w:rsidRPr="00A61D1F">
        <w:t>Adicionalmente, se han alcanzado avances importantes en el fortalecimiento institucional, la gobernabilidad y la transparencia fiscal.</w:t>
      </w:r>
    </w:p>
    <w:p w14:paraId="6B53CC35" w14:textId="77777777" w:rsidR="00E65A70" w:rsidRDefault="00E65A70" w:rsidP="00E65A70">
      <w:pPr>
        <w:jc w:val="both"/>
        <w:rPr>
          <w:lang w:val="es-GT"/>
        </w:rPr>
      </w:pPr>
    </w:p>
    <w:p w14:paraId="08CE0A03" w14:textId="77777777" w:rsidR="00E65A70" w:rsidRDefault="00E65A70" w:rsidP="00E65A70">
      <w:pPr>
        <w:jc w:val="both"/>
        <w:rPr>
          <w:lang w:val="es-GT"/>
        </w:rPr>
      </w:pPr>
    </w:p>
    <w:p w14:paraId="6362D933" w14:textId="77777777" w:rsidR="00E65A70" w:rsidRPr="00124AD6" w:rsidRDefault="00E65A70" w:rsidP="00E65A70">
      <w:pPr>
        <w:jc w:val="center"/>
        <w:rPr>
          <w:b/>
          <w:lang w:val="es-MX"/>
        </w:rPr>
      </w:pPr>
      <w:r w:rsidRPr="00124AD6">
        <w:rPr>
          <w:b/>
          <w:lang w:val="es-MX"/>
        </w:rPr>
        <w:t xml:space="preserve">Gráfica </w:t>
      </w:r>
      <w:r>
        <w:rPr>
          <w:b/>
          <w:lang w:val="es-MX"/>
        </w:rPr>
        <w:t>8</w:t>
      </w:r>
    </w:p>
    <w:p w14:paraId="623357A3" w14:textId="3410097F" w:rsidR="00E65A70" w:rsidRDefault="00E65A70" w:rsidP="00E65A70">
      <w:pPr>
        <w:jc w:val="center"/>
        <w:rPr>
          <w:b/>
          <w:lang w:val="es-MX"/>
        </w:rPr>
      </w:pPr>
      <w:r w:rsidRPr="00F755D6">
        <w:rPr>
          <w:b/>
          <w:lang w:val="es-MX"/>
        </w:rPr>
        <w:t xml:space="preserve">Historial de </w:t>
      </w:r>
      <w:r w:rsidR="004337AB">
        <w:rPr>
          <w:b/>
          <w:lang w:val="es-MX"/>
        </w:rPr>
        <w:t>C</w:t>
      </w:r>
      <w:r w:rsidRPr="00F755D6">
        <w:rPr>
          <w:b/>
          <w:lang w:val="es-MX"/>
        </w:rPr>
        <w:t xml:space="preserve">alificaciones de Guatemala Período </w:t>
      </w:r>
      <w:r>
        <w:rPr>
          <w:b/>
          <w:lang w:val="es-MX"/>
        </w:rPr>
        <w:t>2020</w:t>
      </w:r>
      <w:r w:rsidR="004337AB">
        <w:rPr>
          <w:b/>
          <w:lang w:val="es-MX"/>
        </w:rPr>
        <w:t xml:space="preserve"> </w:t>
      </w:r>
      <w:r>
        <w:rPr>
          <w:b/>
          <w:lang w:val="es-MX"/>
        </w:rPr>
        <w:t>-</w:t>
      </w:r>
      <w:r w:rsidR="004337AB">
        <w:rPr>
          <w:b/>
          <w:lang w:val="es-MX"/>
        </w:rPr>
        <w:t xml:space="preserve"> </w:t>
      </w:r>
      <w:r>
        <w:rPr>
          <w:b/>
          <w:lang w:val="es-MX"/>
        </w:rPr>
        <w:t>2023</w:t>
      </w:r>
    </w:p>
    <w:p w14:paraId="66B5E772" w14:textId="7F42B127" w:rsidR="00E65A70" w:rsidRDefault="00E65A70" w:rsidP="00E65A70">
      <w:pPr>
        <w:jc w:val="center"/>
        <w:rPr>
          <w:b/>
          <w:lang w:val="es-MX"/>
        </w:rPr>
      </w:pPr>
      <w:r w:rsidRPr="00124AD6">
        <w:rPr>
          <w:b/>
          <w:lang w:val="es-MX"/>
        </w:rPr>
        <w:t>(</w:t>
      </w:r>
      <w:r w:rsidR="004337AB">
        <w:rPr>
          <w:b/>
          <w:lang w:val="es-MX"/>
        </w:rPr>
        <w:t>C</w:t>
      </w:r>
      <w:r>
        <w:rPr>
          <w:b/>
          <w:lang w:val="es-MX"/>
        </w:rPr>
        <w:t xml:space="preserve">alificación y </w:t>
      </w:r>
      <w:r w:rsidR="004337AB">
        <w:rPr>
          <w:b/>
          <w:lang w:val="es-MX"/>
        </w:rPr>
        <w:t>Pe</w:t>
      </w:r>
      <w:r>
        <w:rPr>
          <w:b/>
          <w:lang w:val="es-MX"/>
        </w:rPr>
        <w:t>rspectiva</w:t>
      </w:r>
      <w:r w:rsidRPr="00124AD6">
        <w:rPr>
          <w:b/>
          <w:lang w:val="es-MX"/>
        </w:rPr>
        <w:t>)</w:t>
      </w:r>
    </w:p>
    <w:p w14:paraId="34C727FF" w14:textId="77777777" w:rsidR="00E65A70" w:rsidRDefault="00E65A70" w:rsidP="00E65A70">
      <w:pPr>
        <w:spacing w:after="160" w:line="259" w:lineRule="auto"/>
        <w:jc w:val="center"/>
        <w:rPr>
          <w:b/>
          <w:bCs/>
        </w:rPr>
      </w:pPr>
      <w:r>
        <w:rPr>
          <w:noProof/>
        </w:rPr>
        <w:drawing>
          <wp:inline distT="0" distB="0" distL="0" distR="0" wp14:anchorId="35A049F0" wp14:editId="3479739A">
            <wp:extent cx="5859780" cy="2623930"/>
            <wp:effectExtent l="0" t="0" r="7620" b="5080"/>
            <wp:docPr id="28" name="Imagen 2">
              <a:extLst xmlns:a="http://schemas.openxmlformats.org/drawingml/2006/main">
                <a:ext uri="{FF2B5EF4-FFF2-40B4-BE49-F238E27FC236}">
                  <a16:creationId xmlns:a16="http://schemas.microsoft.com/office/drawing/2014/main" id="{85A74BAB-4E59-42D4-8120-630CBD151E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5A74BAB-4E59-42D4-8120-630CBD151EEB}"/>
                        </a:ext>
                      </a:extLst>
                    </pic:cNvPr>
                    <pic:cNvPicPr>
                      <a:picLocks noChangeAspect="1"/>
                    </pic:cNvPicPr>
                  </pic:nvPicPr>
                  <pic:blipFill>
                    <a:blip r:embed="rId17"/>
                    <a:stretch>
                      <a:fillRect/>
                    </a:stretch>
                  </pic:blipFill>
                  <pic:spPr>
                    <a:xfrm>
                      <a:off x="0" y="0"/>
                      <a:ext cx="5896904" cy="2640554"/>
                    </a:xfrm>
                    <a:prstGeom prst="rect">
                      <a:avLst/>
                    </a:prstGeom>
                  </pic:spPr>
                </pic:pic>
              </a:graphicData>
            </a:graphic>
          </wp:inline>
        </w:drawing>
      </w:r>
    </w:p>
    <w:p w14:paraId="5756248C" w14:textId="69EB8990" w:rsidR="00E65A70" w:rsidRPr="008C1FDD" w:rsidRDefault="00E65A70" w:rsidP="00E65A70">
      <w:pPr>
        <w:rPr>
          <w:sz w:val="18"/>
          <w:lang w:val="es-MX"/>
        </w:rPr>
      </w:pPr>
      <w:r>
        <w:rPr>
          <w:sz w:val="18"/>
          <w:lang w:val="es-MX"/>
        </w:rPr>
        <w:t xml:space="preserve">  </w:t>
      </w:r>
      <w:r w:rsidRPr="00565001">
        <w:rPr>
          <w:sz w:val="18"/>
          <w:lang w:val="es-MX"/>
        </w:rPr>
        <w:t xml:space="preserve">Fuente: </w:t>
      </w:r>
      <w:r>
        <w:rPr>
          <w:sz w:val="18"/>
          <w:lang w:val="es-MX"/>
        </w:rPr>
        <w:t>M</w:t>
      </w:r>
      <w:r w:rsidR="004005B5">
        <w:rPr>
          <w:sz w:val="18"/>
          <w:lang w:val="es-MX"/>
        </w:rPr>
        <w:t>inisterio de Finanzas Públicas.</w:t>
      </w:r>
    </w:p>
    <w:p w14:paraId="1EC4F091" w14:textId="77777777" w:rsidR="00E65A70" w:rsidRDefault="00E65A70" w:rsidP="00E65A70">
      <w:pPr>
        <w:jc w:val="both"/>
      </w:pPr>
    </w:p>
    <w:p w14:paraId="044DBF20" w14:textId="1B8A006F" w:rsidR="00E65A70" w:rsidRPr="00522BC2" w:rsidRDefault="00E65A70" w:rsidP="00E65A70">
      <w:pPr>
        <w:jc w:val="both"/>
      </w:pPr>
      <w:r w:rsidRPr="00522BC2">
        <w:t>Sin embargo, para mejorar las calificaciones</w:t>
      </w:r>
      <w:r>
        <w:t xml:space="preserve"> y alcanzar el grado de inversión</w:t>
      </w:r>
      <w:r w:rsidRPr="00522BC2">
        <w:t xml:space="preserve">, el país tiene que enfrentar decididamente </w:t>
      </w:r>
      <w:r>
        <w:t xml:space="preserve">sus </w:t>
      </w:r>
      <w:r w:rsidRPr="00522BC2">
        <w:t>problemas estructurales, en especial los altos niveles de pobreza, la desigualdad social, mejorar diversos aspectos institucionales, insuficiente certeza jurídica y debilidades en torno a la infraestructura física y el capital humano. A esto se le suman algunos elementos, como el tamaño de la economía informal</w:t>
      </w:r>
      <w:r w:rsidR="00924ED6">
        <w:t>;</w:t>
      </w:r>
      <w:r w:rsidRPr="00522BC2">
        <w:t xml:space="preserve"> insuficientes flujos de inversión extranjera directa</w:t>
      </w:r>
      <w:r w:rsidR="00924ED6">
        <w:t>;</w:t>
      </w:r>
      <w:r w:rsidRPr="00522BC2">
        <w:t xml:space="preserve"> baja formación de capital fijo</w:t>
      </w:r>
      <w:r w:rsidR="00924ED6">
        <w:t>,</w:t>
      </w:r>
      <w:r w:rsidRPr="00522BC2">
        <w:t xml:space="preserve"> especialmente público; una baja carga tributaria</w:t>
      </w:r>
      <w:r w:rsidR="00924ED6">
        <w:t>;</w:t>
      </w:r>
      <w:r w:rsidRPr="00522BC2">
        <w:t xml:space="preserve"> elevados niveles de incumplimiento tributario</w:t>
      </w:r>
      <w:r w:rsidR="00924ED6">
        <w:t>;</w:t>
      </w:r>
      <w:r w:rsidRPr="00522BC2">
        <w:t xml:space="preserve"> rigideces presupuestarias y bajas tasas de ahorro</w:t>
      </w:r>
      <w:r w:rsidR="00924ED6">
        <w:t>;</w:t>
      </w:r>
      <w:r w:rsidRPr="00522BC2">
        <w:t xml:space="preserve"> inversión y crédito bancario al sector privado</w:t>
      </w:r>
      <w:r w:rsidR="00924ED6">
        <w:t>, entre otros,</w:t>
      </w:r>
      <w:r w:rsidRPr="00522BC2">
        <w:t xml:space="preserve"> aspectos todos que limitan la competitividad, el crecimiento económico y condicionan el desarrollo del país e impiden un buen desempeño en sus indicadores de bienestar.</w:t>
      </w:r>
    </w:p>
    <w:p w14:paraId="35A9D6F0" w14:textId="77777777" w:rsidR="00E65A70" w:rsidRDefault="00E65A70" w:rsidP="00E65A70">
      <w:pPr>
        <w:pStyle w:val="Default"/>
        <w:spacing w:line="276" w:lineRule="auto"/>
        <w:jc w:val="both"/>
        <w:rPr>
          <w:rFonts w:ascii="Times New Roman" w:hAnsi="Times New Roman" w:cs="Times New Roman"/>
          <w:color w:val="auto"/>
        </w:rPr>
      </w:pPr>
    </w:p>
    <w:p w14:paraId="4FA78463" w14:textId="0EF35CF7" w:rsidR="00E65A70" w:rsidRDefault="00E65A70" w:rsidP="00E65A70">
      <w:pPr>
        <w:pStyle w:val="Default"/>
        <w:spacing w:line="276" w:lineRule="auto"/>
        <w:jc w:val="both"/>
        <w:rPr>
          <w:rFonts w:ascii="Times New Roman" w:hAnsi="Times New Roman" w:cs="Times New Roman"/>
          <w:color w:val="auto"/>
        </w:rPr>
      </w:pPr>
      <w:r w:rsidRPr="00522BC2">
        <w:rPr>
          <w:rFonts w:ascii="Times New Roman" w:hAnsi="Times New Roman" w:cs="Times New Roman"/>
          <w:color w:val="auto"/>
        </w:rPr>
        <w:t xml:space="preserve">Alcanzar el </w:t>
      </w:r>
      <w:r w:rsidR="00924ED6">
        <w:rPr>
          <w:rFonts w:ascii="Times New Roman" w:hAnsi="Times New Roman" w:cs="Times New Roman"/>
          <w:color w:val="auto"/>
        </w:rPr>
        <w:t>g</w:t>
      </w:r>
      <w:r w:rsidRPr="00522BC2">
        <w:rPr>
          <w:rFonts w:ascii="Times New Roman" w:hAnsi="Times New Roman" w:cs="Times New Roman"/>
          <w:color w:val="auto"/>
        </w:rPr>
        <w:t xml:space="preserve">rado de </w:t>
      </w:r>
      <w:r w:rsidR="00924ED6">
        <w:rPr>
          <w:rFonts w:ascii="Times New Roman" w:hAnsi="Times New Roman" w:cs="Times New Roman"/>
          <w:color w:val="auto"/>
        </w:rPr>
        <w:t>i</w:t>
      </w:r>
      <w:r w:rsidRPr="00522BC2">
        <w:rPr>
          <w:rFonts w:ascii="Times New Roman" w:hAnsi="Times New Roman" w:cs="Times New Roman"/>
          <w:color w:val="auto"/>
        </w:rPr>
        <w:t xml:space="preserve">nversión es importante y beneficioso para </w:t>
      </w:r>
      <w:r>
        <w:rPr>
          <w:rFonts w:ascii="Times New Roman" w:hAnsi="Times New Roman" w:cs="Times New Roman"/>
          <w:color w:val="auto"/>
        </w:rPr>
        <w:t xml:space="preserve">el </w:t>
      </w:r>
      <w:r w:rsidRPr="00522BC2">
        <w:rPr>
          <w:rFonts w:ascii="Times New Roman" w:hAnsi="Times New Roman" w:cs="Times New Roman"/>
          <w:color w:val="auto"/>
        </w:rPr>
        <w:t>país por varias razones</w:t>
      </w:r>
      <w:r>
        <w:rPr>
          <w:rFonts w:ascii="Times New Roman" w:hAnsi="Times New Roman" w:cs="Times New Roman"/>
          <w:color w:val="auto"/>
        </w:rPr>
        <w:t>, entre</w:t>
      </w:r>
      <w:r w:rsidR="00924ED6">
        <w:rPr>
          <w:rFonts w:ascii="Times New Roman" w:hAnsi="Times New Roman" w:cs="Times New Roman"/>
          <w:color w:val="auto"/>
        </w:rPr>
        <w:t xml:space="preserve"> las que se pueden mencionar</w:t>
      </w:r>
      <w:r w:rsidRPr="00522BC2">
        <w:rPr>
          <w:rFonts w:ascii="Times New Roman" w:hAnsi="Times New Roman" w:cs="Times New Roman"/>
          <w:color w:val="auto"/>
        </w:rPr>
        <w:t>:</w:t>
      </w:r>
    </w:p>
    <w:p w14:paraId="688EA394" w14:textId="77777777" w:rsidR="00E65A70" w:rsidRPr="00522BC2" w:rsidRDefault="00E65A70" w:rsidP="00E65A70">
      <w:pPr>
        <w:pStyle w:val="Default"/>
        <w:spacing w:line="276" w:lineRule="auto"/>
        <w:jc w:val="both"/>
        <w:rPr>
          <w:rFonts w:ascii="Times New Roman" w:hAnsi="Times New Roman" w:cs="Times New Roman"/>
          <w:color w:val="auto"/>
        </w:rPr>
      </w:pPr>
    </w:p>
    <w:p w14:paraId="432647E5" w14:textId="41BFC13D" w:rsidR="00E65A70" w:rsidRPr="00522BC2" w:rsidRDefault="00E65A70" w:rsidP="00FC0361">
      <w:pPr>
        <w:pStyle w:val="Default"/>
        <w:widowControl/>
        <w:numPr>
          <w:ilvl w:val="0"/>
          <w:numId w:val="7"/>
        </w:numPr>
        <w:spacing w:line="276" w:lineRule="auto"/>
        <w:jc w:val="both"/>
        <w:rPr>
          <w:rFonts w:ascii="Times New Roman" w:hAnsi="Times New Roman" w:cs="Times New Roman"/>
          <w:color w:val="auto"/>
        </w:rPr>
      </w:pPr>
      <w:r w:rsidRPr="00522BC2">
        <w:rPr>
          <w:rFonts w:ascii="Times New Roman" w:hAnsi="Times New Roman" w:cs="Times New Roman"/>
          <w:color w:val="auto"/>
        </w:rPr>
        <w:t xml:space="preserve">Ayuda a crear un mejor ambiente de negocios pues genera credibilidad en los inversionistas extranjeros sobre el futuro de sus inversiones </w:t>
      </w:r>
      <w:r w:rsidR="00FD46DD">
        <w:rPr>
          <w:rFonts w:ascii="Times New Roman" w:hAnsi="Times New Roman" w:cs="Times New Roman"/>
          <w:color w:val="auto"/>
        </w:rPr>
        <w:t>en el</w:t>
      </w:r>
      <w:r w:rsidRPr="00522BC2">
        <w:rPr>
          <w:rFonts w:ascii="Times New Roman" w:hAnsi="Times New Roman" w:cs="Times New Roman"/>
          <w:color w:val="auto"/>
        </w:rPr>
        <w:t xml:space="preserve"> país.</w:t>
      </w:r>
    </w:p>
    <w:p w14:paraId="2EA101F2" w14:textId="77777777" w:rsidR="00E65A70" w:rsidRPr="00522BC2" w:rsidRDefault="00E65A70" w:rsidP="00E65A70">
      <w:pPr>
        <w:pStyle w:val="Default"/>
        <w:spacing w:line="276" w:lineRule="auto"/>
        <w:jc w:val="both"/>
        <w:rPr>
          <w:rFonts w:ascii="Times New Roman" w:hAnsi="Times New Roman" w:cs="Times New Roman"/>
          <w:color w:val="auto"/>
        </w:rPr>
      </w:pPr>
    </w:p>
    <w:p w14:paraId="71D46E03" w14:textId="100EA343" w:rsidR="00E65A70" w:rsidRPr="00522BC2" w:rsidRDefault="00E65A70" w:rsidP="00FC0361">
      <w:pPr>
        <w:pStyle w:val="Default"/>
        <w:widowControl/>
        <w:numPr>
          <w:ilvl w:val="0"/>
          <w:numId w:val="7"/>
        </w:numPr>
        <w:spacing w:line="276" w:lineRule="auto"/>
        <w:jc w:val="both"/>
        <w:rPr>
          <w:rFonts w:ascii="Times New Roman" w:hAnsi="Times New Roman" w:cs="Times New Roman"/>
          <w:color w:val="auto"/>
        </w:rPr>
      </w:pPr>
      <w:r w:rsidRPr="00522BC2">
        <w:rPr>
          <w:rFonts w:ascii="Times New Roman" w:hAnsi="Times New Roman" w:cs="Times New Roman"/>
          <w:color w:val="auto"/>
        </w:rPr>
        <w:t>Permite establecer inversiones de más largo plazo, debido a que pueden establecer previsiones de una manera más acertada.</w:t>
      </w:r>
    </w:p>
    <w:p w14:paraId="7D8D65C4" w14:textId="3254AFB1" w:rsidR="00E65A70" w:rsidRDefault="00E65A70" w:rsidP="00E65A70">
      <w:pPr>
        <w:pStyle w:val="Default"/>
        <w:spacing w:line="276" w:lineRule="auto"/>
        <w:jc w:val="both"/>
        <w:rPr>
          <w:rFonts w:ascii="Times New Roman" w:hAnsi="Times New Roman" w:cs="Times New Roman"/>
          <w:color w:val="auto"/>
        </w:rPr>
      </w:pPr>
    </w:p>
    <w:p w14:paraId="75E4DD7C" w14:textId="77777777" w:rsidR="007D20DD" w:rsidRPr="00522BC2" w:rsidRDefault="007D20DD" w:rsidP="00E65A70">
      <w:pPr>
        <w:pStyle w:val="Default"/>
        <w:spacing w:line="276" w:lineRule="auto"/>
        <w:jc w:val="both"/>
        <w:rPr>
          <w:rFonts w:ascii="Times New Roman" w:hAnsi="Times New Roman" w:cs="Times New Roman"/>
          <w:color w:val="auto"/>
        </w:rPr>
      </w:pPr>
    </w:p>
    <w:p w14:paraId="348619FF" w14:textId="79955EAA" w:rsidR="00E65A70" w:rsidRDefault="00E65A70" w:rsidP="00FC0361">
      <w:pPr>
        <w:pStyle w:val="Default"/>
        <w:widowControl/>
        <w:numPr>
          <w:ilvl w:val="0"/>
          <w:numId w:val="7"/>
        </w:numPr>
        <w:tabs>
          <w:tab w:val="num" w:pos="1068"/>
        </w:tabs>
        <w:spacing w:line="276" w:lineRule="auto"/>
        <w:jc w:val="both"/>
        <w:rPr>
          <w:rFonts w:ascii="Times New Roman" w:hAnsi="Times New Roman" w:cs="Times New Roman"/>
          <w:color w:val="auto"/>
        </w:rPr>
      </w:pPr>
      <w:r w:rsidRPr="00522BC2">
        <w:rPr>
          <w:rFonts w:ascii="Times New Roman" w:hAnsi="Times New Roman" w:cs="Times New Roman"/>
          <w:color w:val="auto"/>
        </w:rPr>
        <w:t>Permite que el país obtenga financiamiento en el extranjero en mejores condiciones, dada la reducción de la prima de riesgo que se debe pagar por una mayor probabilidad de impago y mal historial crediticio, y entre mejor calificado un país, una empresa o una entidad pública, mayor acceso tendrá a créditos con menores tasas de interés.</w:t>
      </w:r>
    </w:p>
    <w:p w14:paraId="115C5FC3" w14:textId="77777777" w:rsidR="006D6C00" w:rsidRDefault="006D6C00" w:rsidP="006D6C00">
      <w:pPr>
        <w:pStyle w:val="Prrafodelista"/>
      </w:pPr>
    </w:p>
    <w:p w14:paraId="69ABA993" w14:textId="77777777" w:rsidR="006D6C00" w:rsidRPr="00522BC2" w:rsidRDefault="006D6C00" w:rsidP="006D6C00">
      <w:pPr>
        <w:pStyle w:val="Default"/>
        <w:widowControl/>
        <w:spacing w:line="276" w:lineRule="auto"/>
        <w:jc w:val="both"/>
        <w:rPr>
          <w:rFonts w:ascii="Times New Roman" w:hAnsi="Times New Roman" w:cs="Times New Roman"/>
          <w:color w:val="auto"/>
        </w:rPr>
      </w:pPr>
    </w:p>
    <w:p w14:paraId="13C3517B" w14:textId="77777777" w:rsidR="00E65A70" w:rsidRPr="00680C5C" w:rsidRDefault="00E65A70" w:rsidP="00E65A70">
      <w:pPr>
        <w:pStyle w:val="Ttulo1"/>
        <w:numPr>
          <w:ilvl w:val="0"/>
          <w:numId w:val="2"/>
        </w:numPr>
        <w:tabs>
          <w:tab w:val="num" w:pos="0"/>
        </w:tabs>
        <w:suppressAutoHyphens/>
        <w:ind w:left="709"/>
      </w:pPr>
      <w:bookmarkStart w:id="10" w:name="_Toc141105922"/>
      <w:bookmarkStart w:id="11" w:name="_Toc142920535"/>
      <w:r w:rsidRPr="00680C5C">
        <w:t>Situación Financiera de la Administración Central</w:t>
      </w:r>
      <w:bookmarkEnd w:id="10"/>
      <w:bookmarkEnd w:id="11"/>
    </w:p>
    <w:p w14:paraId="47198B1D" w14:textId="77777777" w:rsidR="00E65A70" w:rsidRPr="00835314" w:rsidRDefault="00E65A70" w:rsidP="00FC0361">
      <w:pPr>
        <w:pStyle w:val="Ttulo2"/>
        <w:numPr>
          <w:ilvl w:val="0"/>
          <w:numId w:val="4"/>
        </w:numPr>
        <w:ind w:left="709" w:hanging="709"/>
        <w:rPr>
          <w:rFonts w:ascii="Times New Roman" w:hAnsi="Times New Roman"/>
          <w:color w:val="auto"/>
          <w:sz w:val="24"/>
        </w:rPr>
      </w:pPr>
      <w:bookmarkStart w:id="12" w:name="_Toc141105923"/>
      <w:bookmarkStart w:id="13" w:name="_Toc142920536"/>
      <w:r w:rsidRPr="00835314">
        <w:rPr>
          <w:rFonts w:ascii="Times New Roman" w:hAnsi="Times New Roman"/>
          <w:color w:val="auto"/>
          <w:sz w:val="24"/>
        </w:rPr>
        <w:t>Ingresos</w:t>
      </w:r>
      <w:bookmarkEnd w:id="12"/>
      <w:bookmarkEnd w:id="13"/>
    </w:p>
    <w:p w14:paraId="39FAB08D" w14:textId="77777777" w:rsidR="00E65A70" w:rsidRDefault="00E65A70" w:rsidP="00E65A70">
      <w:pPr>
        <w:pStyle w:val="Default"/>
        <w:jc w:val="both"/>
        <w:rPr>
          <w:rFonts w:ascii="Times New Roman" w:hAnsi="Times New Roman" w:cs="Times New Roman"/>
        </w:rPr>
      </w:pPr>
    </w:p>
    <w:p w14:paraId="6153E2F8" w14:textId="2ECA4875" w:rsidR="00E65A70" w:rsidRPr="009562D6" w:rsidRDefault="00E65A70" w:rsidP="00E65A70">
      <w:pPr>
        <w:jc w:val="both"/>
        <w:rPr>
          <w:rFonts w:eastAsia="OptimaLTStd"/>
          <w:color w:val="000000"/>
          <w:lang w:val="es-MX"/>
        </w:rPr>
      </w:pPr>
      <w:r w:rsidRPr="009562D6">
        <w:rPr>
          <w:rFonts w:eastAsia="OptimaLTStd"/>
          <w:color w:val="000000"/>
          <w:lang w:val="es-MX"/>
        </w:rPr>
        <w:t xml:space="preserve">La recaudación de ingresos tributarios </w:t>
      </w:r>
      <w:r>
        <w:rPr>
          <w:rFonts w:eastAsia="OptimaLTStd"/>
          <w:color w:val="000000"/>
          <w:lang w:val="es-MX"/>
        </w:rPr>
        <w:t xml:space="preserve">netos </w:t>
      </w:r>
      <w:r w:rsidRPr="009562D6">
        <w:rPr>
          <w:rFonts w:eastAsia="OptimaLTStd"/>
          <w:color w:val="000000"/>
          <w:lang w:val="es-MX"/>
        </w:rPr>
        <w:t xml:space="preserve">acumulada al </w:t>
      </w:r>
      <w:r>
        <w:rPr>
          <w:rFonts w:eastAsia="OptimaLTStd"/>
          <w:color w:val="000000"/>
          <w:lang w:val="es-MX"/>
        </w:rPr>
        <w:t>30</w:t>
      </w:r>
      <w:r w:rsidRPr="009562D6">
        <w:rPr>
          <w:rFonts w:eastAsia="OptimaLTStd"/>
          <w:color w:val="000000"/>
          <w:lang w:val="es-MX"/>
        </w:rPr>
        <w:t xml:space="preserve"> de </w:t>
      </w:r>
      <w:r>
        <w:rPr>
          <w:rFonts w:eastAsia="OptimaLTStd"/>
          <w:color w:val="000000"/>
          <w:lang w:val="es-MX"/>
        </w:rPr>
        <w:t>junio de 2023</w:t>
      </w:r>
      <w:r w:rsidRPr="009562D6">
        <w:rPr>
          <w:rFonts w:eastAsia="OptimaLTStd"/>
          <w:color w:val="000000"/>
          <w:lang w:val="es-MX"/>
        </w:rPr>
        <w:t xml:space="preserve"> se ubicó en Q.</w:t>
      </w:r>
      <w:r>
        <w:rPr>
          <w:rFonts w:eastAsia="OptimaLTStd"/>
          <w:color w:val="000000"/>
          <w:lang w:val="es-MX"/>
        </w:rPr>
        <w:t>46,247.5</w:t>
      </w:r>
      <w:r w:rsidRPr="009562D6">
        <w:rPr>
          <w:rFonts w:eastAsia="OptimaLTStd"/>
          <w:color w:val="000000"/>
          <w:lang w:val="es-MX"/>
        </w:rPr>
        <w:t xml:space="preserve"> millones, lo que representó un incremento de </w:t>
      </w:r>
      <w:r>
        <w:rPr>
          <w:rFonts w:eastAsia="OptimaLTStd"/>
          <w:color w:val="000000"/>
          <w:lang w:val="es-MX"/>
        </w:rPr>
        <w:t>9.4</w:t>
      </w:r>
      <w:r w:rsidRPr="009562D6">
        <w:rPr>
          <w:rFonts w:eastAsia="OptimaLTStd"/>
          <w:color w:val="000000"/>
          <w:lang w:val="es-MX"/>
        </w:rPr>
        <w:t>%</w:t>
      </w:r>
      <w:r w:rsidR="006D6C00">
        <w:rPr>
          <w:rFonts w:eastAsia="OptimaLTStd"/>
          <w:color w:val="000000"/>
          <w:lang w:val="es-MX"/>
        </w:rPr>
        <w:t>,</w:t>
      </w:r>
      <w:r w:rsidRPr="009562D6">
        <w:rPr>
          <w:rFonts w:eastAsia="OptimaLTStd"/>
          <w:color w:val="000000"/>
          <w:lang w:val="es-MX"/>
        </w:rPr>
        <w:t xml:space="preserve"> respecto de lo observado </w:t>
      </w:r>
      <w:r w:rsidR="006D6C00">
        <w:rPr>
          <w:rFonts w:eastAsia="OptimaLTStd"/>
          <w:color w:val="000000"/>
          <w:lang w:val="es-MX"/>
        </w:rPr>
        <w:t>en el</w:t>
      </w:r>
      <w:r>
        <w:rPr>
          <w:rFonts w:eastAsia="OptimaLTStd"/>
          <w:color w:val="000000"/>
          <w:lang w:val="es-MX"/>
        </w:rPr>
        <w:t xml:space="preserve"> mismo per</w:t>
      </w:r>
      <w:r w:rsidR="006D6C00">
        <w:rPr>
          <w:rFonts w:eastAsia="OptimaLTStd"/>
          <w:color w:val="000000"/>
          <w:lang w:val="es-MX"/>
        </w:rPr>
        <w:t>í</w:t>
      </w:r>
      <w:r>
        <w:rPr>
          <w:rFonts w:eastAsia="OptimaLTStd"/>
          <w:color w:val="000000"/>
          <w:lang w:val="es-MX"/>
        </w:rPr>
        <w:t xml:space="preserve">odo </w:t>
      </w:r>
      <w:r w:rsidR="006D6C00">
        <w:rPr>
          <w:rFonts w:eastAsia="OptimaLTStd"/>
          <w:color w:val="000000"/>
          <w:lang w:val="es-MX"/>
        </w:rPr>
        <w:t>de</w:t>
      </w:r>
      <w:r w:rsidRPr="009562D6">
        <w:rPr>
          <w:rFonts w:eastAsia="OptimaLTStd"/>
          <w:color w:val="000000"/>
          <w:lang w:val="es-MX"/>
        </w:rPr>
        <w:t xml:space="preserve"> 20</w:t>
      </w:r>
      <w:r>
        <w:rPr>
          <w:rFonts w:eastAsia="OptimaLTStd"/>
          <w:color w:val="000000"/>
          <w:lang w:val="es-MX"/>
        </w:rPr>
        <w:t>22</w:t>
      </w:r>
      <w:r w:rsidRPr="009562D6">
        <w:rPr>
          <w:rFonts w:eastAsia="OptimaLTStd"/>
          <w:color w:val="000000"/>
          <w:lang w:val="es-MX"/>
        </w:rPr>
        <w:t xml:space="preserve">. El </w:t>
      </w:r>
      <w:r>
        <w:rPr>
          <w:rFonts w:eastAsia="OptimaLTStd"/>
          <w:color w:val="000000"/>
          <w:lang w:val="es-MX"/>
        </w:rPr>
        <w:t xml:space="preserve">mayor </w:t>
      </w:r>
      <w:r w:rsidRPr="009562D6">
        <w:rPr>
          <w:rFonts w:eastAsia="OptimaLTStd"/>
          <w:color w:val="000000"/>
          <w:lang w:val="es-MX"/>
        </w:rPr>
        <w:t xml:space="preserve">crecimiento </w:t>
      </w:r>
      <w:r>
        <w:rPr>
          <w:rFonts w:eastAsia="OptimaLTStd"/>
          <w:color w:val="000000"/>
          <w:lang w:val="es-MX"/>
        </w:rPr>
        <w:t>se observa en</w:t>
      </w:r>
      <w:r w:rsidRPr="009562D6">
        <w:rPr>
          <w:rFonts w:eastAsia="OptimaLTStd"/>
          <w:color w:val="000000"/>
          <w:lang w:val="es-MX"/>
        </w:rPr>
        <w:t xml:space="preserve"> la recaudación de los impuestos </w:t>
      </w:r>
      <w:r>
        <w:rPr>
          <w:rFonts w:eastAsia="OptimaLTStd"/>
          <w:color w:val="000000"/>
          <w:lang w:val="es-MX"/>
        </w:rPr>
        <w:t>internos con un 13.9%</w:t>
      </w:r>
      <w:r w:rsidR="006D6C00">
        <w:rPr>
          <w:rFonts w:eastAsia="OptimaLTStd"/>
          <w:color w:val="000000"/>
          <w:lang w:val="es-MX"/>
        </w:rPr>
        <w:t>,</w:t>
      </w:r>
      <w:r>
        <w:rPr>
          <w:rFonts w:eastAsia="OptimaLTStd"/>
          <w:color w:val="000000"/>
          <w:lang w:val="es-MX"/>
        </w:rPr>
        <w:t xml:space="preserve"> mientras que los impuestos externos mostraron una leve variación negativa del 0.3%.</w:t>
      </w:r>
    </w:p>
    <w:p w14:paraId="6A372473" w14:textId="77777777" w:rsidR="00E65A70" w:rsidRPr="009562D6" w:rsidRDefault="00E65A70" w:rsidP="00E65A70">
      <w:pPr>
        <w:jc w:val="both"/>
        <w:rPr>
          <w:rFonts w:eastAsia="OptimaLTStd"/>
          <w:color w:val="000000"/>
          <w:lang w:val="es-MX"/>
        </w:rPr>
      </w:pPr>
    </w:p>
    <w:p w14:paraId="607E403E" w14:textId="77777777" w:rsidR="00E65A70" w:rsidRPr="00D14DB7" w:rsidRDefault="00E65A70" w:rsidP="00E65A70">
      <w:pPr>
        <w:jc w:val="center"/>
        <w:rPr>
          <w:b/>
          <w:szCs w:val="22"/>
          <w:lang w:val="es-MX"/>
        </w:rPr>
      </w:pPr>
      <w:r w:rsidRPr="00D14DB7">
        <w:rPr>
          <w:b/>
          <w:szCs w:val="22"/>
          <w:lang w:val="es-MX"/>
        </w:rPr>
        <w:t>Gráfica 9</w:t>
      </w:r>
    </w:p>
    <w:p w14:paraId="66737D03" w14:textId="40905045" w:rsidR="00E65A70" w:rsidRPr="00D14DB7" w:rsidRDefault="00E65A70" w:rsidP="00E65A70">
      <w:pPr>
        <w:jc w:val="center"/>
        <w:rPr>
          <w:b/>
          <w:szCs w:val="22"/>
          <w:lang w:val="es-MX"/>
        </w:rPr>
      </w:pPr>
      <w:bookmarkStart w:id="14" w:name="OLE_LINK1"/>
      <w:r w:rsidRPr="00D14DB7">
        <w:rPr>
          <w:b/>
          <w:szCs w:val="22"/>
          <w:lang w:val="es-MX"/>
        </w:rPr>
        <w:t>Ingresos Tributarios Netos Acumulados</w:t>
      </w:r>
    </w:p>
    <w:p w14:paraId="778FCAE8" w14:textId="77777777" w:rsidR="00E65A70" w:rsidRPr="00D14DB7" w:rsidRDefault="00E65A70" w:rsidP="00E65A70">
      <w:pPr>
        <w:jc w:val="center"/>
        <w:rPr>
          <w:b/>
          <w:szCs w:val="22"/>
          <w:lang w:val="es-MX"/>
        </w:rPr>
      </w:pPr>
      <w:r w:rsidRPr="00D14DB7">
        <w:rPr>
          <w:b/>
          <w:szCs w:val="22"/>
          <w:lang w:val="es-MX"/>
        </w:rPr>
        <w:t>Al 30 de junio de cada año</w:t>
      </w:r>
    </w:p>
    <w:p w14:paraId="626818EB" w14:textId="77777777" w:rsidR="00E65A70" w:rsidRPr="00D14DB7" w:rsidRDefault="00E65A70" w:rsidP="00E65A70">
      <w:pPr>
        <w:jc w:val="center"/>
        <w:rPr>
          <w:b/>
          <w:szCs w:val="22"/>
          <w:lang w:val="es-MX"/>
        </w:rPr>
      </w:pPr>
      <w:r w:rsidRPr="00D14DB7">
        <w:rPr>
          <w:b/>
          <w:szCs w:val="22"/>
          <w:lang w:val="es-MX"/>
        </w:rPr>
        <w:t>Período 2011 - 2023*</w:t>
      </w:r>
    </w:p>
    <w:p w14:paraId="4E90EC47" w14:textId="77777777" w:rsidR="00E65A70" w:rsidRDefault="00E65A70" w:rsidP="00E65A70">
      <w:pPr>
        <w:jc w:val="center"/>
        <w:rPr>
          <w:b/>
          <w:sz w:val="22"/>
          <w:szCs w:val="22"/>
          <w:lang w:val="es-MX"/>
        </w:rPr>
      </w:pPr>
      <w:r>
        <w:rPr>
          <w:noProof/>
        </w:rPr>
        <w:drawing>
          <wp:inline distT="0" distB="0" distL="0" distR="0" wp14:anchorId="1FAB5D74" wp14:editId="7540447C">
            <wp:extent cx="5812404" cy="3641697"/>
            <wp:effectExtent l="0" t="0" r="17145" b="16510"/>
            <wp:docPr id="25" name="Gráfico 25">
              <a:extLst xmlns:a="http://schemas.openxmlformats.org/drawingml/2006/main">
                <a:ext uri="{FF2B5EF4-FFF2-40B4-BE49-F238E27FC236}">
                  <a16:creationId xmlns:a16="http://schemas.microsoft.com/office/drawing/2014/main" id="{00000000-0008-0000-08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bookmarkEnd w:id="14"/>
    <w:p w14:paraId="3012FB1B" w14:textId="7B644DF1" w:rsidR="00E65A70" w:rsidRDefault="00E65A70" w:rsidP="00E65A70">
      <w:pPr>
        <w:jc w:val="both"/>
        <w:rPr>
          <w:sz w:val="18"/>
        </w:rPr>
      </w:pPr>
      <w:r>
        <w:rPr>
          <w:sz w:val="18"/>
        </w:rPr>
        <w:t>* C</w:t>
      </w:r>
      <w:r w:rsidRPr="007417CD">
        <w:rPr>
          <w:sz w:val="18"/>
        </w:rPr>
        <w:t>ifras preliminares</w:t>
      </w:r>
    </w:p>
    <w:p w14:paraId="6337F88C" w14:textId="5C716E07" w:rsidR="00E65A70" w:rsidRDefault="00E65A70" w:rsidP="00E65A70">
      <w:pPr>
        <w:jc w:val="both"/>
        <w:rPr>
          <w:sz w:val="18"/>
        </w:rPr>
      </w:pPr>
      <w:r>
        <w:rPr>
          <w:sz w:val="18"/>
        </w:rPr>
        <w:t xml:space="preserve">    </w:t>
      </w:r>
      <w:r w:rsidRPr="00693E53">
        <w:rPr>
          <w:sz w:val="18"/>
        </w:rPr>
        <w:t>Fuente: Ministerio de Finanzas Públicas con base al SICOIN.</w:t>
      </w:r>
    </w:p>
    <w:p w14:paraId="75470679" w14:textId="77777777" w:rsidR="00E65A70" w:rsidRPr="0035677E" w:rsidRDefault="00E65A70" w:rsidP="00E65A70">
      <w:pPr>
        <w:pStyle w:val="Default"/>
        <w:jc w:val="both"/>
        <w:rPr>
          <w:rFonts w:ascii="Times New Roman" w:hAnsi="Times New Roman" w:cs="Times New Roman"/>
        </w:rPr>
      </w:pPr>
    </w:p>
    <w:p w14:paraId="40D03436" w14:textId="77777777" w:rsidR="00E65A70" w:rsidRDefault="00E65A70" w:rsidP="00E65A70">
      <w:pPr>
        <w:spacing w:after="160" w:line="259" w:lineRule="auto"/>
        <w:rPr>
          <w:rFonts w:eastAsia="Calibri"/>
          <w:color w:val="000000"/>
          <w:lang w:val="es-AR" w:eastAsia="en-US"/>
        </w:rPr>
      </w:pPr>
      <w:r>
        <w:br w:type="page"/>
      </w:r>
    </w:p>
    <w:p w14:paraId="0E6FD6F5" w14:textId="4C7BD958" w:rsidR="00E65A70" w:rsidRPr="007E7DA8" w:rsidRDefault="00E65A70" w:rsidP="00E65A70">
      <w:pPr>
        <w:pStyle w:val="Default"/>
        <w:jc w:val="both"/>
        <w:rPr>
          <w:rFonts w:ascii="Times New Roman" w:hAnsi="Times New Roman" w:cs="Times New Roman"/>
        </w:rPr>
      </w:pPr>
      <w:r w:rsidRPr="00923BF4">
        <w:rPr>
          <w:rFonts w:ascii="Times New Roman" w:hAnsi="Times New Roman" w:cs="Times New Roman"/>
        </w:rPr>
        <w:t>El comportamiento</w:t>
      </w:r>
      <w:r>
        <w:rPr>
          <w:rFonts w:ascii="Times New Roman" w:hAnsi="Times New Roman" w:cs="Times New Roman"/>
        </w:rPr>
        <w:t xml:space="preserve"> descrito para la recaudación se explica</w:t>
      </w:r>
      <w:r w:rsidRPr="00923BF4">
        <w:rPr>
          <w:rFonts w:ascii="Times New Roman" w:hAnsi="Times New Roman" w:cs="Times New Roman"/>
        </w:rPr>
        <w:t xml:space="preserve"> </w:t>
      </w:r>
      <w:r>
        <w:rPr>
          <w:rFonts w:ascii="Times New Roman" w:hAnsi="Times New Roman" w:cs="Times New Roman"/>
        </w:rPr>
        <w:t>en mayor medida por</w:t>
      </w:r>
      <w:r w:rsidRPr="00923BF4">
        <w:rPr>
          <w:rFonts w:ascii="Times New Roman" w:hAnsi="Times New Roman" w:cs="Times New Roman"/>
        </w:rPr>
        <w:t xml:space="preserve"> </w:t>
      </w:r>
      <w:r>
        <w:rPr>
          <w:rFonts w:ascii="Times New Roman" w:hAnsi="Times New Roman" w:cs="Times New Roman"/>
        </w:rPr>
        <w:t>la evolución positiva d</w:t>
      </w:r>
      <w:r w:rsidRPr="007E7DA8">
        <w:rPr>
          <w:rFonts w:ascii="Times New Roman" w:hAnsi="Times New Roman" w:cs="Times New Roman"/>
        </w:rPr>
        <w:t xml:space="preserve">el Impuesto al Valor Agregado </w:t>
      </w:r>
      <w:r w:rsidR="007C343C">
        <w:rPr>
          <w:rFonts w:ascii="Times New Roman" w:hAnsi="Times New Roman" w:cs="Times New Roman"/>
        </w:rPr>
        <w:t xml:space="preserve">(IVA) </w:t>
      </w:r>
      <w:r>
        <w:rPr>
          <w:rFonts w:ascii="Times New Roman" w:hAnsi="Times New Roman" w:cs="Times New Roman"/>
        </w:rPr>
        <w:t>Doméstico que</w:t>
      </w:r>
      <w:r w:rsidRPr="007E7DA8">
        <w:rPr>
          <w:rFonts w:ascii="Times New Roman" w:hAnsi="Times New Roman" w:cs="Times New Roman"/>
        </w:rPr>
        <w:t xml:space="preserve"> mostró un crecimiento de </w:t>
      </w:r>
      <w:r>
        <w:rPr>
          <w:rFonts w:ascii="Times New Roman" w:hAnsi="Times New Roman" w:cs="Times New Roman"/>
        </w:rPr>
        <w:t>19.9</w:t>
      </w:r>
      <w:r w:rsidRPr="007E7DA8">
        <w:rPr>
          <w:rFonts w:ascii="Times New Roman" w:hAnsi="Times New Roman" w:cs="Times New Roman"/>
        </w:rPr>
        <w:t xml:space="preserve">%; y </w:t>
      </w:r>
      <w:r>
        <w:rPr>
          <w:rFonts w:ascii="Times New Roman" w:hAnsi="Times New Roman" w:cs="Times New Roman"/>
        </w:rPr>
        <w:t xml:space="preserve">el Impuesto Sobre la Renta </w:t>
      </w:r>
      <w:r w:rsidR="007C343C">
        <w:rPr>
          <w:rFonts w:ascii="Times New Roman" w:hAnsi="Times New Roman" w:cs="Times New Roman"/>
        </w:rPr>
        <w:t xml:space="preserve">(ISR) </w:t>
      </w:r>
      <w:r>
        <w:rPr>
          <w:rFonts w:ascii="Times New Roman" w:hAnsi="Times New Roman" w:cs="Times New Roman"/>
        </w:rPr>
        <w:t>con un incremento del 11.0%</w:t>
      </w:r>
      <w:r w:rsidRPr="007E7DA8">
        <w:rPr>
          <w:rFonts w:ascii="Times New Roman" w:hAnsi="Times New Roman" w:cs="Times New Roman"/>
        </w:rPr>
        <w:t xml:space="preserve">. </w:t>
      </w:r>
      <w:r>
        <w:rPr>
          <w:rFonts w:ascii="Times New Roman" w:hAnsi="Times New Roman" w:cs="Times New Roman"/>
        </w:rPr>
        <w:t xml:space="preserve">Otros impuestos con crecimiento importante, son el Impuesto a la Primera Matricula de Vehículos Automotores </w:t>
      </w:r>
      <w:r w:rsidR="007C343C">
        <w:rPr>
          <w:rFonts w:ascii="Times New Roman" w:hAnsi="Times New Roman" w:cs="Times New Roman"/>
        </w:rPr>
        <w:t>(</w:t>
      </w:r>
      <w:r>
        <w:rPr>
          <w:rFonts w:ascii="Times New Roman" w:hAnsi="Times New Roman" w:cs="Times New Roman"/>
        </w:rPr>
        <w:t>IPRIMA</w:t>
      </w:r>
      <w:r w:rsidR="007C343C">
        <w:rPr>
          <w:rFonts w:ascii="Times New Roman" w:hAnsi="Times New Roman" w:cs="Times New Roman"/>
        </w:rPr>
        <w:t>)</w:t>
      </w:r>
      <w:r>
        <w:rPr>
          <w:rFonts w:ascii="Times New Roman" w:hAnsi="Times New Roman" w:cs="Times New Roman"/>
        </w:rPr>
        <w:t xml:space="preserve"> con una variación interanual del 24.9% y el Impuesto de Solidaridad </w:t>
      </w:r>
      <w:r w:rsidR="007C343C">
        <w:rPr>
          <w:rFonts w:ascii="Times New Roman" w:hAnsi="Times New Roman" w:cs="Times New Roman"/>
        </w:rPr>
        <w:t xml:space="preserve">(ISO) </w:t>
      </w:r>
      <w:r>
        <w:rPr>
          <w:rFonts w:ascii="Times New Roman" w:hAnsi="Times New Roman" w:cs="Times New Roman"/>
        </w:rPr>
        <w:t>con 19.7% de incremento</w:t>
      </w:r>
      <w:r w:rsidRPr="007E7DA8">
        <w:rPr>
          <w:rFonts w:ascii="Times New Roman" w:hAnsi="Times New Roman" w:cs="Times New Roman"/>
        </w:rPr>
        <w:t>.</w:t>
      </w:r>
    </w:p>
    <w:p w14:paraId="73963896" w14:textId="77777777" w:rsidR="00E65A70" w:rsidRPr="007E7DA8" w:rsidRDefault="00E65A70" w:rsidP="00E65A70">
      <w:pPr>
        <w:jc w:val="both"/>
        <w:rPr>
          <w:lang w:val="es-MX"/>
        </w:rPr>
      </w:pPr>
    </w:p>
    <w:p w14:paraId="6505CC8C" w14:textId="77777777" w:rsidR="00E65A70" w:rsidRPr="00D14DB7" w:rsidRDefault="00E65A70" w:rsidP="00E65A70">
      <w:pPr>
        <w:pStyle w:val="Prrafodelista"/>
        <w:ind w:left="360"/>
        <w:jc w:val="center"/>
        <w:rPr>
          <w:b/>
          <w:lang w:val="es-MX"/>
        </w:rPr>
      </w:pPr>
      <w:r w:rsidRPr="00D14DB7">
        <w:rPr>
          <w:b/>
          <w:lang w:val="es-MX"/>
        </w:rPr>
        <w:t>Cuadro 2</w:t>
      </w:r>
    </w:p>
    <w:p w14:paraId="2A851304" w14:textId="77777777" w:rsidR="00E65A70" w:rsidRPr="00D14DB7" w:rsidRDefault="00E65A70" w:rsidP="00E65A70">
      <w:pPr>
        <w:pStyle w:val="Prrafodelista"/>
        <w:ind w:left="360"/>
        <w:jc w:val="center"/>
        <w:rPr>
          <w:b/>
          <w:lang w:val="es-MX"/>
        </w:rPr>
      </w:pPr>
      <w:r w:rsidRPr="00D14DB7">
        <w:rPr>
          <w:b/>
          <w:lang w:val="es-MX"/>
        </w:rPr>
        <w:t>Ingresos Tributarios Netos de la Administración Central</w:t>
      </w:r>
    </w:p>
    <w:p w14:paraId="4E375978" w14:textId="77777777" w:rsidR="00E65A70" w:rsidRPr="00D14DB7" w:rsidRDefault="00E65A70" w:rsidP="00E65A70">
      <w:pPr>
        <w:pStyle w:val="Prrafodelista"/>
        <w:ind w:left="360"/>
        <w:jc w:val="center"/>
        <w:rPr>
          <w:b/>
          <w:lang w:val="es-MX"/>
        </w:rPr>
      </w:pPr>
      <w:r w:rsidRPr="00D14DB7">
        <w:rPr>
          <w:b/>
          <w:lang w:val="es-MX"/>
        </w:rPr>
        <w:t>Al 30 de junio de 2022 y 2023*</w:t>
      </w:r>
    </w:p>
    <w:p w14:paraId="3C702257" w14:textId="77777777" w:rsidR="00E65A70" w:rsidRPr="00D14DB7" w:rsidRDefault="00E65A70" w:rsidP="00E65A70">
      <w:pPr>
        <w:pStyle w:val="Prrafodelista"/>
        <w:ind w:left="360"/>
        <w:jc w:val="center"/>
        <w:rPr>
          <w:b/>
          <w:lang w:val="es-MX"/>
        </w:rPr>
      </w:pPr>
      <w:r w:rsidRPr="00D14DB7">
        <w:rPr>
          <w:b/>
          <w:lang w:val="es-MX"/>
        </w:rPr>
        <w:t>(Millones de Quetzales y Porcentajes)</w:t>
      </w:r>
    </w:p>
    <w:tbl>
      <w:tblPr>
        <w:tblW w:w="9616"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276"/>
        <w:gridCol w:w="1276"/>
        <w:gridCol w:w="1271"/>
        <w:gridCol w:w="1120"/>
      </w:tblGrid>
      <w:tr w:rsidR="008A4485" w:rsidRPr="00D14DB7" w14:paraId="482E2C46" w14:textId="77777777" w:rsidTr="00D14DB7">
        <w:trPr>
          <w:trHeight w:val="315"/>
        </w:trPr>
        <w:tc>
          <w:tcPr>
            <w:tcW w:w="4673" w:type="dxa"/>
            <w:vMerge w:val="restart"/>
            <w:tcBorders>
              <w:top w:val="single" w:sz="4" w:space="0" w:color="auto"/>
              <w:bottom w:val="single" w:sz="4" w:space="0" w:color="auto"/>
            </w:tcBorders>
            <w:shd w:val="clear" w:color="auto" w:fill="00B0F0"/>
            <w:vAlign w:val="center"/>
            <w:hideMark/>
          </w:tcPr>
          <w:p w14:paraId="34E243F7" w14:textId="77777777" w:rsidR="00E65A70" w:rsidRPr="00D14DB7" w:rsidRDefault="00E65A70" w:rsidP="00BF2538">
            <w:pPr>
              <w:jc w:val="center"/>
              <w:rPr>
                <w:b/>
                <w:bCs/>
                <w:sz w:val="22"/>
                <w:szCs w:val="20"/>
                <w:lang w:val="es-GT" w:eastAsia="es-GT"/>
              </w:rPr>
            </w:pPr>
            <w:r w:rsidRPr="00D14DB7">
              <w:rPr>
                <w:b/>
                <w:bCs/>
                <w:sz w:val="22"/>
                <w:szCs w:val="20"/>
                <w:lang w:val="es-GT" w:eastAsia="es-GT"/>
              </w:rPr>
              <w:t>Concepto</w:t>
            </w:r>
          </w:p>
        </w:tc>
        <w:tc>
          <w:tcPr>
            <w:tcW w:w="1276" w:type="dxa"/>
            <w:vMerge w:val="restart"/>
            <w:tcBorders>
              <w:top w:val="single" w:sz="4" w:space="0" w:color="auto"/>
              <w:bottom w:val="single" w:sz="4" w:space="0" w:color="auto"/>
            </w:tcBorders>
            <w:shd w:val="clear" w:color="auto" w:fill="00B0F0"/>
            <w:vAlign w:val="center"/>
            <w:hideMark/>
          </w:tcPr>
          <w:p w14:paraId="675624D5" w14:textId="77777777" w:rsidR="00E65A70" w:rsidRPr="00D14DB7" w:rsidRDefault="00E65A70" w:rsidP="00BF2538">
            <w:pPr>
              <w:jc w:val="center"/>
              <w:rPr>
                <w:b/>
                <w:bCs/>
                <w:sz w:val="22"/>
                <w:szCs w:val="20"/>
                <w:lang w:val="es-GT" w:eastAsia="es-GT"/>
              </w:rPr>
            </w:pPr>
            <w:r w:rsidRPr="00D14DB7">
              <w:rPr>
                <w:b/>
                <w:bCs/>
                <w:sz w:val="22"/>
                <w:szCs w:val="20"/>
                <w:lang w:val="es-GT" w:eastAsia="es-GT"/>
              </w:rPr>
              <w:t>2022</w:t>
            </w:r>
          </w:p>
        </w:tc>
        <w:tc>
          <w:tcPr>
            <w:tcW w:w="1276" w:type="dxa"/>
            <w:vMerge w:val="restart"/>
            <w:tcBorders>
              <w:top w:val="single" w:sz="4" w:space="0" w:color="auto"/>
              <w:bottom w:val="single" w:sz="4" w:space="0" w:color="auto"/>
            </w:tcBorders>
            <w:shd w:val="clear" w:color="auto" w:fill="00B0F0"/>
            <w:vAlign w:val="center"/>
            <w:hideMark/>
          </w:tcPr>
          <w:p w14:paraId="6ECFF1DE" w14:textId="77777777" w:rsidR="00E65A70" w:rsidRPr="00D14DB7" w:rsidRDefault="00E65A70" w:rsidP="00BF2538">
            <w:pPr>
              <w:jc w:val="center"/>
              <w:rPr>
                <w:b/>
                <w:bCs/>
                <w:sz w:val="22"/>
                <w:szCs w:val="20"/>
                <w:lang w:val="es-GT" w:eastAsia="es-GT"/>
              </w:rPr>
            </w:pPr>
            <w:r w:rsidRPr="00D14DB7">
              <w:rPr>
                <w:b/>
                <w:bCs/>
                <w:sz w:val="22"/>
                <w:szCs w:val="20"/>
                <w:lang w:val="es-GT" w:eastAsia="es-GT"/>
              </w:rPr>
              <w:t>2023</w:t>
            </w:r>
          </w:p>
        </w:tc>
        <w:tc>
          <w:tcPr>
            <w:tcW w:w="2391" w:type="dxa"/>
            <w:gridSpan w:val="2"/>
            <w:tcBorders>
              <w:top w:val="single" w:sz="4" w:space="0" w:color="auto"/>
              <w:bottom w:val="single" w:sz="4" w:space="0" w:color="auto"/>
            </w:tcBorders>
            <w:shd w:val="clear" w:color="auto" w:fill="00B0F0"/>
            <w:noWrap/>
            <w:vAlign w:val="center"/>
            <w:hideMark/>
          </w:tcPr>
          <w:p w14:paraId="2BAA87F2" w14:textId="37FC7525" w:rsidR="00E65A70" w:rsidRPr="00D14DB7" w:rsidRDefault="00E65A70" w:rsidP="008A4485">
            <w:pPr>
              <w:jc w:val="center"/>
              <w:rPr>
                <w:b/>
                <w:sz w:val="22"/>
                <w:szCs w:val="20"/>
                <w:lang w:val="es-GT" w:eastAsia="es-GT"/>
              </w:rPr>
            </w:pPr>
            <w:r w:rsidRPr="00D14DB7">
              <w:rPr>
                <w:b/>
                <w:sz w:val="22"/>
                <w:szCs w:val="20"/>
                <w:lang w:val="es-GT" w:eastAsia="es-GT"/>
              </w:rPr>
              <w:t>Diferencias </w:t>
            </w:r>
          </w:p>
        </w:tc>
      </w:tr>
      <w:tr w:rsidR="00E65A70" w:rsidRPr="00D14DB7" w14:paraId="4DF836A3" w14:textId="77777777" w:rsidTr="00D14DB7">
        <w:trPr>
          <w:trHeight w:val="255"/>
        </w:trPr>
        <w:tc>
          <w:tcPr>
            <w:tcW w:w="4673" w:type="dxa"/>
            <w:vMerge/>
            <w:tcBorders>
              <w:top w:val="single" w:sz="4" w:space="0" w:color="auto"/>
              <w:bottom w:val="single" w:sz="4" w:space="0" w:color="auto"/>
            </w:tcBorders>
            <w:shd w:val="clear" w:color="auto" w:fill="6E6E6E" w:themeFill="accent1" w:themeFillShade="80"/>
            <w:vAlign w:val="center"/>
            <w:hideMark/>
          </w:tcPr>
          <w:p w14:paraId="2E655FB5" w14:textId="77777777" w:rsidR="00E65A70" w:rsidRPr="00D14DB7" w:rsidRDefault="00E65A70" w:rsidP="00BF2538">
            <w:pPr>
              <w:rPr>
                <w:b/>
                <w:bCs/>
                <w:color w:val="FFFFFF"/>
                <w:sz w:val="22"/>
                <w:szCs w:val="20"/>
                <w:lang w:val="es-GT" w:eastAsia="es-GT"/>
              </w:rPr>
            </w:pPr>
          </w:p>
        </w:tc>
        <w:tc>
          <w:tcPr>
            <w:tcW w:w="1276" w:type="dxa"/>
            <w:vMerge/>
            <w:tcBorders>
              <w:top w:val="single" w:sz="4" w:space="0" w:color="auto"/>
              <w:bottom w:val="single" w:sz="4" w:space="0" w:color="auto"/>
            </w:tcBorders>
            <w:shd w:val="clear" w:color="auto" w:fill="6E6E6E" w:themeFill="accent1" w:themeFillShade="80"/>
            <w:vAlign w:val="center"/>
            <w:hideMark/>
          </w:tcPr>
          <w:p w14:paraId="02157A46" w14:textId="77777777" w:rsidR="00E65A70" w:rsidRPr="00D14DB7" w:rsidRDefault="00E65A70" w:rsidP="00BF2538">
            <w:pPr>
              <w:rPr>
                <w:b/>
                <w:bCs/>
                <w:color w:val="FFFFFF"/>
                <w:sz w:val="22"/>
                <w:szCs w:val="20"/>
                <w:lang w:val="es-GT" w:eastAsia="es-GT"/>
              </w:rPr>
            </w:pPr>
          </w:p>
        </w:tc>
        <w:tc>
          <w:tcPr>
            <w:tcW w:w="1276" w:type="dxa"/>
            <w:vMerge/>
            <w:tcBorders>
              <w:top w:val="single" w:sz="4" w:space="0" w:color="auto"/>
              <w:bottom w:val="single" w:sz="4" w:space="0" w:color="auto"/>
            </w:tcBorders>
            <w:shd w:val="clear" w:color="auto" w:fill="6E6E6E" w:themeFill="accent1" w:themeFillShade="80"/>
            <w:vAlign w:val="center"/>
            <w:hideMark/>
          </w:tcPr>
          <w:p w14:paraId="0D0088E7" w14:textId="77777777" w:rsidR="00E65A70" w:rsidRPr="00D14DB7" w:rsidRDefault="00E65A70" w:rsidP="00BF2538">
            <w:pPr>
              <w:rPr>
                <w:b/>
                <w:bCs/>
                <w:color w:val="FFFFFF"/>
                <w:sz w:val="22"/>
                <w:szCs w:val="20"/>
                <w:lang w:val="es-GT" w:eastAsia="es-GT"/>
              </w:rPr>
            </w:pPr>
          </w:p>
        </w:tc>
        <w:tc>
          <w:tcPr>
            <w:tcW w:w="1271" w:type="dxa"/>
            <w:tcBorders>
              <w:top w:val="single" w:sz="4" w:space="0" w:color="auto"/>
              <w:bottom w:val="single" w:sz="4" w:space="0" w:color="auto"/>
            </w:tcBorders>
            <w:shd w:val="clear" w:color="auto" w:fill="00B0F0"/>
            <w:noWrap/>
            <w:vAlign w:val="center"/>
            <w:hideMark/>
          </w:tcPr>
          <w:p w14:paraId="6890C59B" w14:textId="77777777" w:rsidR="00E65A70" w:rsidRPr="00D14DB7" w:rsidRDefault="00E65A70" w:rsidP="00BF2538">
            <w:pPr>
              <w:jc w:val="center"/>
              <w:rPr>
                <w:b/>
                <w:sz w:val="22"/>
                <w:szCs w:val="20"/>
                <w:lang w:val="es-GT" w:eastAsia="es-GT"/>
              </w:rPr>
            </w:pPr>
            <w:r w:rsidRPr="00D14DB7">
              <w:rPr>
                <w:b/>
                <w:sz w:val="22"/>
                <w:szCs w:val="20"/>
                <w:lang w:val="es-GT" w:eastAsia="es-GT"/>
              </w:rPr>
              <w:t>Absolutas</w:t>
            </w:r>
          </w:p>
        </w:tc>
        <w:tc>
          <w:tcPr>
            <w:tcW w:w="1120" w:type="dxa"/>
            <w:tcBorders>
              <w:top w:val="single" w:sz="4" w:space="0" w:color="auto"/>
              <w:bottom w:val="single" w:sz="4" w:space="0" w:color="auto"/>
            </w:tcBorders>
            <w:shd w:val="clear" w:color="auto" w:fill="00B0F0"/>
            <w:noWrap/>
            <w:vAlign w:val="center"/>
            <w:hideMark/>
          </w:tcPr>
          <w:p w14:paraId="14F9CB48" w14:textId="77777777" w:rsidR="00E65A70" w:rsidRPr="00D14DB7" w:rsidRDefault="00E65A70" w:rsidP="00BF2538">
            <w:pPr>
              <w:jc w:val="center"/>
              <w:rPr>
                <w:b/>
                <w:sz w:val="22"/>
                <w:szCs w:val="20"/>
                <w:lang w:val="es-GT" w:eastAsia="es-GT"/>
              </w:rPr>
            </w:pPr>
            <w:r w:rsidRPr="00D14DB7">
              <w:rPr>
                <w:b/>
                <w:sz w:val="22"/>
                <w:szCs w:val="20"/>
                <w:lang w:val="es-GT" w:eastAsia="es-GT"/>
              </w:rPr>
              <w:t>Relativas</w:t>
            </w:r>
          </w:p>
        </w:tc>
      </w:tr>
      <w:tr w:rsidR="00E65A70" w:rsidRPr="00D14DB7" w14:paraId="1C0287B6" w14:textId="77777777" w:rsidTr="00D14DB7">
        <w:trPr>
          <w:trHeight w:val="315"/>
        </w:trPr>
        <w:tc>
          <w:tcPr>
            <w:tcW w:w="4673" w:type="dxa"/>
            <w:tcBorders>
              <w:top w:val="single" w:sz="4" w:space="0" w:color="auto"/>
            </w:tcBorders>
            <w:shd w:val="clear" w:color="000000" w:fill="FFFFFF"/>
            <w:noWrap/>
            <w:vAlign w:val="bottom"/>
            <w:hideMark/>
          </w:tcPr>
          <w:p w14:paraId="4654EEDF" w14:textId="77777777" w:rsidR="00E65A70" w:rsidRPr="00D14DB7" w:rsidRDefault="00E65A70" w:rsidP="00BF2538">
            <w:pPr>
              <w:rPr>
                <w:b/>
                <w:bCs/>
                <w:sz w:val="22"/>
                <w:szCs w:val="20"/>
                <w:lang w:val="es-GT" w:eastAsia="es-GT"/>
              </w:rPr>
            </w:pPr>
            <w:r w:rsidRPr="00D14DB7">
              <w:rPr>
                <w:b/>
                <w:bCs/>
                <w:sz w:val="22"/>
                <w:szCs w:val="20"/>
                <w:lang w:val="es-GT" w:eastAsia="es-GT"/>
              </w:rPr>
              <w:t>Ingresos Tributarios</w:t>
            </w:r>
          </w:p>
        </w:tc>
        <w:tc>
          <w:tcPr>
            <w:tcW w:w="1276" w:type="dxa"/>
            <w:tcBorders>
              <w:top w:val="single" w:sz="4" w:space="0" w:color="auto"/>
            </w:tcBorders>
            <w:shd w:val="clear" w:color="000000" w:fill="FFFFFF"/>
            <w:noWrap/>
            <w:vAlign w:val="bottom"/>
            <w:hideMark/>
          </w:tcPr>
          <w:p w14:paraId="435CAAD1" w14:textId="77777777" w:rsidR="00E65A70" w:rsidRPr="00D14DB7" w:rsidRDefault="00E65A70" w:rsidP="00BF2538">
            <w:pPr>
              <w:jc w:val="right"/>
              <w:rPr>
                <w:b/>
                <w:bCs/>
                <w:sz w:val="22"/>
                <w:szCs w:val="20"/>
                <w:lang w:val="es-GT" w:eastAsia="es-GT"/>
              </w:rPr>
            </w:pPr>
            <w:r w:rsidRPr="00D14DB7">
              <w:rPr>
                <w:b/>
                <w:bCs/>
                <w:sz w:val="22"/>
                <w:szCs w:val="20"/>
                <w:lang w:val="es-GT" w:eastAsia="es-GT"/>
              </w:rPr>
              <w:t>42,287.0</w:t>
            </w:r>
          </w:p>
        </w:tc>
        <w:tc>
          <w:tcPr>
            <w:tcW w:w="1276" w:type="dxa"/>
            <w:tcBorders>
              <w:top w:val="single" w:sz="4" w:space="0" w:color="auto"/>
            </w:tcBorders>
            <w:shd w:val="clear" w:color="000000" w:fill="FFFFFF"/>
            <w:noWrap/>
            <w:vAlign w:val="bottom"/>
            <w:hideMark/>
          </w:tcPr>
          <w:p w14:paraId="5511EA8B" w14:textId="77777777" w:rsidR="00E65A70" w:rsidRPr="00D14DB7" w:rsidRDefault="00E65A70" w:rsidP="00BF2538">
            <w:pPr>
              <w:jc w:val="right"/>
              <w:rPr>
                <w:b/>
                <w:bCs/>
                <w:sz w:val="22"/>
                <w:szCs w:val="20"/>
                <w:lang w:val="es-GT" w:eastAsia="es-GT"/>
              </w:rPr>
            </w:pPr>
            <w:r w:rsidRPr="00D14DB7">
              <w:rPr>
                <w:b/>
                <w:bCs/>
                <w:sz w:val="22"/>
                <w:szCs w:val="20"/>
                <w:lang w:val="es-GT" w:eastAsia="es-GT"/>
              </w:rPr>
              <w:t>46,247.5</w:t>
            </w:r>
          </w:p>
        </w:tc>
        <w:tc>
          <w:tcPr>
            <w:tcW w:w="1271" w:type="dxa"/>
            <w:tcBorders>
              <w:top w:val="single" w:sz="4" w:space="0" w:color="auto"/>
            </w:tcBorders>
            <w:shd w:val="clear" w:color="000000" w:fill="FFFFFF"/>
            <w:noWrap/>
            <w:vAlign w:val="bottom"/>
            <w:hideMark/>
          </w:tcPr>
          <w:p w14:paraId="2B5FAF70" w14:textId="77777777" w:rsidR="00E65A70" w:rsidRPr="00D14DB7" w:rsidRDefault="00E65A70" w:rsidP="00BF2538">
            <w:pPr>
              <w:jc w:val="right"/>
              <w:rPr>
                <w:b/>
                <w:bCs/>
                <w:sz w:val="22"/>
                <w:szCs w:val="20"/>
                <w:lang w:val="es-GT" w:eastAsia="es-GT"/>
              </w:rPr>
            </w:pPr>
            <w:r w:rsidRPr="00D14DB7">
              <w:rPr>
                <w:b/>
                <w:bCs/>
                <w:sz w:val="22"/>
                <w:szCs w:val="20"/>
                <w:lang w:val="es-GT" w:eastAsia="es-GT"/>
              </w:rPr>
              <w:t>3,960.5</w:t>
            </w:r>
          </w:p>
        </w:tc>
        <w:tc>
          <w:tcPr>
            <w:tcW w:w="1120" w:type="dxa"/>
            <w:tcBorders>
              <w:top w:val="single" w:sz="4" w:space="0" w:color="auto"/>
            </w:tcBorders>
            <w:shd w:val="clear" w:color="000000" w:fill="FFFFFF"/>
            <w:noWrap/>
            <w:vAlign w:val="bottom"/>
            <w:hideMark/>
          </w:tcPr>
          <w:p w14:paraId="10DA2678" w14:textId="77777777" w:rsidR="00E65A70" w:rsidRPr="00D14DB7" w:rsidRDefault="00E65A70" w:rsidP="00BF2538">
            <w:pPr>
              <w:jc w:val="right"/>
              <w:rPr>
                <w:b/>
                <w:bCs/>
                <w:sz w:val="22"/>
                <w:szCs w:val="20"/>
                <w:lang w:val="es-GT" w:eastAsia="es-GT"/>
              </w:rPr>
            </w:pPr>
            <w:r w:rsidRPr="00D14DB7">
              <w:rPr>
                <w:b/>
                <w:bCs/>
                <w:sz w:val="22"/>
                <w:szCs w:val="20"/>
                <w:lang w:val="es-GT" w:eastAsia="es-GT"/>
              </w:rPr>
              <w:t>9.4%</w:t>
            </w:r>
          </w:p>
        </w:tc>
      </w:tr>
      <w:tr w:rsidR="00E65A70" w:rsidRPr="00D14DB7" w14:paraId="621948B7" w14:textId="77777777" w:rsidTr="00D14DB7">
        <w:trPr>
          <w:trHeight w:val="319"/>
        </w:trPr>
        <w:tc>
          <w:tcPr>
            <w:tcW w:w="4673" w:type="dxa"/>
            <w:shd w:val="clear" w:color="000000" w:fill="FFFFFF"/>
            <w:noWrap/>
            <w:vAlign w:val="center"/>
            <w:hideMark/>
          </w:tcPr>
          <w:p w14:paraId="281D1AD9" w14:textId="77777777" w:rsidR="00E65A70" w:rsidRPr="00D14DB7" w:rsidRDefault="00E65A70" w:rsidP="00BF2538">
            <w:pPr>
              <w:ind w:firstLineChars="200" w:firstLine="442"/>
              <w:rPr>
                <w:b/>
                <w:bCs/>
                <w:sz w:val="22"/>
                <w:szCs w:val="20"/>
                <w:lang w:val="es-GT" w:eastAsia="es-GT"/>
              </w:rPr>
            </w:pPr>
            <w:r w:rsidRPr="00D14DB7">
              <w:rPr>
                <w:b/>
                <w:bCs/>
                <w:sz w:val="22"/>
                <w:szCs w:val="20"/>
                <w:lang w:val="es-GT" w:eastAsia="es-GT"/>
              </w:rPr>
              <w:t>Impuestos Asociados al Comercio Exterior</w:t>
            </w:r>
          </w:p>
        </w:tc>
        <w:tc>
          <w:tcPr>
            <w:tcW w:w="1276" w:type="dxa"/>
            <w:shd w:val="clear" w:color="000000" w:fill="FFFFFF"/>
            <w:noWrap/>
            <w:vAlign w:val="center"/>
            <w:hideMark/>
          </w:tcPr>
          <w:p w14:paraId="7F9BC67A" w14:textId="77777777" w:rsidR="00E65A70" w:rsidRPr="00D14DB7" w:rsidRDefault="00E65A70" w:rsidP="00BF2538">
            <w:pPr>
              <w:jc w:val="right"/>
              <w:rPr>
                <w:b/>
                <w:bCs/>
                <w:sz w:val="22"/>
                <w:szCs w:val="20"/>
                <w:lang w:val="es-GT" w:eastAsia="es-GT"/>
              </w:rPr>
            </w:pPr>
            <w:r w:rsidRPr="00D14DB7">
              <w:rPr>
                <w:b/>
                <w:bCs/>
                <w:sz w:val="22"/>
                <w:szCs w:val="20"/>
                <w:lang w:val="es-GT" w:eastAsia="es-GT"/>
              </w:rPr>
              <w:t>13,569.2</w:t>
            </w:r>
          </w:p>
        </w:tc>
        <w:tc>
          <w:tcPr>
            <w:tcW w:w="1276" w:type="dxa"/>
            <w:shd w:val="clear" w:color="000000" w:fill="FFFFFF"/>
            <w:noWrap/>
            <w:vAlign w:val="center"/>
            <w:hideMark/>
          </w:tcPr>
          <w:p w14:paraId="161A39BF" w14:textId="77777777" w:rsidR="00E65A70" w:rsidRPr="00D14DB7" w:rsidRDefault="00E65A70" w:rsidP="00BF2538">
            <w:pPr>
              <w:jc w:val="right"/>
              <w:rPr>
                <w:b/>
                <w:bCs/>
                <w:sz w:val="22"/>
                <w:szCs w:val="20"/>
                <w:lang w:val="es-GT" w:eastAsia="es-GT"/>
              </w:rPr>
            </w:pPr>
            <w:r w:rsidRPr="00D14DB7">
              <w:rPr>
                <w:b/>
                <w:bCs/>
                <w:sz w:val="22"/>
                <w:szCs w:val="20"/>
                <w:lang w:val="es-GT" w:eastAsia="es-GT"/>
              </w:rPr>
              <w:t>13,535.1</w:t>
            </w:r>
          </w:p>
        </w:tc>
        <w:tc>
          <w:tcPr>
            <w:tcW w:w="1271" w:type="dxa"/>
            <w:shd w:val="clear" w:color="000000" w:fill="FFFFFF"/>
            <w:noWrap/>
            <w:vAlign w:val="center"/>
            <w:hideMark/>
          </w:tcPr>
          <w:p w14:paraId="07261EF2" w14:textId="77777777" w:rsidR="00E65A70" w:rsidRPr="00D14DB7" w:rsidRDefault="00E65A70" w:rsidP="00BF2538">
            <w:pPr>
              <w:jc w:val="right"/>
              <w:rPr>
                <w:b/>
                <w:bCs/>
                <w:sz w:val="22"/>
                <w:szCs w:val="20"/>
                <w:lang w:val="es-GT" w:eastAsia="es-GT"/>
              </w:rPr>
            </w:pPr>
            <w:r w:rsidRPr="00D14DB7">
              <w:rPr>
                <w:b/>
                <w:bCs/>
                <w:sz w:val="22"/>
                <w:szCs w:val="20"/>
                <w:lang w:val="es-GT" w:eastAsia="es-GT"/>
              </w:rPr>
              <w:t>-34.1</w:t>
            </w:r>
          </w:p>
        </w:tc>
        <w:tc>
          <w:tcPr>
            <w:tcW w:w="1120" w:type="dxa"/>
            <w:shd w:val="clear" w:color="000000" w:fill="FFFFFF"/>
            <w:noWrap/>
            <w:vAlign w:val="center"/>
            <w:hideMark/>
          </w:tcPr>
          <w:p w14:paraId="5C7DD320" w14:textId="77777777" w:rsidR="00E65A70" w:rsidRPr="00D14DB7" w:rsidRDefault="00E65A70" w:rsidP="00BF2538">
            <w:pPr>
              <w:jc w:val="right"/>
              <w:rPr>
                <w:b/>
                <w:bCs/>
                <w:sz w:val="22"/>
                <w:szCs w:val="20"/>
                <w:lang w:val="es-GT" w:eastAsia="es-GT"/>
              </w:rPr>
            </w:pPr>
            <w:r w:rsidRPr="00D14DB7">
              <w:rPr>
                <w:b/>
                <w:bCs/>
                <w:sz w:val="22"/>
                <w:szCs w:val="20"/>
                <w:lang w:val="es-GT" w:eastAsia="es-GT"/>
              </w:rPr>
              <w:t>-0.3%</w:t>
            </w:r>
          </w:p>
        </w:tc>
      </w:tr>
      <w:tr w:rsidR="00E65A70" w:rsidRPr="00D14DB7" w14:paraId="5583B816" w14:textId="77777777" w:rsidTr="00D14DB7">
        <w:trPr>
          <w:trHeight w:val="319"/>
        </w:trPr>
        <w:tc>
          <w:tcPr>
            <w:tcW w:w="4673" w:type="dxa"/>
            <w:shd w:val="clear" w:color="000000" w:fill="FFFFFF"/>
            <w:noWrap/>
            <w:vAlign w:val="bottom"/>
            <w:hideMark/>
          </w:tcPr>
          <w:p w14:paraId="7F07895D" w14:textId="1F056A35" w:rsidR="00E65A70" w:rsidRPr="00D14DB7" w:rsidRDefault="00E65A70" w:rsidP="00D14DB7">
            <w:pPr>
              <w:ind w:firstLineChars="288" w:firstLine="634"/>
              <w:rPr>
                <w:sz w:val="22"/>
                <w:szCs w:val="20"/>
                <w:lang w:val="es-GT" w:eastAsia="es-GT"/>
              </w:rPr>
            </w:pPr>
            <w:r w:rsidRPr="00D14DB7">
              <w:rPr>
                <w:sz w:val="22"/>
                <w:szCs w:val="20"/>
                <w:lang w:val="es-GT" w:eastAsia="es-GT"/>
              </w:rPr>
              <w:t>Impuesto al Valor Agregado Importaciones</w:t>
            </w:r>
          </w:p>
        </w:tc>
        <w:tc>
          <w:tcPr>
            <w:tcW w:w="1276" w:type="dxa"/>
            <w:shd w:val="clear" w:color="000000" w:fill="FFFFFF"/>
            <w:noWrap/>
            <w:vAlign w:val="bottom"/>
            <w:hideMark/>
          </w:tcPr>
          <w:p w14:paraId="5F2DC2C6" w14:textId="77777777" w:rsidR="00E65A70" w:rsidRPr="00D14DB7" w:rsidRDefault="00E65A70" w:rsidP="00BF2538">
            <w:pPr>
              <w:jc w:val="right"/>
              <w:rPr>
                <w:sz w:val="22"/>
                <w:szCs w:val="20"/>
                <w:lang w:val="es-GT" w:eastAsia="es-GT"/>
              </w:rPr>
            </w:pPr>
            <w:r w:rsidRPr="00D14DB7">
              <w:rPr>
                <w:sz w:val="22"/>
                <w:szCs w:val="20"/>
                <w:lang w:val="es-GT" w:eastAsia="es-GT"/>
              </w:rPr>
              <w:t>11,821.1</w:t>
            </w:r>
          </w:p>
        </w:tc>
        <w:tc>
          <w:tcPr>
            <w:tcW w:w="1276" w:type="dxa"/>
            <w:shd w:val="clear" w:color="000000" w:fill="FFFFFF"/>
            <w:noWrap/>
            <w:vAlign w:val="bottom"/>
            <w:hideMark/>
          </w:tcPr>
          <w:p w14:paraId="799607DC" w14:textId="77777777" w:rsidR="00E65A70" w:rsidRPr="00D14DB7" w:rsidRDefault="00E65A70" w:rsidP="00BF2538">
            <w:pPr>
              <w:jc w:val="right"/>
              <w:rPr>
                <w:sz w:val="22"/>
                <w:szCs w:val="20"/>
                <w:lang w:val="es-GT" w:eastAsia="es-GT"/>
              </w:rPr>
            </w:pPr>
            <w:r w:rsidRPr="00D14DB7">
              <w:rPr>
                <w:sz w:val="22"/>
                <w:szCs w:val="20"/>
                <w:lang w:val="es-GT" w:eastAsia="es-GT"/>
              </w:rPr>
              <w:t>11,668.9</w:t>
            </w:r>
          </w:p>
        </w:tc>
        <w:tc>
          <w:tcPr>
            <w:tcW w:w="1271" w:type="dxa"/>
            <w:shd w:val="clear" w:color="000000" w:fill="FFFFFF"/>
            <w:noWrap/>
            <w:vAlign w:val="bottom"/>
            <w:hideMark/>
          </w:tcPr>
          <w:p w14:paraId="0BB86C46" w14:textId="77777777" w:rsidR="00E65A70" w:rsidRPr="00D14DB7" w:rsidRDefault="00E65A70" w:rsidP="00BF2538">
            <w:pPr>
              <w:jc w:val="right"/>
              <w:rPr>
                <w:sz w:val="22"/>
                <w:szCs w:val="20"/>
                <w:lang w:val="es-GT" w:eastAsia="es-GT"/>
              </w:rPr>
            </w:pPr>
            <w:r w:rsidRPr="00D14DB7">
              <w:rPr>
                <w:sz w:val="22"/>
                <w:szCs w:val="20"/>
                <w:lang w:val="es-GT" w:eastAsia="es-GT"/>
              </w:rPr>
              <w:t>-152.2</w:t>
            </w:r>
          </w:p>
        </w:tc>
        <w:tc>
          <w:tcPr>
            <w:tcW w:w="1120" w:type="dxa"/>
            <w:shd w:val="clear" w:color="000000" w:fill="FFFFFF"/>
            <w:noWrap/>
            <w:vAlign w:val="bottom"/>
            <w:hideMark/>
          </w:tcPr>
          <w:p w14:paraId="3D1E7BE4" w14:textId="77777777" w:rsidR="00E65A70" w:rsidRPr="00D14DB7" w:rsidRDefault="00E65A70" w:rsidP="00BF2538">
            <w:pPr>
              <w:jc w:val="right"/>
              <w:rPr>
                <w:sz w:val="22"/>
                <w:szCs w:val="20"/>
                <w:lang w:val="es-GT" w:eastAsia="es-GT"/>
              </w:rPr>
            </w:pPr>
            <w:r w:rsidRPr="00D14DB7">
              <w:rPr>
                <w:sz w:val="22"/>
                <w:szCs w:val="20"/>
                <w:lang w:val="es-GT" w:eastAsia="es-GT"/>
              </w:rPr>
              <w:t>-1.3%</w:t>
            </w:r>
          </w:p>
        </w:tc>
      </w:tr>
      <w:tr w:rsidR="00E65A70" w:rsidRPr="00D14DB7" w14:paraId="0149CD10" w14:textId="77777777" w:rsidTr="00D14DB7">
        <w:trPr>
          <w:trHeight w:val="375"/>
        </w:trPr>
        <w:tc>
          <w:tcPr>
            <w:tcW w:w="4673" w:type="dxa"/>
            <w:shd w:val="clear" w:color="000000" w:fill="FFFFFF"/>
            <w:noWrap/>
            <w:vAlign w:val="bottom"/>
            <w:hideMark/>
          </w:tcPr>
          <w:p w14:paraId="393A112A"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Derechos Arancelarios</w:t>
            </w:r>
          </w:p>
        </w:tc>
        <w:tc>
          <w:tcPr>
            <w:tcW w:w="1276" w:type="dxa"/>
            <w:shd w:val="clear" w:color="000000" w:fill="FFFFFF"/>
            <w:noWrap/>
            <w:vAlign w:val="bottom"/>
            <w:hideMark/>
          </w:tcPr>
          <w:p w14:paraId="03B144B0" w14:textId="77777777" w:rsidR="00E65A70" w:rsidRPr="00D14DB7" w:rsidRDefault="00E65A70" w:rsidP="00BF2538">
            <w:pPr>
              <w:jc w:val="right"/>
              <w:rPr>
                <w:sz w:val="22"/>
                <w:szCs w:val="20"/>
                <w:lang w:val="es-GT" w:eastAsia="es-GT"/>
              </w:rPr>
            </w:pPr>
            <w:r w:rsidRPr="00D14DB7">
              <w:rPr>
                <w:sz w:val="22"/>
                <w:szCs w:val="20"/>
                <w:lang w:val="es-GT" w:eastAsia="es-GT"/>
              </w:rPr>
              <w:t>1,748.1</w:t>
            </w:r>
          </w:p>
        </w:tc>
        <w:tc>
          <w:tcPr>
            <w:tcW w:w="1276" w:type="dxa"/>
            <w:shd w:val="clear" w:color="000000" w:fill="FFFFFF"/>
            <w:noWrap/>
            <w:vAlign w:val="bottom"/>
            <w:hideMark/>
          </w:tcPr>
          <w:p w14:paraId="42A4D1E7" w14:textId="77777777" w:rsidR="00E65A70" w:rsidRPr="00D14DB7" w:rsidRDefault="00E65A70" w:rsidP="00BF2538">
            <w:pPr>
              <w:jc w:val="right"/>
              <w:rPr>
                <w:sz w:val="22"/>
                <w:szCs w:val="20"/>
                <w:lang w:val="es-GT" w:eastAsia="es-GT"/>
              </w:rPr>
            </w:pPr>
            <w:r w:rsidRPr="00D14DB7">
              <w:rPr>
                <w:sz w:val="22"/>
                <w:szCs w:val="20"/>
                <w:lang w:val="es-GT" w:eastAsia="es-GT"/>
              </w:rPr>
              <w:t>1,866.2</w:t>
            </w:r>
          </w:p>
        </w:tc>
        <w:tc>
          <w:tcPr>
            <w:tcW w:w="1271" w:type="dxa"/>
            <w:shd w:val="clear" w:color="000000" w:fill="FFFFFF"/>
            <w:noWrap/>
            <w:vAlign w:val="bottom"/>
            <w:hideMark/>
          </w:tcPr>
          <w:p w14:paraId="48156D13" w14:textId="77777777" w:rsidR="00E65A70" w:rsidRPr="00D14DB7" w:rsidRDefault="00E65A70" w:rsidP="00BF2538">
            <w:pPr>
              <w:jc w:val="right"/>
              <w:rPr>
                <w:sz w:val="22"/>
                <w:szCs w:val="20"/>
                <w:lang w:val="es-GT" w:eastAsia="es-GT"/>
              </w:rPr>
            </w:pPr>
            <w:r w:rsidRPr="00D14DB7">
              <w:rPr>
                <w:sz w:val="22"/>
                <w:szCs w:val="20"/>
                <w:lang w:val="es-GT" w:eastAsia="es-GT"/>
              </w:rPr>
              <w:t>118.1</w:t>
            </w:r>
          </w:p>
        </w:tc>
        <w:tc>
          <w:tcPr>
            <w:tcW w:w="1120" w:type="dxa"/>
            <w:shd w:val="clear" w:color="000000" w:fill="FFFFFF"/>
            <w:noWrap/>
            <w:vAlign w:val="bottom"/>
            <w:hideMark/>
          </w:tcPr>
          <w:p w14:paraId="790649CA" w14:textId="77777777" w:rsidR="00E65A70" w:rsidRPr="00D14DB7" w:rsidRDefault="00E65A70" w:rsidP="00BF2538">
            <w:pPr>
              <w:jc w:val="right"/>
              <w:rPr>
                <w:sz w:val="22"/>
                <w:szCs w:val="20"/>
                <w:lang w:val="es-GT" w:eastAsia="es-GT"/>
              </w:rPr>
            </w:pPr>
            <w:r w:rsidRPr="00D14DB7">
              <w:rPr>
                <w:sz w:val="22"/>
                <w:szCs w:val="20"/>
                <w:lang w:val="es-GT" w:eastAsia="es-GT"/>
              </w:rPr>
              <w:t>6.8%</w:t>
            </w:r>
          </w:p>
        </w:tc>
      </w:tr>
      <w:tr w:rsidR="00E65A70" w:rsidRPr="00D14DB7" w14:paraId="207FFD0E" w14:textId="77777777" w:rsidTr="00D14DB7">
        <w:trPr>
          <w:trHeight w:val="319"/>
        </w:trPr>
        <w:tc>
          <w:tcPr>
            <w:tcW w:w="4673" w:type="dxa"/>
            <w:shd w:val="clear" w:color="000000" w:fill="FFFFFF"/>
            <w:noWrap/>
            <w:vAlign w:val="center"/>
            <w:hideMark/>
          </w:tcPr>
          <w:p w14:paraId="074C89E6" w14:textId="77777777" w:rsidR="00E65A70" w:rsidRPr="00D14DB7" w:rsidRDefault="00E65A70" w:rsidP="00BF2538">
            <w:pPr>
              <w:ind w:firstLineChars="200" w:firstLine="442"/>
              <w:rPr>
                <w:b/>
                <w:bCs/>
                <w:sz w:val="22"/>
                <w:szCs w:val="20"/>
                <w:lang w:val="es-GT" w:eastAsia="es-GT"/>
              </w:rPr>
            </w:pPr>
            <w:r w:rsidRPr="00D14DB7">
              <w:rPr>
                <w:b/>
                <w:bCs/>
                <w:sz w:val="22"/>
                <w:szCs w:val="20"/>
                <w:lang w:val="es-GT" w:eastAsia="es-GT"/>
              </w:rPr>
              <w:t>Impuestos Internos</w:t>
            </w:r>
          </w:p>
        </w:tc>
        <w:tc>
          <w:tcPr>
            <w:tcW w:w="1276" w:type="dxa"/>
            <w:shd w:val="clear" w:color="000000" w:fill="FFFFFF"/>
            <w:noWrap/>
            <w:vAlign w:val="center"/>
            <w:hideMark/>
          </w:tcPr>
          <w:p w14:paraId="1E53010B" w14:textId="77777777" w:rsidR="00E65A70" w:rsidRPr="00D14DB7" w:rsidRDefault="00E65A70" w:rsidP="00BF2538">
            <w:pPr>
              <w:jc w:val="right"/>
              <w:rPr>
                <w:b/>
                <w:bCs/>
                <w:sz w:val="22"/>
                <w:szCs w:val="20"/>
                <w:lang w:val="es-GT" w:eastAsia="es-GT"/>
              </w:rPr>
            </w:pPr>
            <w:r w:rsidRPr="00D14DB7">
              <w:rPr>
                <w:b/>
                <w:bCs/>
                <w:sz w:val="22"/>
                <w:szCs w:val="20"/>
                <w:lang w:val="es-GT" w:eastAsia="es-GT"/>
              </w:rPr>
              <w:t>28,717.8</w:t>
            </w:r>
          </w:p>
        </w:tc>
        <w:tc>
          <w:tcPr>
            <w:tcW w:w="1276" w:type="dxa"/>
            <w:shd w:val="clear" w:color="000000" w:fill="FFFFFF"/>
            <w:noWrap/>
            <w:vAlign w:val="center"/>
            <w:hideMark/>
          </w:tcPr>
          <w:p w14:paraId="715BC2B8" w14:textId="77777777" w:rsidR="00E65A70" w:rsidRPr="00D14DB7" w:rsidRDefault="00E65A70" w:rsidP="00BF2538">
            <w:pPr>
              <w:jc w:val="right"/>
              <w:rPr>
                <w:b/>
                <w:bCs/>
                <w:sz w:val="22"/>
                <w:szCs w:val="20"/>
                <w:lang w:val="es-GT" w:eastAsia="es-GT"/>
              </w:rPr>
            </w:pPr>
            <w:r w:rsidRPr="00D14DB7">
              <w:rPr>
                <w:b/>
                <w:bCs/>
                <w:sz w:val="22"/>
                <w:szCs w:val="20"/>
                <w:lang w:val="es-GT" w:eastAsia="es-GT"/>
              </w:rPr>
              <w:t>32,712.4</w:t>
            </w:r>
          </w:p>
        </w:tc>
        <w:tc>
          <w:tcPr>
            <w:tcW w:w="1271" w:type="dxa"/>
            <w:shd w:val="clear" w:color="000000" w:fill="FFFFFF"/>
            <w:noWrap/>
            <w:vAlign w:val="center"/>
            <w:hideMark/>
          </w:tcPr>
          <w:p w14:paraId="684A0C7B" w14:textId="77777777" w:rsidR="00E65A70" w:rsidRPr="00D14DB7" w:rsidRDefault="00E65A70" w:rsidP="00BF2538">
            <w:pPr>
              <w:jc w:val="right"/>
              <w:rPr>
                <w:b/>
                <w:bCs/>
                <w:sz w:val="22"/>
                <w:szCs w:val="20"/>
                <w:lang w:val="es-GT" w:eastAsia="es-GT"/>
              </w:rPr>
            </w:pPr>
            <w:r w:rsidRPr="00D14DB7">
              <w:rPr>
                <w:b/>
                <w:bCs/>
                <w:sz w:val="22"/>
                <w:szCs w:val="20"/>
                <w:lang w:val="es-GT" w:eastAsia="es-GT"/>
              </w:rPr>
              <w:t>3,994.6</w:t>
            </w:r>
          </w:p>
        </w:tc>
        <w:tc>
          <w:tcPr>
            <w:tcW w:w="1120" w:type="dxa"/>
            <w:shd w:val="clear" w:color="000000" w:fill="FFFFFF"/>
            <w:noWrap/>
            <w:vAlign w:val="center"/>
            <w:hideMark/>
          </w:tcPr>
          <w:p w14:paraId="7BCDC809" w14:textId="77777777" w:rsidR="00E65A70" w:rsidRPr="00D14DB7" w:rsidRDefault="00E65A70" w:rsidP="00BF2538">
            <w:pPr>
              <w:jc w:val="right"/>
              <w:rPr>
                <w:b/>
                <w:bCs/>
                <w:sz w:val="22"/>
                <w:szCs w:val="20"/>
                <w:lang w:val="es-GT" w:eastAsia="es-GT"/>
              </w:rPr>
            </w:pPr>
            <w:r w:rsidRPr="00D14DB7">
              <w:rPr>
                <w:b/>
                <w:bCs/>
                <w:sz w:val="22"/>
                <w:szCs w:val="20"/>
                <w:lang w:val="es-GT" w:eastAsia="es-GT"/>
              </w:rPr>
              <w:t>13.9%</w:t>
            </w:r>
          </w:p>
        </w:tc>
      </w:tr>
      <w:tr w:rsidR="00E65A70" w:rsidRPr="00D14DB7" w14:paraId="2B9A33F3" w14:textId="77777777" w:rsidTr="00D14DB7">
        <w:trPr>
          <w:trHeight w:val="319"/>
        </w:trPr>
        <w:tc>
          <w:tcPr>
            <w:tcW w:w="4673" w:type="dxa"/>
            <w:shd w:val="clear" w:color="000000" w:fill="FFFFFF"/>
            <w:noWrap/>
            <w:vAlign w:val="bottom"/>
            <w:hideMark/>
          </w:tcPr>
          <w:p w14:paraId="691BB842"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Impuesto sobre la Renta</w:t>
            </w:r>
          </w:p>
        </w:tc>
        <w:tc>
          <w:tcPr>
            <w:tcW w:w="1276" w:type="dxa"/>
            <w:shd w:val="clear" w:color="000000" w:fill="FFFFFF"/>
            <w:noWrap/>
            <w:vAlign w:val="bottom"/>
            <w:hideMark/>
          </w:tcPr>
          <w:p w14:paraId="6778A254" w14:textId="77777777" w:rsidR="00E65A70" w:rsidRPr="00D14DB7" w:rsidRDefault="00E65A70" w:rsidP="00BF2538">
            <w:pPr>
              <w:jc w:val="right"/>
              <w:rPr>
                <w:sz w:val="22"/>
                <w:szCs w:val="20"/>
                <w:lang w:val="es-GT" w:eastAsia="es-GT"/>
              </w:rPr>
            </w:pPr>
            <w:r w:rsidRPr="00D14DB7">
              <w:rPr>
                <w:sz w:val="22"/>
                <w:szCs w:val="20"/>
                <w:lang w:val="es-GT" w:eastAsia="es-GT"/>
              </w:rPr>
              <w:t>12,539.5</w:t>
            </w:r>
          </w:p>
        </w:tc>
        <w:tc>
          <w:tcPr>
            <w:tcW w:w="1276" w:type="dxa"/>
            <w:shd w:val="clear" w:color="000000" w:fill="FFFFFF"/>
            <w:noWrap/>
            <w:vAlign w:val="bottom"/>
            <w:hideMark/>
          </w:tcPr>
          <w:p w14:paraId="19F84F01" w14:textId="77777777" w:rsidR="00E65A70" w:rsidRPr="00D14DB7" w:rsidRDefault="00E65A70" w:rsidP="00BF2538">
            <w:pPr>
              <w:jc w:val="right"/>
              <w:rPr>
                <w:sz w:val="22"/>
                <w:szCs w:val="20"/>
                <w:lang w:val="es-GT" w:eastAsia="es-GT"/>
              </w:rPr>
            </w:pPr>
            <w:r w:rsidRPr="00D14DB7">
              <w:rPr>
                <w:sz w:val="22"/>
                <w:szCs w:val="20"/>
                <w:lang w:val="es-GT" w:eastAsia="es-GT"/>
              </w:rPr>
              <w:t>13,920.2</w:t>
            </w:r>
          </w:p>
        </w:tc>
        <w:tc>
          <w:tcPr>
            <w:tcW w:w="1271" w:type="dxa"/>
            <w:shd w:val="clear" w:color="000000" w:fill="FFFFFF"/>
            <w:noWrap/>
            <w:vAlign w:val="bottom"/>
            <w:hideMark/>
          </w:tcPr>
          <w:p w14:paraId="65FB8EB6" w14:textId="77777777" w:rsidR="00E65A70" w:rsidRPr="00D14DB7" w:rsidRDefault="00E65A70" w:rsidP="00BF2538">
            <w:pPr>
              <w:jc w:val="right"/>
              <w:rPr>
                <w:sz w:val="22"/>
                <w:szCs w:val="20"/>
                <w:lang w:val="es-GT" w:eastAsia="es-GT"/>
              </w:rPr>
            </w:pPr>
            <w:r w:rsidRPr="00D14DB7">
              <w:rPr>
                <w:sz w:val="22"/>
                <w:szCs w:val="20"/>
                <w:lang w:val="es-GT" w:eastAsia="es-GT"/>
              </w:rPr>
              <w:t>1,380.7</w:t>
            </w:r>
          </w:p>
        </w:tc>
        <w:tc>
          <w:tcPr>
            <w:tcW w:w="1120" w:type="dxa"/>
            <w:shd w:val="clear" w:color="000000" w:fill="FFFFFF"/>
            <w:noWrap/>
            <w:vAlign w:val="bottom"/>
            <w:hideMark/>
          </w:tcPr>
          <w:p w14:paraId="7E9EC28A" w14:textId="77777777" w:rsidR="00E65A70" w:rsidRPr="00D14DB7" w:rsidRDefault="00E65A70" w:rsidP="00BF2538">
            <w:pPr>
              <w:jc w:val="right"/>
              <w:rPr>
                <w:sz w:val="22"/>
                <w:szCs w:val="20"/>
                <w:lang w:val="es-GT" w:eastAsia="es-GT"/>
              </w:rPr>
            </w:pPr>
            <w:r w:rsidRPr="00D14DB7">
              <w:rPr>
                <w:sz w:val="22"/>
                <w:szCs w:val="20"/>
                <w:lang w:val="es-GT" w:eastAsia="es-GT"/>
              </w:rPr>
              <w:t>11.0%</w:t>
            </w:r>
          </w:p>
        </w:tc>
      </w:tr>
      <w:tr w:rsidR="00E65A70" w:rsidRPr="00D14DB7" w14:paraId="2FF8204A" w14:textId="77777777" w:rsidTr="00D14DB7">
        <w:trPr>
          <w:trHeight w:val="319"/>
        </w:trPr>
        <w:tc>
          <w:tcPr>
            <w:tcW w:w="4673" w:type="dxa"/>
            <w:shd w:val="clear" w:color="000000" w:fill="FFFFFF"/>
            <w:noWrap/>
            <w:vAlign w:val="bottom"/>
            <w:hideMark/>
          </w:tcPr>
          <w:p w14:paraId="55C7C904" w14:textId="763FF65A" w:rsidR="00E65A70" w:rsidRPr="00D14DB7" w:rsidRDefault="00E65A70" w:rsidP="00D14DB7">
            <w:pPr>
              <w:ind w:firstLineChars="288" w:firstLine="634"/>
              <w:rPr>
                <w:sz w:val="22"/>
                <w:szCs w:val="20"/>
                <w:lang w:val="es-GT" w:eastAsia="es-GT"/>
              </w:rPr>
            </w:pPr>
            <w:r w:rsidRPr="00D14DB7">
              <w:rPr>
                <w:sz w:val="22"/>
                <w:szCs w:val="20"/>
                <w:lang w:val="es-GT" w:eastAsia="es-GT"/>
              </w:rPr>
              <w:t xml:space="preserve">Impuesto sobre la </w:t>
            </w:r>
            <w:r w:rsidR="00D14DB7">
              <w:rPr>
                <w:sz w:val="22"/>
                <w:szCs w:val="20"/>
                <w:lang w:val="es-GT" w:eastAsia="es-GT"/>
              </w:rPr>
              <w:t>P</w:t>
            </w:r>
            <w:r w:rsidRPr="00D14DB7">
              <w:rPr>
                <w:sz w:val="22"/>
                <w:szCs w:val="20"/>
                <w:lang w:val="es-GT" w:eastAsia="es-GT"/>
              </w:rPr>
              <w:t>ropiedad y otros</w:t>
            </w:r>
          </w:p>
        </w:tc>
        <w:tc>
          <w:tcPr>
            <w:tcW w:w="1276" w:type="dxa"/>
            <w:shd w:val="clear" w:color="000000" w:fill="FFFFFF"/>
            <w:noWrap/>
            <w:vAlign w:val="bottom"/>
            <w:hideMark/>
          </w:tcPr>
          <w:p w14:paraId="6C779330" w14:textId="77777777" w:rsidR="00E65A70" w:rsidRPr="00D14DB7" w:rsidRDefault="00E65A70" w:rsidP="00BF2538">
            <w:pPr>
              <w:jc w:val="right"/>
              <w:rPr>
                <w:sz w:val="22"/>
                <w:szCs w:val="20"/>
                <w:lang w:val="es-GT" w:eastAsia="es-GT"/>
              </w:rPr>
            </w:pPr>
            <w:r w:rsidRPr="00D14DB7">
              <w:rPr>
                <w:sz w:val="22"/>
                <w:szCs w:val="20"/>
                <w:lang w:val="es-GT" w:eastAsia="es-GT"/>
              </w:rPr>
              <w:t>17.4</w:t>
            </w:r>
          </w:p>
        </w:tc>
        <w:tc>
          <w:tcPr>
            <w:tcW w:w="1276" w:type="dxa"/>
            <w:shd w:val="clear" w:color="000000" w:fill="FFFFFF"/>
            <w:noWrap/>
            <w:vAlign w:val="bottom"/>
            <w:hideMark/>
          </w:tcPr>
          <w:p w14:paraId="4256987D" w14:textId="77777777" w:rsidR="00E65A70" w:rsidRPr="00D14DB7" w:rsidRDefault="00E65A70" w:rsidP="00BF2538">
            <w:pPr>
              <w:jc w:val="right"/>
              <w:rPr>
                <w:sz w:val="22"/>
                <w:szCs w:val="20"/>
                <w:lang w:val="es-GT" w:eastAsia="es-GT"/>
              </w:rPr>
            </w:pPr>
            <w:r w:rsidRPr="00D14DB7">
              <w:rPr>
                <w:sz w:val="22"/>
                <w:szCs w:val="20"/>
                <w:lang w:val="es-GT" w:eastAsia="es-GT"/>
              </w:rPr>
              <w:t>15.7</w:t>
            </w:r>
          </w:p>
        </w:tc>
        <w:tc>
          <w:tcPr>
            <w:tcW w:w="1271" w:type="dxa"/>
            <w:shd w:val="clear" w:color="000000" w:fill="FFFFFF"/>
            <w:noWrap/>
            <w:vAlign w:val="bottom"/>
            <w:hideMark/>
          </w:tcPr>
          <w:p w14:paraId="0F24DD96" w14:textId="77777777" w:rsidR="00E65A70" w:rsidRPr="00D14DB7" w:rsidRDefault="00E65A70" w:rsidP="00BF2538">
            <w:pPr>
              <w:jc w:val="right"/>
              <w:rPr>
                <w:sz w:val="22"/>
                <w:szCs w:val="20"/>
                <w:lang w:val="es-GT" w:eastAsia="es-GT"/>
              </w:rPr>
            </w:pPr>
            <w:r w:rsidRPr="00D14DB7">
              <w:rPr>
                <w:sz w:val="22"/>
                <w:szCs w:val="20"/>
                <w:lang w:val="es-GT" w:eastAsia="es-GT"/>
              </w:rPr>
              <w:t>-1.7</w:t>
            </w:r>
          </w:p>
        </w:tc>
        <w:tc>
          <w:tcPr>
            <w:tcW w:w="1120" w:type="dxa"/>
            <w:shd w:val="clear" w:color="000000" w:fill="FFFFFF"/>
            <w:noWrap/>
            <w:vAlign w:val="bottom"/>
            <w:hideMark/>
          </w:tcPr>
          <w:p w14:paraId="145585BB" w14:textId="77777777" w:rsidR="00E65A70" w:rsidRPr="00D14DB7" w:rsidRDefault="00E65A70" w:rsidP="00BF2538">
            <w:pPr>
              <w:jc w:val="right"/>
              <w:rPr>
                <w:sz w:val="22"/>
                <w:szCs w:val="20"/>
                <w:lang w:val="es-GT" w:eastAsia="es-GT"/>
              </w:rPr>
            </w:pPr>
            <w:r w:rsidRPr="00D14DB7">
              <w:rPr>
                <w:sz w:val="22"/>
                <w:szCs w:val="20"/>
                <w:lang w:val="es-GT" w:eastAsia="es-GT"/>
              </w:rPr>
              <w:t>-10.0%</w:t>
            </w:r>
          </w:p>
        </w:tc>
      </w:tr>
      <w:tr w:rsidR="00E65A70" w:rsidRPr="00D14DB7" w14:paraId="5BB989C0" w14:textId="77777777" w:rsidTr="00D14DB7">
        <w:trPr>
          <w:trHeight w:val="319"/>
        </w:trPr>
        <w:tc>
          <w:tcPr>
            <w:tcW w:w="4673" w:type="dxa"/>
            <w:shd w:val="clear" w:color="000000" w:fill="FFFFFF"/>
            <w:noWrap/>
            <w:vAlign w:val="bottom"/>
            <w:hideMark/>
          </w:tcPr>
          <w:p w14:paraId="5CFB8A0D"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Impuesto a las Empresas Mercantiles</w:t>
            </w:r>
          </w:p>
        </w:tc>
        <w:tc>
          <w:tcPr>
            <w:tcW w:w="1276" w:type="dxa"/>
            <w:shd w:val="clear" w:color="000000" w:fill="FFFFFF"/>
            <w:noWrap/>
            <w:vAlign w:val="bottom"/>
            <w:hideMark/>
          </w:tcPr>
          <w:p w14:paraId="38EC0664" w14:textId="77777777" w:rsidR="00E65A70" w:rsidRPr="00D14DB7" w:rsidRDefault="00E65A70" w:rsidP="00BF2538">
            <w:pPr>
              <w:jc w:val="right"/>
              <w:rPr>
                <w:sz w:val="22"/>
                <w:szCs w:val="20"/>
                <w:lang w:val="es-GT" w:eastAsia="es-GT"/>
              </w:rPr>
            </w:pPr>
            <w:r w:rsidRPr="00D14DB7">
              <w:rPr>
                <w:sz w:val="22"/>
                <w:szCs w:val="20"/>
                <w:lang w:val="es-GT" w:eastAsia="es-GT"/>
              </w:rPr>
              <w:t>0.2</w:t>
            </w:r>
          </w:p>
        </w:tc>
        <w:tc>
          <w:tcPr>
            <w:tcW w:w="1276" w:type="dxa"/>
            <w:shd w:val="clear" w:color="000000" w:fill="FFFFFF"/>
            <w:noWrap/>
            <w:vAlign w:val="bottom"/>
            <w:hideMark/>
          </w:tcPr>
          <w:p w14:paraId="51BDF2DC" w14:textId="77777777" w:rsidR="00E65A70" w:rsidRPr="00D14DB7" w:rsidRDefault="00E65A70" w:rsidP="00BF2538">
            <w:pPr>
              <w:jc w:val="right"/>
              <w:rPr>
                <w:sz w:val="22"/>
                <w:szCs w:val="20"/>
                <w:lang w:val="es-GT" w:eastAsia="es-GT"/>
              </w:rPr>
            </w:pPr>
            <w:r w:rsidRPr="00D14DB7">
              <w:rPr>
                <w:sz w:val="22"/>
                <w:szCs w:val="20"/>
                <w:lang w:val="es-GT" w:eastAsia="es-GT"/>
              </w:rPr>
              <w:t>0.1</w:t>
            </w:r>
          </w:p>
        </w:tc>
        <w:tc>
          <w:tcPr>
            <w:tcW w:w="1271" w:type="dxa"/>
            <w:shd w:val="clear" w:color="000000" w:fill="FFFFFF"/>
            <w:noWrap/>
            <w:vAlign w:val="bottom"/>
            <w:hideMark/>
          </w:tcPr>
          <w:p w14:paraId="7F1AB52A" w14:textId="77777777" w:rsidR="00E65A70" w:rsidRPr="00D14DB7" w:rsidRDefault="00E65A70" w:rsidP="00BF2538">
            <w:pPr>
              <w:jc w:val="right"/>
              <w:rPr>
                <w:sz w:val="22"/>
                <w:szCs w:val="20"/>
                <w:lang w:val="es-GT" w:eastAsia="es-GT"/>
              </w:rPr>
            </w:pPr>
            <w:r w:rsidRPr="00D14DB7">
              <w:rPr>
                <w:sz w:val="22"/>
                <w:szCs w:val="20"/>
                <w:lang w:val="es-GT" w:eastAsia="es-GT"/>
              </w:rPr>
              <w:t>-0.1</w:t>
            </w:r>
          </w:p>
        </w:tc>
        <w:tc>
          <w:tcPr>
            <w:tcW w:w="1120" w:type="dxa"/>
            <w:shd w:val="clear" w:color="000000" w:fill="FFFFFF"/>
            <w:noWrap/>
            <w:vAlign w:val="bottom"/>
            <w:hideMark/>
          </w:tcPr>
          <w:p w14:paraId="3EA504E5" w14:textId="77777777" w:rsidR="00E65A70" w:rsidRPr="00D14DB7" w:rsidRDefault="00E65A70" w:rsidP="00BF2538">
            <w:pPr>
              <w:jc w:val="right"/>
              <w:rPr>
                <w:sz w:val="22"/>
                <w:szCs w:val="20"/>
                <w:lang w:val="es-GT" w:eastAsia="es-GT"/>
              </w:rPr>
            </w:pPr>
            <w:r w:rsidRPr="00D14DB7">
              <w:rPr>
                <w:sz w:val="22"/>
                <w:szCs w:val="20"/>
                <w:lang w:val="es-GT" w:eastAsia="es-GT"/>
              </w:rPr>
              <w:t>-44.6%</w:t>
            </w:r>
          </w:p>
        </w:tc>
      </w:tr>
      <w:tr w:rsidR="00E65A70" w:rsidRPr="00D14DB7" w14:paraId="69993470" w14:textId="77777777" w:rsidTr="00D14DB7">
        <w:trPr>
          <w:trHeight w:val="319"/>
        </w:trPr>
        <w:tc>
          <w:tcPr>
            <w:tcW w:w="4673" w:type="dxa"/>
            <w:shd w:val="clear" w:color="000000" w:fill="FFFFFF"/>
            <w:noWrap/>
            <w:vAlign w:val="center"/>
            <w:hideMark/>
          </w:tcPr>
          <w:p w14:paraId="77E66C4E" w14:textId="2843D0A8" w:rsidR="00E65A70" w:rsidRPr="00D14DB7" w:rsidRDefault="00E65A70" w:rsidP="00D14DB7">
            <w:pPr>
              <w:ind w:firstLineChars="288" w:firstLine="634"/>
              <w:rPr>
                <w:sz w:val="22"/>
                <w:szCs w:val="20"/>
                <w:lang w:val="es-GT" w:eastAsia="es-GT"/>
              </w:rPr>
            </w:pPr>
            <w:r w:rsidRPr="00D14DB7">
              <w:rPr>
                <w:sz w:val="22"/>
                <w:szCs w:val="20"/>
                <w:lang w:val="es-GT" w:eastAsia="es-GT"/>
              </w:rPr>
              <w:t>Impuesto Extraordinario y Temporal</w:t>
            </w:r>
          </w:p>
        </w:tc>
        <w:tc>
          <w:tcPr>
            <w:tcW w:w="1276" w:type="dxa"/>
            <w:shd w:val="clear" w:color="000000" w:fill="FFFFFF"/>
            <w:noWrap/>
            <w:vAlign w:val="bottom"/>
            <w:hideMark/>
          </w:tcPr>
          <w:p w14:paraId="5DD5D935" w14:textId="77777777" w:rsidR="00E65A70" w:rsidRPr="00D14DB7" w:rsidRDefault="00E65A70" w:rsidP="00BF2538">
            <w:pPr>
              <w:jc w:val="right"/>
              <w:rPr>
                <w:sz w:val="22"/>
                <w:szCs w:val="20"/>
                <w:lang w:val="es-GT" w:eastAsia="es-GT"/>
              </w:rPr>
            </w:pPr>
            <w:r w:rsidRPr="00D14DB7">
              <w:rPr>
                <w:sz w:val="22"/>
                <w:szCs w:val="20"/>
                <w:lang w:val="es-GT" w:eastAsia="es-GT"/>
              </w:rPr>
              <w:t>1.9</w:t>
            </w:r>
          </w:p>
        </w:tc>
        <w:tc>
          <w:tcPr>
            <w:tcW w:w="1276" w:type="dxa"/>
            <w:shd w:val="clear" w:color="000000" w:fill="FFFFFF"/>
            <w:noWrap/>
            <w:vAlign w:val="bottom"/>
            <w:hideMark/>
          </w:tcPr>
          <w:p w14:paraId="6FFA9D3E" w14:textId="77777777" w:rsidR="00E65A70" w:rsidRPr="00D14DB7" w:rsidRDefault="00E65A70" w:rsidP="00BF2538">
            <w:pPr>
              <w:jc w:val="right"/>
              <w:rPr>
                <w:sz w:val="22"/>
                <w:szCs w:val="20"/>
                <w:lang w:val="es-GT" w:eastAsia="es-GT"/>
              </w:rPr>
            </w:pPr>
            <w:r w:rsidRPr="00D14DB7">
              <w:rPr>
                <w:sz w:val="22"/>
                <w:szCs w:val="20"/>
                <w:lang w:val="es-GT" w:eastAsia="es-GT"/>
              </w:rPr>
              <w:t>4.9</w:t>
            </w:r>
          </w:p>
        </w:tc>
        <w:tc>
          <w:tcPr>
            <w:tcW w:w="1271" w:type="dxa"/>
            <w:shd w:val="clear" w:color="000000" w:fill="FFFFFF"/>
            <w:noWrap/>
            <w:vAlign w:val="bottom"/>
            <w:hideMark/>
          </w:tcPr>
          <w:p w14:paraId="7C6F4F4D" w14:textId="77777777" w:rsidR="00E65A70" w:rsidRPr="00D14DB7" w:rsidRDefault="00E65A70" w:rsidP="00BF2538">
            <w:pPr>
              <w:jc w:val="right"/>
              <w:rPr>
                <w:sz w:val="22"/>
                <w:szCs w:val="20"/>
                <w:lang w:val="es-GT" w:eastAsia="es-GT"/>
              </w:rPr>
            </w:pPr>
            <w:r w:rsidRPr="00D14DB7">
              <w:rPr>
                <w:sz w:val="22"/>
                <w:szCs w:val="20"/>
                <w:lang w:val="es-GT" w:eastAsia="es-GT"/>
              </w:rPr>
              <w:t>3.0</w:t>
            </w:r>
          </w:p>
        </w:tc>
        <w:tc>
          <w:tcPr>
            <w:tcW w:w="1120" w:type="dxa"/>
            <w:shd w:val="clear" w:color="000000" w:fill="FFFFFF"/>
            <w:noWrap/>
            <w:vAlign w:val="bottom"/>
            <w:hideMark/>
          </w:tcPr>
          <w:p w14:paraId="55423FDF" w14:textId="77777777" w:rsidR="00E65A70" w:rsidRPr="00D14DB7" w:rsidRDefault="00E65A70" w:rsidP="00BF2538">
            <w:pPr>
              <w:jc w:val="right"/>
              <w:rPr>
                <w:sz w:val="22"/>
                <w:szCs w:val="20"/>
                <w:lang w:val="es-GT" w:eastAsia="es-GT"/>
              </w:rPr>
            </w:pPr>
            <w:r w:rsidRPr="00D14DB7">
              <w:rPr>
                <w:sz w:val="22"/>
                <w:szCs w:val="20"/>
                <w:lang w:val="es-GT" w:eastAsia="es-GT"/>
              </w:rPr>
              <w:t>162.4%</w:t>
            </w:r>
          </w:p>
        </w:tc>
      </w:tr>
      <w:tr w:rsidR="00E65A70" w:rsidRPr="00D14DB7" w14:paraId="1E09267C" w14:textId="77777777" w:rsidTr="00D14DB7">
        <w:trPr>
          <w:trHeight w:val="319"/>
        </w:trPr>
        <w:tc>
          <w:tcPr>
            <w:tcW w:w="4673" w:type="dxa"/>
            <w:shd w:val="clear" w:color="000000" w:fill="FFFFFF"/>
            <w:noWrap/>
            <w:vAlign w:val="center"/>
            <w:hideMark/>
          </w:tcPr>
          <w:p w14:paraId="357D9224"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Impuesto de Solidaridad</w:t>
            </w:r>
          </w:p>
        </w:tc>
        <w:tc>
          <w:tcPr>
            <w:tcW w:w="1276" w:type="dxa"/>
            <w:shd w:val="clear" w:color="000000" w:fill="FFFFFF"/>
            <w:noWrap/>
            <w:vAlign w:val="bottom"/>
            <w:hideMark/>
          </w:tcPr>
          <w:p w14:paraId="2D5C46AC" w14:textId="77777777" w:rsidR="00E65A70" w:rsidRPr="00D14DB7" w:rsidRDefault="00E65A70" w:rsidP="00BF2538">
            <w:pPr>
              <w:jc w:val="right"/>
              <w:rPr>
                <w:sz w:val="22"/>
                <w:szCs w:val="20"/>
                <w:lang w:val="es-GT" w:eastAsia="es-GT"/>
              </w:rPr>
            </w:pPr>
            <w:r w:rsidRPr="00D14DB7">
              <w:rPr>
                <w:sz w:val="22"/>
                <w:szCs w:val="20"/>
                <w:lang w:val="es-GT" w:eastAsia="es-GT"/>
              </w:rPr>
              <w:t>2,839.2</w:t>
            </w:r>
          </w:p>
        </w:tc>
        <w:tc>
          <w:tcPr>
            <w:tcW w:w="1276" w:type="dxa"/>
            <w:shd w:val="clear" w:color="000000" w:fill="FFFFFF"/>
            <w:noWrap/>
            <w:vAlign w:val="bottom"/>
            <w:hideMark/>
          </w:tcPr>
          <w:p w14:paraId="480FF4EC" w14:textId="77777777" w:rsidR="00E65A70" w:rsidRPr="00D14DB7" w:rsidRDefault="00E65A70" w:rsidP="00BF2538">
            <w:pPr>
              <w:jc w:val="right"/>
              <w:rPr>
                <w:sz w:val="22"/>
                <w:szCs w:val="20"/>
                <w:lang w:val="es-GT" w:eastAsia="es-GT"/>
              </w:rPr>
            </w:pPr>
            <w:r w:rsidRPr="00D14DB7">
              <w:rPr>
                <w:sz w:val="22"/>
                <w:szCs w:val="20"/>
                <w:lang w:val="es-GT" w:eastAsia="es-GT"/>
              </w:rPr>
              <w:t>3,398.6</w:t>
            </w:r>
          </w:p>
        </w:tc>
        <w:tc>
          <w:tcPr>
            <w:tcW w:w="1271" w:type="dxa"/>
            <w:shd w:val="clear" w:color="000000" w:fill="FFFFFF"/>
            <w:noWrap/>
            <w:vAlign w:val="bottom"/>
            <w:hideMark/>
          </w:tcPr>
          <w:p w14:paraId="2733E3AB" w14:textId="77777777" w:rsidR="00E65A70" w:rsidRPr="00D14DB7" w:rsidRDefault="00E65A70" w:rsidP="00BF2538">
            <w:pPr>
              <w:jc w:val="right"/>
              <w:rPr>
                <w:sz w:val="22"/>
                <w:szCs w:val="20"/>
                <w:lang w:val="es-GT" w:eastAsia="es-GT"/>
              </w:rPr>
            </w:pPr>
            <w:r w:rsidRPr="00D14DB7">
              <w:rPr>
                <w:sz w:val="22"/>
                <w:szCs w:val="20"/>
                <w:lang w:val="es-GT" w:eastAsia="es-GT"/>
              </w:rPr>
              <w:t>559.4</w:t>
            </w:r>
          </w:p>
        </w:tc>
        <w:tc>
          <w:tcPr>
            <w:tcW w:w="1120" w:type="dxa"/>
            <w:shd w:val="clear" w:color="000000" w:fill="FFFFFF"/>
            <w:noWrap/>
            <w:vAlign w:val="bottom"/>
            <w:hideMark/>
          </w:tcPr>
          <w:p w14:paraId="0CB1DA1C" w14:textId="77777777" w:rsidR="00E65A70" w:rsidRPr="00D14DB7" w:rsidRDefault="00E65A70" w:rsidP="00BF2538">
            <w:pPr>
              <w:jc w:val="right"/>
              <w:rPr>
                <w:sz w:val="22"/>
                <w:szCs w:val="20"/>
                <w:lang w:val="es-GT" w:eastAsia="es-GT"/>
              </w:rPr>
            </w:pPr>
            <w:r w:rsidRPr="00D14DB7">
              <w:rPr>
                <w:sz w:val="22"/>
                <w:szCs w:val="20"/>
                <w:lang w:val="es-GT" w:eastAsia="es-GT"/>
              </w:rPr>
              <w:t>19.7%</w:t>
            </w:r>
          </w:p>
        </w:tc>
      </w:tr>
      <w:tr w:rsidR="00E65A70" w:rsidRPr="00D14DB7" w14:paraId="4137D60A" w14:textId="77777777" w:rsidTr="00D14DB7">
        <w:trPr>
          <w:trHeight w:val="270"/>
        </w:trPr>
        <w:tc>
          <w:tcPr>
            <w:tcW w:w="4673" w:type="dxa"/>
            <w:shd w:val="clear" w:color="000000" w:fill="FFFFFF"/>
            <w:noWrap/>
            <w:vAlign w:val="bottom"/>
            <w:hideMark/>
          </w:tcPr>
          <w:p w14:paraId="6016335E"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Impuesto al Valor Agregado Doméstico</w:t>
            </w:r>
          </w:p>
        </w:tc>
        <w:tc>
          <w:tcPr>
            <w:tcW w:w="1276" w:type="dxa"/>
            <w:shd w:val="clear" w:color="000000" w:fill="FFFFFF"/>
            <w:noWrap/>
            <w:vAlign w:val="bottom"/>
            <w:hideMark/>
          </w:tcPr>
          <w:p w14:paraId="4EBD928F" w14:textId="77777777" w:rsidR="00E65A70" w:rsidRPr="00D14DB7" w:rsidRDefault="00E65A70" w:rsidP="00BF2538">
            <w:pPr>
              <w:jc w:val="right"/>
              <w:rPr>
                <w:sz w:val="22"/>
                <w:szCs w:val="20"/>
                <w:lang w:val="es-GT" w:eastAsia="es-GT"/>
              </w:rPr>
            </w:pPr>
            <w:r w:rsidRPr="00D14DB7">
              <w:rPr>
                <w:sz w:val="22"/>
                <w:szCs w:val="20"/>
                <w:lang w:val="es-GT" w:eastAsia="es-GT"/>
              </w:rPr>
              <w:t>8,732.8</w:t>
            </w:r>
          </w:p>
        </w:tc>
        <w:tc>
          <w:tcPr>
            <w:tcW w:w="1276" w:type="dxa"/>
            <w:shd w:val="clear" w:color="000000" w:fill="FFFFFF"/>
            <w:noWrap/>
            <w:vAlign w:val="bottom"/>
            <w:hideMark/>
          </w:tcPr>
          <w:p w14:paraId="59AC69FD" w14:textId="77777777" w:rsidR="00E65A70" w:rsidRPr="00D14DB7" w:rsidRDefault="00E65A70" w:rsidP="00BF2538">
            <w:pPr>
              <w:jc w:val="right"/>
              <w:rPr>
                <w:sz w:val="22"/>
                <w:szCs w:val="20"/>
                <w:lang w:val="es-GT" w:eastAsia="es-GT"/>
              </w:rPr>
            </w:pPr>
            <w:r w:rsidRPr="00D14DB7">
              <w:rPr>
                <w:sz w:val="22"/>
                <w:szCs w:val="20"/>
                <w:lang w:val="es-GT" w:eastAsia="es-GT"/>
              </w:rPr>
              <w:t>10,470.4</w:t>
            </w:r>
          </w:p>
        </w:tc>
        <w:tc>
          <w:tcPr>
            <w:tcW w:w="1271" w:type="dxa"/>
            <w:shd w:val="clear" w:color="000000" w:fill="FFFFFF"/>
            <w:noWrap/>
            <w:vAlign w:val="bottom"/>
            <w:hideMark/>
          </w:tcPr>
          <w:p w14:paraId="466AFA48" w14:textId="77777777" w:rsidR="00E65A70" w:rsidRPr="00D14DB7" w:rsidRDefault="00E65A70" w:rsidP="00BF2538">
            <w:pPr>
              <w:jc w:val="right"/>
              <w:rPr>
                <w:sz w:val="22"/>
                <w:szCs w:val="20"/>
                <w:lang w:val="es-GT" w:eastAsia="es-GT"/>
              </w:rPr>
            </w:pPr>
            <w:r w:rsidRPr="00D14DB7">
              <w:rPr>
                <w:sz w:val="22"/>
                <w:szCs w:val="20"/>
                <w:lang w:val="es-GT" w:eastAsia="es-GT"/>
              </w:rPr>
              <w:t>1,737.5</w:t>
            </w:r>
          </w:p>
        </w:tc>
        <w:tc>
          <w:tcPr>
            <w:tcW w:w="1120" w:type="dxa"/>
            <w:shd w:val="clear" w:color="000000" w:fill="FFFFFF"/>
            <w:noWrap/>
            <w:vAlign w:val="bottom"/>
            <w:hideMark/>
          </w:tcPr>
          <w:p w14:paraId="1110812A" w14:textId="77777777" w:rsidR="00E65A70" w:rsidRPr="00D14DB7" w:rsidRDefault="00E65A70" w:rsidP="00BF2538">
            <w:pPr>
              <w:jc w:val="right"/>
              <w:rPr>
                <w:sz w:val="22"/>
                <w:szCs w:val="20"/>
                <w:lang w:val="es-GT" w:eastAsia="es-GT"/>
              </w:rPr>
            </w:pPr>
            <w:r w:rsidRPr="00D14DB7">
              <w:rPr>
                <w:sz w:val="22"/>
                <w:szCs w:val="20"/>
                <w:lang w:val="es-GT" w:eastAsia="es-GT"/>
              </w:rPr>
              <w:t>19.9%</w:t>
            </w:r>
          </w:p>
        </w:tc>
      </w:tr>
      <w:tr w:rsidR="00E65A70" w:rsidRPr="00D14DB7" w14:paraId="5B5331DD" w14:textId="77777777" w:rsidTr="00D14DB7">
        <w:trPr>
          <w:trHeight w:val="319"/>
        </w:trPr>
        <w:tc>
          <w:tcPr>
            <w:tcW w:w="4673" w:type="dxa"/>
            <w:shd w:val="clear" w:color="000000" w:fill="FFFFFF"/>
            <w:noWrap/>
            <w:vAlign w:val="bottom"/>
            <w:hideMark/>
          </w:tcPr>
          <w:p w14:paraId="161B16CD"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Petróleo</w:t>
            </w:r>
          </w:p>
        </w:tc>
        <w:tc>
          <w:tcPr>
            <w:tcW w:w="1276" w:type="dxa"/>
            <w:shd w:val="clear" w:color="000000" w:fill="FFFFFF"/>
            <w:noWrap/>
            <w:vAlign w:val="bottom"/>
            <w:hideMark/>
          </w:tcPr>
          <w:p w14:paraId="28466FCB" w14:textId="77777777" w:rsidR="00E65A70" w:rsidRPr="00D14DB7" w:rsidRDefault="00E65A70" w:rsidP="00BF2538">
            <w:pPr>
              <w:jc w:val="right"/>
              <w:rPr>
                <w:sz w:val="22"/>
                <w:szCs w:val="20"/>
                <w:lang w:val="es-GT" w:eastAsia="es-GT"/>
              </w:rPr>
            </w:pPr>
            <w:r w:rsidRPr="00D14DB7">
              <w:rPr>
                <w:sz w:val="22"/>
                <w:szCs w:val="20"/>
                <w:lang w:val="es-GT" w:eastAsia="es-GT"/>
              </w:rPr>
              <w:t>2,008.8</w:t>
            </w:r>
          </w:p>
        </w:tc>
        <w:tc>
          <w:tcPr>
            <w:tcW w:w="1276" w:type="dxa"/>
            <w:shd w:val="clear" w:color="000000" w:fill="FFFFFF"/>
            <w:noWrap/>
            <w:vAlign w:val="bottom"/>
            <w:hideMark/>
          </w:tcPr>
          <w:p w14:paraId="313B96DD" w14:textId="77777777" w:rsidR="00E65A70" w:rsidRPr="00D14DB7" w:rsidRDefault="00E65A70" w:rsidP="00BF2538">
            <w:pPr>
              <w:jc w:val="right"/>
              <w:rPr>
                <w:sz w:val="22"/>
                <w:szCs w:val="20"/>
                <w:lang w:val="es-GT" w:eastAsia="es-GT"/>
              </w:rPr>
            </w:pPr>
            <w:r w:rsidRPr="00D14DB7">
              <w:rPr>
                <w:sz w:val="22"/>
                <w:szCs w:val="20"/>
                <w:lang w:val="es-GT" w:eastAsia="es-GT"/>
              </w:rPr>
              <w:t>2,158.2</w:t>
            </w:r>
          </w:p>
        </w:tc>
        <w:tc>
          <w:tcPr>
            <w:tcW w:w="1271" w:type="dxa"/>
            <w:shd w:val="clear" w:color="000000" w:fill="FFFFFF"/>
            <w:noWrap/>
            <w:vAlign w:val="bottom"/>
            <w:hideMark/>
          </w:tcPr>
          <w:p w14:paraId="56176723" w14:textId="77777777" w:rsidR="00E65A70" w:rsidRPr="00D14DB7" w:rsidRDefault="00E65A70" w:rsidP="00BF2538">
            <w:pPr>
              <w:jc w:val="right"/>
              <w:rPr>
                <w:sz w:val="22"/>
                <w:szCs w:val="20"/>
                <w:lang w:val="es-GT" w:eastAsia="es-GT"/>
              </w:rPr>
            </w:pPr>
            <w:r w:rsidRPr="00D14DB7">
              <w:rPr>
                <w:sz w:val="22"/>
                <w:szCs w:val="20"/>
                <w:lang w:val="es-GT" w:eastAsia="es-GT"/>
              </w:rPr>
              <w:t>149.4</w:t>
            </w:r>
          </w:p>
        </w:tc>
        <w:tc>
          <w:tcPr>
            <w:tcW w:w="1120" w:type="dxa"/>
            <w:shd w:val="clear" w:color="000000" w:fill="FFFFFF"/>
            <w:noWrap/>
            <w:vAlign w:val="bottom"/>
            <w:hideMark/>
          </w:tcPr>
          <w:p w14:paraId="5ADC9529" w14:textId="77777777" w:rsidR="00E65A70" w:rsidRPr="00D14DB7" w:rsidRDefault="00E65A70" w:rsidP="00BF2538">
            <w:pPr>
              <w:jc w:val="right"/>
              <w:rPr>
                <w:sz w:val="22"/>
                <w:szCs w:val="20"/>
                <w:lang w:val="es-GT" w:eastAsia="es-GT"/>
              </w:rPr>
            </w:pPr>
            <w:r w:rsidRPr="00D14DB7">
              <w:rPr>
                <w:sz w:val="22"/>
                <w:szCs w:val="20"/>
                <w:lang w:val="es-GT" w:eastAsia="es-GT"/>
              </w:rPr>
              <w:t>7.4%</w:t>
            </w:r>
          </w:p>
        </w:tc>
      </w:tr>
      <w:tr w:rsidR="00E65A70" w:rsidRPr="00D14DB7" w14:paraId="492B6E27" w14:textId="77777777" w:rsidTr="00D14DB7">
        <w:trPr>
          <w:trHeight w:val="319"/>
        </w:trPr>
        <w:tc>
          <w:tcPr>
            <w:tcW w:w="4673" w:type="dxa"/>
            <w:shd w:val="clear" w:color="000000" w:fill="FFFFFF"/>
            <w:noWrap/>
            <w:vAlign w:val="bottom"/>
            <w:hideMark/>
          </w:tcPr>
          <w:p w14:paraId="21ACE1AD"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Timbres Fiscales</w:t>
            </w:r>
          </w:p>
        </w:tc>
        <w:tc>
          <w:tcPr>
            <w:tcW w:w="1276" w:type="dxa"/>
            <w:shd w:val="clear" w:color="000000" w:fill="FFFFFF"/>
            <w:noWrap/>
            <w:vAlign w:val="bottom"/>
            <w:hideMark/>
          </w:tcPr>
          <w:p w14:paraId="005A5D07" w14:textId="77777777" w:rsidR="00E65A70" w:rsidRPr="00D14DB7" w:rsidRDefault="00E65A70" w:rsidP="00BF2538">
            <w:pPr>
              <w:jc w:val="right"/>
              <w:rPr>
                <w:sz w:val="22"/>
                <w:szCs w:val="20"/>
                <w:lang w:val="es-GT" w:eastAsia="es-GT"/>
              </w:rPr>
            </w:pPr>
            <w:r w:rsidRPr="00D14DB7">
              <w:rPr>
                <w:sz w:val="22"/>
                <w:szCs w:val="20"/>
                <w:lang w:val="es-GT" w:eastAsia="es-GT"/>
              </w:rPr>
              <w:t>294.5</w:t>
            </w:r>
          </w:p>
        </w:tc>
        <w:tc>
          <w:tcPr>
            <w:tcW w:w="1276" w:type="dxa"/>
            <w:shd w:val="clear" w:color="000000" w:fill="FFFFFF"/>
            <w:noWrap/>
            <w:vAlign w:val="bottom"/>
            <w:hideMark/>
          </w:tcPr>
          <w:p w14:paraId="25AF8B58" w14:textId="77777777" w:rsidR="00E65A70" w:rsidRPr="00D14DB7" w:rsidRDefault="00E65A70" w:rsidP="00BF2538">
            <w:pPr>
              <w:jc w:val="right"/>
              <w:rPr>
                <w:sz w:val="22"/>
                <w:szCs w:val="20"/>
                <w:lang w:val="es-GT" w:eastAsia="es-GT"/>
              </w:rPr>
            </w:pPr>
            <w:r w:rsidRPr="00D14DB7">
              <w:rPr>
                <w:sz w:val="22"/>
                <w:szCs w:val="20"/>
                <w:lang w:val="es-GT" w:eastAsia="es-GT"/>
              </w:rPr>
              <w:t>295.6</w:t>
            </w:r>
          </w:p>
        </w:tc>
        <w:tc>
          <w:tcPr>
            <w:tcW w:w="1271" w:type="dxa"/>
            <w:shd w:val="clear" w:color="000000" w:fill="FFFFFF"/>
            <w:noWrap/>
            <w:vAlign w:val="bottom"/>
            <w:hideMark/>
          </w:tcPr>
          <w:p w14:paraId="5A81727B" w14:textId="77777777" w:rsidR="00E65A70" w:rsidRPr="00D14DB7" w:rsidRDefault="00E65A70" w:rsidP="00BF2538">
            <w:pPr>
              <w:jc w:val="right"/>
              <w:rPr>
                <w:sz w:val="22"/>
                <w:szCs w:val="20"/>
                <w:lang w:val="es-GT" w:eastAsia="es-GT"/>
              </w:rPr>
            </w:pPr>
            <w:r w:rsidRPr="00D14DB7">
              <w:rPr>
                <w:sz w:val="22"/>
                <w:szCs w:val="20"/>
                <w:lang w:val="es-GT" w:eastAsia="es-GT"/>
              </w:rPr>
              <w:t>1.1</w:t>
            </w:r>
          </w:p>
        </w:tc>
        <w:tc>
          <w:tcPr>
            <w:tcW w:w="1120" w:type="dxa"/>
            <w:shd w:val="clear" w:color="000000" w:fill="FFFFFF"/>
            <w:noWrap/>
            <w:vAlign w:val="bottom"/>
            <w:hideMark/>
          </w:tcPr>
          <w:p w14:paraId="3311B3CC" w14:textId="77777777" w:rsidR="00E65A70" w:rsidRPr="00D14DB7" w:rsidRDefault="00E65A70" w:rsidP="00BF2538">
            <w:pPr>
              <w:jc w:val="right"/>
              <w:rPr>
                <w:sz w:val="22"/>
                <w:szCs w:val="20"/>
                <w:lang w:val="es-GT" w:eastAsia="es-GT"/>
              </w:rPr>
            </w:pPr>
            <w:r w:rsidRPr="00D14DB7">
              <w:rPr>
                <w:sz w:val="22"/>
                <w:szCs w:val="20"/>
                <w:lang w:val="es-GT" w:eastAsia="es-GT"/>
              </w:rPr>
              <w:t>0.4%</w:t>
            </w:r>
          </w:p>
        </w:tc>
      </w:tr>
      <w:tr w:rsidR="00E65A70" w:rsidRPr="00D14DB7" w14:paraId="3585A817" w14:textId="77777777" w:rsidTr="00D14DB7">
        <w:trPr>
          <w:trHeight w:val="319"/>
        </w:trPr>
        <w:tc>
          <w:tcPr>
            <w:tcW w:w="4673" w:type="dxa"/>
            <w:shd w:val="clear" w:color="000000" w:fill="FFFFFF"/>
            <w:noWrap/>
            <w:vAlign w:val="bottom"/>
            <w:hideMark/>
          </w:tcPr>
          <w:p w14:paraId="222DAE3A"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Vehículos</w:t>
            </w:r>
          </w:p>
        </w:tc>
        <w:tc>
          <w:tcPr>
            <w:tcW w:w="1276" w:type="dxa"/>
            <w:shd w:val="clear" w:color="000000" w:fill="FFFFFF"/>
            <w:noWrap/>
            <w:vAlign w:val="bottom"/>
            <w:hideMark/>
          </w:tcPr>
          <w:p w14:paraId="4D81BBAA" w14:textId="77777777" w:rsidR="00E65A70" w:rsidRPr="00D14DB7" w:rsidRDefault="00E65A70" w:rsidP="00BF2538">
            <w:pPr>
              <w:jc w:val="right"/>
              <w:rPr>
                <w:sz w:val="22"/>
                <w:szCs w:val="20"/>
                <w:lang w:val="es-GT" w:eastAsia="es-GT"/>
              </w:rPr>
            </w:pPr>
            <w:r w:rsidRPr="00D14DB7">
              <w:rPr>
                <w:sz w:val="22"/>
                <w:szCs w:val="20"/>
                <w:lang w:val="es-GT" w:eastAsia="es-GT"/>
              </w:rPr>
              <w:t>499.5</w:t>
            </w:r>
          </w:p>
        </w:tc>
        <w:tc>
          <w:tcPr>
            <w:tcW w:w="1276" w:type="dxa"/>
            <w:shd w:val="clear" w:color="000000" w:fill="FFFFFF"/>
            <w:noWrap/>
            <w:vAlign w:val="bottom"/>
            <w:hideMark/>
          </w:tcPr>
          <w:p w14:paraId="05094560" w14:textId="77777777" w:rsidR="00E65A70" w:rsidRPr="00D14DB7" w:rsidRDefault="00E65A70" w:rsidP="00BF2538">
            <w:pPr>
              <w:jc w:val="right"/>
              <w:rPr>
                <w:sz w:val="22"/>
                <w:szCs w:val="20"/>
                <w:lang w:val="es-GT" w:eastAsia="es-GT"/>
              </w:rPr>
            </w:pPr>
            <w:r w:rsidRPr="00D14DB7">
              <w:rPr>
                <w:sz w:val="22"/>
                <w:szCs w:val="20"/>
                <w:lang w:val="es-GT" w:eastAsia="es-GT"/>
              </w:rPr>
              <w:t>520.2</w:t>
            </w:r>
          </w:p>
        </w:tc>
        <w:tc>
          <w:tcPr>
            <w:tcW w:w="1271" w:type="dxa"/>
            <w:shd w:val="clear" w:color="000000" w:fill="FFFFFF"/>
            <w:noWrap/>
            <w:vAlign w:val="bottom"/>
            <w:hideMark/>
          </w:tcPr>
          <w:p w14:paraId="4FB71478" w14:textId="77777777" w:rsidR="00E65A70" w:rsidRPr="00D14DB7" w:rsidRDefault="00E65A70" w:rsidP="00BF2538">
            <w:pPr>
              <w:jc w:val="right"/>
              <w:rPr>
                <w:sz w:val="22"/>
                <w:szCs w:val="20"/>
                <w:lang w:val="es-GT" w:eastAsia="es-GT"/>
              </w:rPr>
            </w:pPr>
            <w:r w:rsidRPr="00D14DB7">
              <w:rPr>
                <w:sz w:val="22"/>
                <w:szCs w:val="20"/>
                <w:lang w:val="es-GT" w:eastAsia="es-GT"/>
              </w:rPr>
              <w:t>20.7</w:t>
            </w:r>
          </w:p>
        </w:tc>
        <w:tc>
          <w:tcPr>
            <w:tcW w:w="1120" w:type="dxa"/>
            <w:shd w:val="clear" w:color="000000" w:fill="FFFFFF"/>
            <w:noWrap/>
            <w:vAlign w:val="bottom"/>
            <w:hideMark/>
          </w:tcPr>
          <w:p w14:paraId="3D9919F5" w14:textId="77777777" w:rsidR="00E65A70" w:rsidRPr="00D14DB7" w:rsidRDefault="00E65A70" w:rsidP="00BF2538">
            <w:pPr>
              <w:jc w:val="right"/>
              <w:rPr>
                <w:sz w:val="22"/>
                <w:szCs w:val="20"/>
                <w:lang w:val="es-GT" w:eastAsia="es-GT"/>
              </w:rPr>
            </w:pPr>
            <w:r w:rsidRPr="00D14DB7">
              <w:rPr>
                <w:sz w:val="22"/>
                <w:szCs w:val="20"/>
                <w:lang w:val="es-GT" w:eastAsia="es-GT"/>
              </w:rPr>
              <w:t>4.1%</w:t>
            </w:r>
          </w:p>
        </w:tc>
      </w:tr>
      <w:tr w:rsidR="00E65A70" w:rsidRPr="00D14DB7" w14:paraId="32491ED8" w14:textId="77777777" w:rsidTr="00D14DB7">
        <w:trPr>
          <w:trHeight w:val="319"/>
        </w:trPr>
        <w:tc>
          <w:tcPr>
            <w:tcW w:w="4673" w:type="dxa"/>
            <w:shd w:val="clear" w:color="000000" w:fill="FFFFFF"/>
            <w:noWrap/>
            <w:vAlign w:val="bottom"/>
            <w:hideMark/>
          </w:tcPr>
          <w:p w14:paraId="638E5D42"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IPRIMA</w:t>
            </w:r>
          </w:p>
        </w:tc>
        <w:tc>
          <w:tcPr>
            <w:tcW w:w="1276" w:type="dxa"/>
            <w:shd w:val="clear" w:color="000000" w:fill="FFFFFF"/>
            <w:noWrap/>
            <w:vAlign w:val="bottom"/>
            <w:hideMark/>
          </w:tcPr>
          <w:p w14:paraId="679CA42F" w14:textId="77777777" w:rsidR="00E65A70" w:rsidRPr="00D14DB7" w:rsidRDefault="00E65A70" w:rsidP="00BF2538">
            <w:pPr>
              <w:jc w:val="right"/>
              <w:rPr>
                <w:sz w:val="22"/>
                <w:szCs w:val="20"/>
                <w:lang w:val="es-GT" w:eastAsia="es-GT"/>
              </w:rPr>
            </w:pPr>
            <w:r w:rsidRPr="00D14DB7">
              <w:rPr>
                <w:sz w:val="22"/>
                <w:szCs w:val="20"/>
                <w:lang w:val="es-GT" w:eastAsia="es-GT"/>
              </w:rPr>
              <w:t>648.1</w:t>
            </w:r>
          </w:p>
        </w:tc>
        <w:tc>
          <w:tcPr>
            <w:tcW w:w="1276" w:type="dxa"/>
            <w:shd w:val="clear" w:color="000000" w:fill="FFFFFF"/>
            <w:noWrap/>
            <w:vAlign w:val="bottom"/>
            <w:hideMark/>
          </w:tcPr>
          <w:p w14:paraId="7F539EE6" w14:textId="77777777" w:rsidR="00E65A70" w:rsidRPr="00D14DB7" w:rsidRDefault="00E65A70" w:rsidP="00BF2538">
            <w:pPr>
              <w:jc w:val="right"/>
              <w:rPr>
                <w:sz w:val="22"/>
                <w:szCs w:val="20"/>
                <w:lang w:val="es-GT" w:eastAsia="es-GT"/>
              </w:rPr>
            </w:pPr>
            <w:r w:rsidRPr="00D14DB7">
              <w:rPr>
                <w:sz w:val="22"/>
                <w:szCs w:val="20"/>
                <w:lang w:val="es-GT" w:eastAsia="es-GT"/>
              </w:rPr>
              <w:t>809.3</w:t>
            </w:r>
          </w:p>
        </w:tc>
        <w:tc>
          <w:tcPr>
            <w:tcW w:w="1271" w:type="dxa"/>
            <w:shd w:val="clear" w:color="000000" w:fill="FFFFFF"/>
            <w:noWrap/>
            <w:vAlign w:val="bottom"/>
            <w:hideMark/>
          </w:tcPr>
          <w:p w14:paraId="4603D91D" w14:textId="77777777" w:rsidR="00E65A70" w:rsidRPr="00D14DB7" w:rsidRDefault="00E65A70" w:rsidP="00BF2538">
            <w:pPr>
              <w:jc w:val="right"/>
              <w:rPr>
                <w:sz w:val="22"/>
                <w:szCs w:val="20"/>
                <w:lang w:val="es-GT" w:eastAsia="es-GT"/>
              </w:rPr>
            </w:pPr>
            <w:r w:rsidRPr="00D14DB7">
              <w:rPr>
                <w:sz w:val="22"/>
                <w:szCs w:val="20"/>
                <w:lang w:val="es-GT" w:eastAsia="es-GT"/>
              </w:rPr>
              <w:t>161.2</w:t>
            </w:r>
          </w:p>
        </w:tc>
        <w:tc>
          <w:tcPr>
            <w:tcW w:w="1120" w:type="dxa"/>
            <w:shd w:val="clear" w:color="000000" w:fill="FFFFFF"/>
            <w:noWrap/>
            <w:vAlign w:val="bottom"/>
            <w:hideMark/>
          </w:tcPr>
          <w:p w14:paraId="1CACF53E" w14:textId="77777777" w:rsidR="00E65A70" w:rsidRPr="00D14DB7" w:rsidRDefault="00E65A70" w:rsidP="00BF2538">
            <w:pPr>
              <w:jc w:val="right"/>
              <w:rPr>
                <w:sz w:val="22"/>
                <w:szCs w:val="20"/>
                <w:lang w:val="es-GT" w:eastAsia="es-GT"/>
              </w:rPr>
            </w:pPr>
            <w:r w:rsidRPr="00D14DB7">
              <w:rPr>
                <w:sz w:val="22"/>
                <w:szCs w:val="20"/>
                <w:lang w:val="es-GT" w:eastAsia="es-GT"/>
              </w:rPr>
              <w:t>24.9%</w:t>
            </w:r>
          </w:p>
        </w:tc>
      </w:tr>
      <w:tr w:rsidR="00E65A70" w:rsidRPr="00D14DB7" w14:paraId="3496F0F7" w14:textId="77777777" w:rsidTr="00D14DB7">
        <w:trPr>
          <w:trHeight w:val="319"/>
        </w:trPr>
        <w:tc>
          <w:tcPr>
            <w:tcW w:w="4673" w:type="dxa"/>
            <w:shd w:val="clear" w:color="000000" w:fill="FFFFFF"/>
            <w:noWrap/>
            <w:vAlign w:val="bottom"/>
            <w:hideMark/>
          </w:tcPr>
          <w:p w14:paraId="3A311DB6"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Regalías</w:t>
            </w:r>
          </w:p>
        </w:tc>
        <w:tc>
          <w:tcPr>
            <w:tcW w:w="1276" w:type="dxa"/>
            <w:shd w:val="clear" w:color="000000" w:fill="FFFFFF"/>
            <w:noWrap/>
            <w:vAlign w:val="bottom"/>
            <w:hideMark/>
          </w:tcPr>
          <w:p w14:paraId="094D8F69" w14:textId="77777777" w:rsidR="00E65A70" w:rsidRPr="00D14DB7" w:rsidRDefault="00E65A70" w:rsidP="00BF2538">
            <w:pPr>
              <w:jc w:val="right"/>
              <w:rPr>
                <w:sz w:val="22"/>
                <w:szCs w:val="20"/>
                <w:lang w:val="es-GT" w:eastAsia="es-GT"/>
              </w:rPr>
            </w:pPr>
            <w:r w:rsidRPr="00D14DB7">
              <w:rPr>
                <w:sz w:val="22"/>
                <w:szCs w:val="20"/>
                <w:lang w:val="es-GT" w:eastAsia="es-GT"/>
              </w:rPr>
              <w:t>157.7</w:t>
            </w:r>
          </w:p>
        </w:tc>
        <w:tc>
          <w:tcPr>
            <w:tcW w:w="1276" w:type="dxa"/>
            <w:shd w:val="clear" w:color="000000" w:fill="FFFFFF"/>
            <w:noWrap/>
            <w:vAlign w:val="bottom"/>
            <w:hideMark/>
          </w:tcPr>
          <w:p w14:paraId="7F835CC6" w14:textId="77777777" w:rsidR="00E65A70" w:rsidRPr="00D14DB7" w:rsidRDefault="00E65A70" w:rsidP="00BF2538">
            <w:pPr>
              <w:jc w:val="right"/>
              <w:rPr>
                <w:sz w:val="22"/>
                <w:szCs w:val="20"/>
                <w:lang w:val="es-GT" w:eastAsia="es-GT"/>
              </w:rPr>
            </w:pPr>
            <w:r w:rsidRPr="00D14DB7">
              <w:rPr>
                <w:sz w:val="22"/>
                <w:szCs w:val="20"/>
                <w:lang w:val="es-GT" w:eastAsia="es-GT"/>
              </w:rPr>
              <w:t>59.5</w:t>
            </w:r>
          </w:p>
        </w:tc>
        <w:tc>
          <w:tcPr>
            <w:tcW w:w="1271" w:type="dxa"/>
            <w:shd w:val="clear" w:color="000000" w:fill="FFFFFF"/>
            <w:noWrap/>
            <w:vAlign w:val="bottom"/>
            <w:hideMark/>
          </w:tcPr>
          <w:p w14:paraId="6D8B0985" w14:textId="77777777" w:rsidR="00E65A70" w:rsidRPr="00D14DB7" w:rsidRDefault="00E65A70" w:rsidP="00BF2538">
            <w:pPr>
              <w:jc w:val="right"/>
              <w:rPr>
                <w:sz w:val="22"/>
                <w:szCs w:val="20"/>
                <w:lang w:val="es-GT" w:eastAsia="es-GT"/>
              </w:rPr>
            </w:pPr>
            <w:r w:rsidRPr="00D14DB7">
              <w:rPr>
                <w:sz w:val="22"/>
                <w:szCs w:val="20"/>
                <w:lang w:val="es-GT" w:eastAsia="es-GT"/>
              </w:rPr>
              <w:t>-98.2</w:t>
            </w:r>
          </w:p>
        </w:tc>
        <w:tc>
          <w:tcPr>
            <w:tcW w:w="1120" w:type="dxa"/>
            <w:shd w:val="clear" w:color="000000" w:fill="FFFFFF"/>
            <w:noWrap/>
            <w:vAlign w:val="bottom"/>
            <w:hideMark/>
          </w:tcPr>
          <w:p w14:paraId="09F91B3F" w14:textId="77777777" w:rsidR="00E65A70" w:rsidRPr="00D14DB7" w:rsidRDefault="00E65A70" w:rsidP="00BF2538">
            <w:pPr>
              <w:jc w:val="right"/>
              <w:rPr>
                <w:sz w:val="22"/>
                <w:szCs w:val="20"/>
                <w:lang w:val="es-GT" w:eastAsia="es-GT"/>
              </w:rPr>
            </w:pPr>
            <w:r w:rsidRPr="00D14DB7">
              <w:rPr>
                <w:sz w:val="22"/>
                <w:szCs w:val="20"/>
                <w:lang w:val="es-GT" w:eastAsia="es-GT"/>
              </w:rPr>
              <w:t>-62.3%</w:t>
            </w:r>
          </w:p>
        </w:tc>
      </w:tr>
      <w:tr w:rsidR="00E65A70" w:rsidRPr="00D14DB7" w14:paraId="1D055763" w14:textId="77777777" w:rsidTr="00D14DB7">
        <w:trPr>
          <w:trHeight w:val="319"/>
        </w:trPr>
        <w:tc>
          <w:tcPr>
            <w:tcW w:w="4673" w:type="dxa"/>
            <w:shd w:val="clear" w:color="000000" w:fill="FFFFFF"/>
            <w:noWrap/>
            <w:vAlign w:val="bottom"/>
            <w:hideMark/>
          </w:tcPr>
          <w:p w14:paraId="1DA70C99"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Salida del País</w:t>
            </w:r>
          </w:p>
        </w:tc>
        <w:tc>
          <w:tcPr>
            <w:tcW w:w="1276" w:type="dxa"/>
            <w:shd w:val="clear" w:color="000000" w:fill="FFFFFF"/>
            <w:noWrap/>
            <w:vAlign w:val="bottom"/>
            <w:hideMark/>
          </w:tcPr>
          <w:p w14:paraId="2C9B0D65" w14:textId="77777777" w:rsidR="00E65A70" w:rsidRPr="00D14DB7" w:rsidRDefault="00E65A70" w:rsidP="00BF2538">
            <w:pPr>
              <w:jc w:val="right"/>
              <w:rPr>
                <w:sz w:val="22"/>
                <w:szCs w:val="20"/>
                <w:lang w:val="es-GT" w:eastAsia="es-GT"/>
              </w:rPr>
            </w:pPr>
            <w:r w:rsidRPr="00D14DB7">
              <w:rPr>
                <w:sz w:val="22"/>
                <w:szCs w:val="20"/>
                <w:lang w:val="es-GT" w:eastAsia="es-GT"/>
              </w:rPr>
              <w:t>154.2</w:t>
            </w:r>
          </w:p>
        </w:tc>
        <w:tc>
          <w:tcPr>
            <w:tcW w:w="1276" w:type="dxa"/>
            <w:shd w:val="clear" w:color="000000" w:fill="FFFFFF"/>
            <w:noWrap/>
            <w:vAlign w:val="bottom"/>
            <w:hideMark/>
          </w:tcPr>
          <w:p w14:paraId="535D9DED" w14:textId="77777777" w:rsidR="00E65A70" w:rsidRPr="00D14DB7" w:rsidRDefault="00E65A70" w:rsidP="00BF2538">
            <w:pPr>
              <w:jc w:val="right"/>
              <w:rPr>
                <w:sz w:val="22"/>
                <w:szCs w:val="20"/>
                <w:lang w:val="es-GT" w:eastAsia="es-GT"/>
              </w:rPr>
            </w:pPr>
            <w:r w:rsidRPr="00D14DB7">
              <w:rPr>
                <w:sz w:val="22"/>
                <w:szCs w:val="20"/>
                <w:lang w:val="es-GT" w:eastAsia="es-GT"/>
              </w:rPr>
              <w:t>191.2</w:t>
            </w:r>
          </w:p>
        </w:tc>
        <w:tc>
          <w:tcPr>
            <w:tcW w:w="1271" w:type="dxa"/>
            <w:shd w:val="clear" w:color="000000" w:fill="FFFFFF"/>
            <w:noWrap/>
            <w:vAlign w:val="bottom"/>
            <w:hideMark/>
          </w:tcPr>
          <w:p w14:paraId="49807CD1" w14:textId="77777777" w:rsidR="00E65A70" w:rsidRPr="00D14DB7" w:rsidRDefault="00E65A70" w:rsidP="00BF2538">
            <w:pPr>
              <w:jc w:val="right"/>
              <w:rPr>
                <w:sz w:val="22"/>
                <w:szCs w:val="20"/>
                <w:lang w:val="es-GT" w:eastAsia="es-GT"/>
              </w:rPr>
            </w:pPr>
            <w:r w:rsidRPr="00D14DB7">
              <w:rPr>
                <w:sz w:val="22"/>
                <w:szCs w:val="20"/>
                <w:lang w:val="es-GT" w:eastAsia="es-GT"/>
              </w:rPr>
              <w:t>36.9</w:t>
            </w:r>
          </w:p>
        </w:tc>
        <w:tc>
          <w:tcPr>
            <w:tcW w:w="1120" w:type="dxa"/>
            <w:shd w:val="clear" w:color="000000" w:fill="FFFFFF"/>
            <w:noWrap/>
            <w:vAlign w:val="bottom"/>
            <w:hideMark/>
          </w:tcPr>
          <w:p w14:paraId="61413118" w14:textId="77777777" w:rsidR="00E65A70" w:rsidRPr="00D14DB7" w:rsidRDefault="00E65A70" w:rsidP="00BF2538">
            <w:pPr>
              <w:jc w:val="right"/>
              <w:rPr>
                <w:sz w:val="22"/>
                <w:szCs w:val="20"/>
                <w:lang w:val="es-GT" w:eastAsia="es-GT"/>
              </w:rPr>
            </w:pPr>
            <w:r w:rsidRPr="00D14DB7">
              <w:rPr>
                <w:sz w:val="22"/>
                <w:szCs w:val="20"/>
                <w:lang w:val="es-GT" w:eastAsia="es-GT"/>
              </w:rPr>
              <w:t>23.9%</w:t>
            </w:r>
          </w:p>
        </w:tc>
      </w:tr>
      <w:tr w:rsidR="00E65A70" w:rsidRPr="00D14DB7" w14:paraId="25586E88" w14:textId="77777777" w:rsidTr="00D14DB7">
        <w:trPr>
          <w:trHeight w:val="319"/>
        </w:trPr>
        <w:tc>
          <w:tcPr>
            <w:tcW w:w="4673" w:type="dxa"/>
            <w:shd w:val="clear" w:color="000000" w:fill="FFFFFF"/>
            <w:noWrap/>
            <w:vAlign w:val="bottom"/>
            <w:hideMark/>
          </w:tcPr>
          <w:p w14:paraId="70F6397E" w14:textId="78D94FE4" w:rsidR="00E65A70" w:rsidRPr="00D14DB7" w:rsidRDefault="00E65A70" w:rsidP="00D14DB7">
            <w:pPr>
              <w:ind w:firstLineChars="288" w:firstLine="634"/>
              <w:rPr>
                <w:sz w:val="22"/>
                <w:szCs w:val="20"/>
                <w:lang w:val="es-GT" w:eastAsia="es-GT"/>
              </w:rPr>
            </w:pPr>
            <w:r w:rsidRPr="00D14DB7">
              <w:rPr>
                <w:sz w:val="22"/>
                <w:szCs w:val="20"/>
                <w:lang w:val="es-GT" w:eastAsia="es-GT"/>
              </w:rPr>
              <w:t xml:space="preserve">Alcoholes y </w:t>
            </w:r>
            <w:r w:rsidR="008A4485" w:rsidRPr="00D14DB7">
              <w:rPr>
                <w:sz w:val="22"/>
                <w:szCs w:val="20"/>
                <w:lang w:val="es-GT" w:eastAsia="es-GT"/>
              </w:rPr>
              <w:t>B</w:t>
            </w:r>
            <w:r w:rsidRPr="00D14DB7">
              <w:rPr>
                <w:sz w:val="22"/>
                <w:szCs w:val="20"/>
                <w:lang w:val="es-GT" w:eastAsia="es-GT"/>
              </w:rPr>
              <w:t>ebidas</w:t>
            </w:r>
          </w:p>
        </w:tc>
        <w:tc>
          <w:tcPr>
            <w:tcW w:w="1276" w:type="dxa"/>
            <w:shd w:val="clear" w:color="000000" w:fill="FFFFFF"/>
            <w:noWrap/>
            <w:vAlign w:val="bottom"/>
            <w:hideMark/>
          </w:tcPr>
          <w:p w14:paraId="31089062" w14:textId="77777777" w:rsidR="00E65A70" w:rsidRPr="00D14DB7" w:rsidRDefault="00E65A70" w:rsidP="00BF2538">
            <w:pPr>
              <w:jc w:val="right"/>
              <w:rPr>
                <w:sz w:val="22"/>
                <w:szCs w:val="20"/>
                <w:lang w:val="es-GT" w:eastAsia="es-GT"/>
              </w:rPr>
            </w:pPr>
            <w:r w:rsidRPr="00D14DB7">
              <w:rPr>
                <w:sz w:val="22"/>
                <w:szCs w:val="20"/>
                <w:lang w:val="es-GT" w:eastAsia="es-GT"/>
              </w:rPr>
              <w:t>570.1</w:t>
            </w:r>
          </w:p>
        </w:tc>
        <w:tc>
          <w:tcPr>
            <w:tcW w:w="1276" w:type="dxa"/>
            <w:shd w:val="clear" w:color="000000" w:fill="FFFFFF"/>
            <w:noWrap/>
            <w:vAlign w:val="bottom"/>
            <w:hideMark/>
          </w:tcPr>
          <w:p w14:paraId="3097D1F3" w14:textId="77777777" w:rsidR="00E65A70" w:rsidRPr="00D14DB7" w:rsidRDefault="00E65A70" w:rsidP="00BF2538">
            <w:pPr>
              <w:jc w:val="right"/>
              <w:rPr>
                <w:sz w:val="22"/>
                <w:szCs w:val="20"/>
                <w:lang w:val="es-GT" w:eastAsia="es-GT"/>
              </w:rPr>
            </w:pPr>
            <w:r w:rsidRPr="00D14DB7">
              <w:rPr>
                <w:sz w:val="22"/>
                <w:szCs w:val="20"/>
                <w:lang w:val="es-GT" w:eastAsia="es-GT"/>
              </w:rPr>
              <w:t>602.4</w:t>
            </w:r>
          </w:p>
        </w:tc>
        <w:tc>
          <w:tcPr>
            <w:tcW w:w="1271" w:type="dxa"/>
            <w:shd w:val="clear" w:color="000000" w:fill="FFFFFF"/>
            <w:noWrap/>
            <w:vAlign w:val="bottom"/>
            <w:hideMark/>
          </w:tcPr>
          <w:p w14:paraId="4B5E22A8" w14:textId="77777777" w:rsidR="00E65A70" w:rsidRPr="00D14DB7" w:rsidRDefault="00E65A70" w:rsidP="00BF2538">
            <w:pPr>
              <w:jc w:val="right"/>
              <w:rPr>
                <w:sz w:val="22"/>
                <w:szCs w:val="20"/>
                <w:lang w:val="es-GT" w:eastAsia="es-GT"/>
              </w:rPr>
            </w:pPr>
            <w:r w:rsidRPr="00D14DB7">
              <w:rPr>
                <w:sz w:val="22"/>
                <w:szCs w:val="20"/>
                <w:lang w:val="es-GT" w:eastAsia="es-GT"/>
              </w:rPr>
              <w:t>32.3</w:t>
            </w:r>
          </w:p>
        </w:tc>
        <w:tc>
          <w:tcPr>
            <w:tcW w:w="1120" w:type="dxa"/>
            <w:shd w:val="clear" w:color="000000" w:fill="FFFFFF"/>
            <w:noWrap/>
            <w:vAlign w:val="bottom"/>
            <w:hideMark/>
          </w:tcPr>
          <w:p w14:paraId="75645687" w14:textId="77777777" w:rsidR="00E65A70" w:rsidRPr="00D14DB7" w:rsidRDefault="00E65A70" w:rsidP="00BF2538">
            <w:pPr>
              <w:jc w:val="right"/>
              <w:rPr>
                <w:sz w:val="22"/>
                <w:szCs w:val="20"/>
                <w:lang w:val="es-GT" w:eastAsia="es-GT"/>
              </w:rPr>
            </w:pPr>
            <w:r w:rsidRPr="00D14DB7">
              <w:rPr>
                <w:sz w:val="22"/>
                <w:szCs w:val="20"/>
                <w:lang w:val="es-GT" w:eastAsia="es-GT"/>
              </w:rPr>
              <w:t>5.7%</w:t>
            </w:r>
          </w:p>
        </w:tc>
      </w:tr>
      <w:tr w:rsidR="00E65A70" w:rsidRPr="00D14DB7" w14:paraId="251DB950" w14:textId="77777777" w:rsidTr="00D14DB7">
        <w:trPr>
          <w:trHeight w:val="319"/>
        </w:trPr>
        <w:tc>
          <w:tcPr>
            <w:tcW w:w="4673" w:type="dxa"/>
            <w:shd w:val="clear" w:color="000000" w:fill="FFFFFF"/>
            <w:noWrap/>
            <w:vAlign w:val="bottom"/>
            <w:hideMark/>
          </w:tcPr>
          <w:p w14:paraId="4C952A0D"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Tabaco</w:t>
            </w:r>
          </w:p>
        </w:tc>
        <w:tc>
          <w:tcPr>
            <w:tcW w:w="1276" w:type="dxa"/>
            <w:shd w:val="clear" w:color="000000" w:fill="FFFFFF"/>
            <w:noWrap/>
            <w:vAlign w:val="bottom"/>
            <w:hideMark/>
          </w:tcPr>
          <w:p w14:paraId="117B1BFA" w14:textId="77777777" w:rsidR="00E65A70" w:rsidRPr="00D14DB7" w:rsidRDefault="00E65A70" w:rsidP="00BF2538">
            <w:pPr>
              <w:jc w:val="right"/>
              <w:rPr>
                <w:sz w:val="22"/>
                <w:szCs w:val="20"/>
                <w:lang w:val="es-GT" w:eastAsia="es-GT"/>
              </w:rPr>
            </w:pPr>
            <w:r w:rsidRPr="00D14DB7">
              <w:rPr>
                <w:sz w:val="22"/>
                <w:szCs w:val="20"/>
                <w:lang w:val="es-GT" w:eastAsia="es-GT"/>
              </w:rPr>
              <w:t>154.3</w:t>
            </w:r>
          </w:p>
        </w:tc>
        <w:tc>
          <w:tcPr>
            <w:tcW w:w="1276" w:type="dxa"/>
            <w:shd w:val="clear" w:color="000000" w:fill="FFFFFF"/>
            <w:noWrap/>
            <w:vAlign w:val="bottom"/>
            <w:hideMark/>
          </w:tcPr>
          <w:p w14:paraId="3AED04D6" w14:textId="77777777" w:rsidR="00E65A70" w:rsidRPr="00D14DB7" w:rsidRDefault="00E65A70" w:rsidP="00BF2538">
            <w:pPr>
              <w:jc w:val="right"/>
              <w:rPr>
                <w:sz w:val="22"/>
                <w:szCs w:val="20"/>
                <w:lang w:val="es-GT" w:eastAsia="es-GT"/>
              </w:rPr>
            </w:pPr>
            <w:r w:rsidRPr="00D14DB7">
              <w:rPr>
                <w:sz w:val="22"/>
                <w:szCs w:val="20"/>
                <w:lang w:val="es-GT" w:eastAsia="es-GT"/>
              </w:rPr>
              <w:t>161.4</w:t>
            </w:r>
          </w:p>
        </w:tc>
        <w:tc>
          <w:tcPr>
            <w:tcW w:w="1271" w:type="dxa"/>
            <w:shd w:val="clear" w:color="000000" w:fill="FFFFFF"/>
            <w:noWrap/>
            <w:vAlign w:val="bottom"/>
            <w:hideMark/>
          </w:tcPr>
          <w:p w14:paraId="31DF565E" w14:textId="77777777" w:rsidR="00E65A70" w:rsidRPr="00D14DB7" w:rsidRDefault="00E65A70" w:rsidP="00BF2538">
            <w:pPr>
              <w:jc w:val="right"/>
              <w:rPr>
                <w:sz w:val="22"/>
                <w:szCs w:val="20"/>
                <w:lang w:val="es-GT" w:eastAsia="es-GT"/>
              </w:rPr>
            </w:pPr>
            <w:r w:rsidRPr="00D14DB7">
              <w:rPr>
                <w:sz w:val="22"/>
                <w:szCs w:val="20"/>
                <w:lang w:val="es-GT" w:eastAsia="es-GT"/>
              </w:rPr>
              <w:t>7.1</w:t>
            </w:r>
          </w:p>
        </w:tc>
        <w:tc>
          <w:tcPr>
            <w:tcW w:w="1120" w:type="dxa"/>
            <w:shd w:val="clear" w:color="000000" w:fill="FFFFFF"/>
            <w:noWrap/>
            <w:vAlign w:val="bottom"/>
            <w:hideMark/>
          </w:tcPr>
          <w:p w14:paraId="600118B5" w14:textId="77777777" w:rsidR="00E65A70" w:rsidRPr="00D14DB7" w:rsidRDefault="00E65A70" w:rsidP="00BF2538">
            <w:pPr>
              <w:jc w:val="right"/>
              <w:rPr>
                <w:sz w:val="22"/>
                <w:szCs w:val="20"/>
                <w:lang w:val="es-GT" w:eastAsia="es-GT"/>
              </w:rPr>
            </w:pPr>
            <w:r w:rsidRPr="00D14DB7">
              <w:rPr>
                <w:sz w:val="22"/>
                <w:szCs w:val="20"/>
                <w:lang w:val="es-GT" w:eastAsia="es-GT"/>
              </w:rPr>
              <w:t>4.6%</w:t>
            </w:r>
          </w:p>
        </w:tc>
      </w:tr>
      <w:tr w:rsidR="00E65A70" w:rsidRPr="00D14DB7" w14:paraId="0A259B02" w14:textId="77777777" w:rsidTr="00D14DB7">
        <w:trPr>
          <w:trHeight w:val="319"/>
        </w:trPr>
        <w:tc>
          <w:tcPr>
            <w:tcW w:w="4673" w:type="dxa"/>
            <w:shd w:val="clear" w:color="000000" w:fill="FFFFFF"/>
            <w:noWrap/>
            <w:vAlign w:val="bottom"/>
            <w:hideMark/>
          </w:tcPr>
          <w:p w14:paraId="005AF893"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Distribución de Cemento</w:t>
            </w:r>
          </w:p>
        </w:tc>
        <w:tc>
          <w:tcPr>
            <w:tcW w:w="1276" w:type="dxa"/>
            <w:shd w:val="clear" w:color="000000" w:fill="FFFFFF"/>
            <w:noWrap/>
            <w:vAlign w:val="bottom"/>
            <w:hideMark/>
          </w:tcPr>
          <w:p w14:paraId="3CFECFF5" w14:textId="77777777" w:rsidR="00E65A70" w:rsidRPr="00D14DB7" w:rsidRDefault="00E65A70" w:rsidP="00BF2538">
            <w:pPr>
              <w:jc w:val="right"/>
              <w:rPr>
                <w:sz w:val="22"/>
                <w:szCs w:val="20"/>
                <w:lang w:val="es-GT" w:eastAsia="es-GT"/>
              </w:rPr>
            </w:pPr>
            <w:r w:rsidRPr="00D14DB7">
              <w:rPr>
                <w:sz w:val="22"/>
                <w:szCs w:val="20"/>
                <w:lang w:val="es-GT" w:eastAsia="es-GT"/>
              </w:rPr>
              <w:t>94.5</w:t>
            </w:r>
          </w:p>
        </w:tc>
        <w:tc>
          <w:tcPr>
            <w:tcW w:w="1276" w:type="dxa"/>
            <w:shd w:val="clear" w:color="000000" w:fill="FFFFFF"/>
            <w:noWrap/>
            <w:vAlign w:val="bottom"/>
            <w:hideMark/>
          </w:tcPr>
          <w:p w14:paraId="167CB875" w14:textId="77777777" w:rsidR="00E65A70" w:rsidRPr="00D14DB7" w:rsidRDefault="00E65A70" w:rsidP="00BF2538">
            <w:pPr>
              <w:jc w:val="right"/>
              <w:rPr>
                <w:sz w:val="22"/>
                <w:szCs w:val="20"/>
                <w:lang w:val="es-GT" w:eastAsia="es-GT"/>
              </w:rPr>
            </w:pPr>
            <w:r w:rsidRPr="00D14DB7">
              <w:rPr>
                <w:sz w:val="22"/>
                <w:szCs w:val="20"/>
                <w:lang w:val="es-GT" w:eastAsia="es-GT"/>
              </w:rPr>
              <w:t>100.4</w:t>
            </w:r>
          </w:p>
        </w:tc>
        <w:tc>
          <w:tcPr>
            <w:tcW w:w="1271" w:type="dxa"/>
            <w:shd w:val="clear" w:color="000000" w:fill="FFFFFF"/>
            <w:noWrap/>
            <w:vAlign w:val="bottom"/>
            <w:hideMark/>
          </w:tcPr>
          <w:p w14:paraId="49BD292F" w14:textId="77777777" w:rsidR="00E65A70" w:rsidRPr="00D14DB7" w:rsidRDefault="00E65A70" w:rsidP="00BF2538">
            <w:pPr>
              <w:jc w:val="right"/>
              <w:rPr>
                <w:sz w:val="22"/>
                <w:szCs w:val="20"/>
                <w:lang w:val="es-GT" w:eastAsia="es-GT"/>
              </w:rPr>
            </w:pPr>
            <w:r w:rsidRPr="00D14DB7">
              <w:rPr>
                <w:sz w:val="22"/>
                <w:szCs w:val="20"/>
                <w:lang w:val="es-GT" w:eastAsia="es-GT"/>
              </w:rPr>
              <w:t>5.9</w:t>
            </w:r>
          </w:p>
        </w:tc>
        <w:tc>
          <w:tcPr>
            <w:tcW w:w="1120" w:type="dxa"/>
            <w:shd w:val="clear" w:color="000000" w:fill="FFFFFF"/>
            <w:noWrap/>
            <w:vAlign w:val="bottom"/>
            <w:hideMark/>
          </w:tcPr>
          <w:p w14:paraId="78E1D141" w14:textId="77777777" w:rsidR="00E65A70" w:rsidRPr="00D14DB7" w:rsidRDefault="00E65A70" w:rsidP="00BF2538">
            <w:pPr>
              <w:jc w:val="right"/>
              <w:rPr>
                <w:sz w:val="22"/>
                <w:szCs w:val="20"/>
                <w:lang w:val="es-GT" w:eastAsia="es-GT"/>
              </w:rPr>
            </w:pPr>
            <w:r w:rsidRPr="00D14DB7">
              <w:rPr>
                <w:sz w:val="22"/>
                <w:szCs w:val="20"/>
                <w:lang w:val="es-GT" w:eastAsia="es-GT"/>
              </w:rPr>
              <w:t>6.2%</w:t>
            </w:r>
          </w:p>
        </w:tc>
      </w:tr>
      <w:tr w:rsidR="00E65A70" w:rsidRPr="00D14DB7" w14:paraId="1CC52625" w14:textId="77777777" w:rsidTr="00D14DB7">
        <w:trPr>
          <w:trHeight w:val="319"/>
        </w:trPr>
        <w:tc>
          <w:tcPr>
            <w:tcW w:w="4673" w:type="dxa"/>
            <w:shd w:val="clear" w:color="000000" w:fill="FFFFFF"/>
            <w:noWrap/>
            <w:vAlign w:val="bottom"/>
            <w:hideMark/>
          </w:tcPr>
          <w:p w14:paraId="5FB860E2" w14:textId="77777777" w:rsidR="00E65A70" w:rsidRPr="00D14DB7" w:rsidRDefault="00E65A70" w:rsidP="00D14DB7">
            <w:pPr>
              <w:ind w:firstLineChars="288" w:firstLine="634"/>
              <w:rPr>
                <w:sz w:val="22"/>
                <w:szCs w:val="20"/>
                <w:lang w:val="es-GT" w:eastAsia="es-GT"/>
              </w:rPr>
            </w:pPr>
            <w:r w:rsidRPr="00D14DB7">
              <w:rPr>
                <w:sz w:val="22"/>
                <w:szCs w:val="20"/>
                <w:lang w:val="es-GT" w:eastAsia="es-GT"/>
              </w:rPr>
              <w:t>Otros</w:t>
            </w:r>
          </w:p>
        </w:tc>
        <w:tc>
          <w:tcPr>
            <w:tcW w:w="1276" w:type="dxa"/>
            <w:shd w:val="clear" w:color="000000" w:fill="FFFFFF"/>
            <w:noWrap/>
            <w:vAlign w:val="bottom"/>
            <w:hideMark/>
          </w:tcPr>
          <w:p w14:paraId="3F69B10B" w14:textId="77777777" w:rsidR="00E65A70" w:rsidRPr="00D14DB7" w:rsidRDefault="00E65A70" w:rsidP="00BF2538">
            <w:pPr>
              <w:jc w:val="right"/>
              <w:rPr>
                <w:sz w:val="22"/>
                <w:szCs w:val="20"/>
                <w:lang w:val="es-GT" w:eastAsia="es-GT"/>
              </w:rPr>
            </w:pPr>
            <w:r w:rsidRPr="00D14DB7">
              <w:rPr>
                <w:sz w:val="22"/>
                <w:szCs w:val="20"/>
                <w:lang w:val="es-GT" w:eastAsia="es-GT"/>
              </w:rPr>
              <w:t>5.0</w:t>
            </w:r>
          </w:p>
        </w:tc>
        <w:tc>
          <w:tcPr>
            <w:tcW w:w="1276" w:type="dxa"/>
            <w:shd w:val="clear" w:color="000000" w:fill="FFFFFF"/>
            <w:noWrap/>
            <w:vAlign w:val="bottom"/>
            <w:hideMark/>
          </w:tcPr>
          <w:p w14:paraId="54B9BEE6" w14:textId="77777777" w:rsidR="00E65A70" w:rsidRPr="00D14DB7" w:rsidRDefault="00E65A70" w:rsidP="00BF2538">
            <w:pPr>
              <w:jc w:val="right"/>
              <w:rPr>
                <w:sz w:val="22"/>
                <w:szCs w:val="20"/>
                <w:lang w:val="es-GT" w:eastAsia="es-GT"/>
              </w:rPr>
            </w:pPr>
            <w:r w:rsidRPr="00D14DB7">
              <w:rPr>
                <w:sz w:val="22"/>
                <w:szCs w:val="20"/>
                <w:lang w:val="es-GT" w:eastAsia="es-GT"/>
              </w:rPr>
              <w:t>4.6</w:t>
            </w:r>
          </w:p>
        </w:tc>
        <w:tc>
          <w:tcPr>
            <w:tcW w:w="1271" w:type="dxa"/>
            <w:shd w:val="clear" w:color="000000" w:fill="FFFFFF"/>
            <w:noWrap/>
            <w:vAlign w:val="bottom"/>
            <w:hideMark/>
          </w:tcPr>
          <w:p w14:paraId="74DD5777" w14:textId="77777777" w:rsidR="00E65A70" w:rsidRPr="00D14DB7" w:rsidRDefault="00E65A70" w:rsidP="00BF2538">
            <w:pPr>
              <w:jc w:val="right"/>
              <w:rPr>
                <w:sz w:val="22"/>
                <w:szCs w:val="20"/>
                <w:lang w:val="es-GT" w:eastAsia="es-GT"/>
              </w:rPr>
            </w:pPr>
            <w:r w:rsidRPr="00D14DB7">
              <w:rPr>
                <w:sz w:val="22"/>
                <w:szCs w:val="20"/>
                <w:lang w:val="es-GT" w:eastAsia="es-GT"/>
              </w:rPr>
              <w:t>-0.4</w:t>
            </w:r>
          </w:p>
        </w:tc>
        <w:tc>
          <w:tcPr>
            <w:tcW w:w="1120" w:type="dxa"/>
            <w:shd w:val="clear" w:color="000000" w:fill="FFFFFF"/>
            <w:noWrap/>
            <w:vAlign w:val="bottom"/>
            <w:hideMark/>
          </w:tcPr>
          <w:p w14:paraId="6A716F3B" w14:textId="77777777" w:rsidR="00E65A70" w:rsidRPr="00D14DB7" w:rsidRDefault="00E65A70" w:rsidP="00BF2538">
            <w:pPr>
              <w:jc w:val="right"/>
              <w:rPr>
                <w:sz w:val="22"/>
                <w:szCs w:val="20"/>
                <w:lang w:val="es-GT" w:eastAsia="es-GT"/>
              </w:rPr>
            </w:pPr>
            <w:r w:rsidRPr="00D14DB7">
              <w:rPr>
                <w:sz w:val="22"/>
                <w:szCs w:val="20"/>
                <w:lang w:val="es-GT" w:eastAsia="es-GT"/>
              </w:rPr>
              <w:t>-8.0%</w:t>
            </w:r>
          </w:p>
        </w:tc>
      </w:tr>
    </w:tbl>
    <w:p w14:paraId="525508A5" w14:textId="77777777" w:rsidR="00E65A70" w:rsidRPr="008E34D2" w:rsidRDefault="00E65A70" w:rsidP="00E65A70">
      <w:pPr>
        <w:autoSpaceDE w:val="0"/>
        <w:autoSpaceDN w:val="0"/>
        <w:adjustRightInd w:val="0"/>
        <w:jc w:val="both"/>
        <w:rPr>
          <w:sz w:val="18"/>
          <w:szCs w:val="18"/>
          <w:lang w:val="es-GT"/>
        </w:rPr>
      </w:pPr>
      <w:r w:rsidRPr="00132C56">
        <w:rPr>
          <w:sz w:val="16"/>
          <w:szCs w:val="18"/>
          <w:lang w:val="es-GT"/>
        </w:rPr>
        <w:t>*</w:t>
      </w:r>
      <w:r>
        <w:rPr>
          <w:sz w:val="16"/>
          <w:szCs w:val="18"/>
          <w:lang w:val="es-GT"/>
        </w:rPr>
        <w:t xml:space="preserve"> C</w:t>
      </w:r>
      <w:r w:rsidRPr="008E34D2">
        <w:rPr>
          <w:sz w:val="18"/>
          <w:szCs w:val="18"/>
          <w:lang w:val="es-GT"/>
        </w:rPr>
        <w:t>ifras preliminares</w:t>
      </w:r>
      <w:r>
        <w:rPr>
          <w:sz w:val="18"/>
          <w:szCs w:val="18"/>
          <w:lang w:val="es-GT"/>
        </w:rPr>
        <w:t xml:space="preserve"> </w:t>
      </w:r>
    </w:p>
    <w:p w14:paraId="23398C6B" w14:textId="77777777" w:rsidR="00E65A70" w:rsidRDefault="00E65A70" w:rsidP="00E65A70">
      <w:pPr>
        <w:autoSpaceDE w:val="0"/>
        <w:autoSpaceDN w:val="0"/>
        <w:adjustRightInd w:val="0"/>
        <w:jc w:val="both"/>
      </w:pPr>
      <w:r>
        <w:rPr>
          <w:sz w:val="18"/>
          <w:szCs w:val="18"/>
          <w:lang w:val="es-GT"/>
        </w:rPr>
        <w:t xml:space="preserve">   </w:t>
      </w:r>
      <w:r w:rsidRPr="008E34D2">
        <w:rPr>
          <w:sz w:val="18"/>
          <w:szCs w:val="18"/>
          <w:lang w:val="es-GT"/>
        </w:rPr>
        <w:t>Fuente: Ministerio de Finanzas Públicas con base al SICOIN</w:t>
      </w:r>
      <w:r>
        <w:rPr>
          <w:sz w:val="16"/>
          <w:szCs w:val="18"/>
          <w:lang w:val="es-GT"/>
        </w:rPr>
        <w:t>.</w:t>
      </w:r>
    </w:p>
    <w:p w14:paraId="71CC9C9D" w14:textId="77777777" w:rsidR="00E65A70" w:rsidRDefault="00E65A70" w:rsidP="00E65A70">
      <w:pPr>
        <w:spacing w:after="160" w:line="259" w:lineRule="auto"/>
        <w:rPr>
          <w:lang w:val="es-GT"/>
        </w:rPr>
      </w:pPr>
      <w:r>
        <w:rPr>
          <w:lang w:val="es-GT"/>
        </w:rPr>
        <w:br w:type="page"/>
      </w:r>
    </w:p>
    <w:p w14:paraId="6BFC528B" w14:textId="77777777" w:rsidR="00C37365" w:rsidRDefault="00C37365" w:rsidP="00E65A70">
      <w:pPr>
        <w:jc w:val="both"/>
        <w:rPr>
          <w:lang w:val="es-GT"/>
        </w:rPr>
      </w:pPr>
    </w:p>
    <w:p w14:paraId="51A138A2" w14:textId="2291D317" w:rsidR="00E65A70" w:rsidRPr="00721ED1" w:rsidRDefault="00E65A70" w:rsidP="00E65A70">
      <w:pPr>
        <w:jc w:val="both"/>
        <w:rPr>
          <w:lang w:val="es-GT"/>
        </w:rPr>
      </w:pPr>
      <w:r w:rsidRPr="00721ED1">
        <w:rPr>
          <w:lang w:val="es-GT"/>
        </w:rPr>
        <w:t>Con relación a la estructura impositiva por el origen del recaudo, los impuestos asociados al comercio exterior al 30 de junio de 202</w:t>
      </w:r>
      <w:r>
        <w:rPr>
          <w:lang w:val="es-GT"/>
        </w:rPr>
        <w:t>3</w:t>
      </w:r>
      <w:r w:rsidRPr="00721ED1">
        <w:rPr>
          <w:lang w:val="es-GT"/>
        </w:rPr>
        <w:t xml:space="preserve"> representaban el </w:t>
      </w:r>
      <w:r>
        <w:rPr>
          <w:lang w:val="es-GT"/>
        </w:rPr>
        <w:t>29</w:t>
      </w:r>
      <w:r w:rsidRPr="00721ED1">
        <w:rPr>
          <w:lang w:val="es-GT"/>
        </w:rPr>
        <w:t>.0%, (</w:t>
      </w:r>
      <w:r>
        <w:rPr>
          <w:lang w:val="es-GT"/>
        </w:rPr>
        <w:t>32</w:t>
      </w:r>
      <w:r w:rsidR="00C37365">
        <w:rPr>
          <w:lang w:val="es-GT"/>
        </w:rPr>
        <w:t>.0</w:t>
      </w:r>
      <w:r w:rsidRPr="00721ED1">
        <w:rPr>
          <w:lang w:val="es-GT"/>
        </w:rPr>
        <w:t>% en 20</w:t>
      </w:r>
      <w:r>
        <w:rPr>
          <w:lang w:val="es-GT"/>
        </w:rPr>
        <w:t>22</w:t>
      </w:r>
      <w:r w:rsidRPr="00721ED1">
        <w:rPr>
          <w:lang w:val="es-GT"/>
        </w:rPr>
        <w:t>)</w:t>
      </w:r>
      <w:r w:rsidR="00C37365">
        <w:rPr>
          <w:lang w:val="es-GT"/>
        </w:rPr>
        <w:t>. Este</w:t>
      </w:r>
      <w:r w:rsidRPr="00721ED1">
        <w:rPr>
          <w:lang w:val="es-GT"/>
        </w:rPr>
        <w:t xml:space="preserve"> resultado está en consonancia con </w:t>
      </w:r>
      <w:r>
        <w:rPr>
          <w:lang w:val="es-GT"/>
        </w:rPr>
        <w:t xml:space="preserve">la disminución </w:t>
      </w:r>
      <w:r w:rsidRPr="00721ED1">
        <w:rPr>
          <w:lang w:val="es-GT"/>
        </w:rPr>
        <w:t>observad</w:t>
      </w:r>
      <w:r>
        <w:rPr>
          <w:lang w:val="es-GT"/>
        </w:rPr>
        <w:t>a</w:t>
      </w:r>
      <w:r w:rsidRPr="00721ED1">
        <w:rPr>
          <w:lang w:val="es-GT"/>
        </w:rPr>
        <w:t xml:space="preserve"> en </w:t>
      </w:r>
      <w:r>
        <w:rPr>
          <w:lang w:val="es-GT"/>
        </w:rPr>
        <w:t>el Impuesto al Valor Agregado</w:t>
      </w:r>
      <w:r w:rsidR="00C37365">
        <w:rPr>
          <w:lang w:val="es-GT"/>
        </w:rPr>
        <w:t xml:space="preserve"> (IVA) </w:t>
      </w:r>
      <w:r>
        <w:rPr>
          <w:lang w:val="es-GT"/>
        </w:rPr>
        <w:t xml:space="preserve">de </w:t>
      </w:r>
      <w:r w:rsidRPr="00721ED1">
        <w:rPr>
          <w:lang w:val="es-GT"/>
        </w:rPr>
        <w:t>las importaciones.</w:t>
      </w:r>
    </w:p>
    <w:p w14:paraId="31067399" w14:textId="4F5BF0B9" w:rsidR="00E65A70" w:rsidRDefault="00E65A70" w:rsidP="00E65A70">
      <w:pPr>
        <w:jc w:val="both"/>
        <w:rPr>
          <w:lang w:val="es-GT"/>
        </w:rPr>
      </w:pPr>
    </w:p>
    <w:p w14:paraId="152EBB1B" w14:textId="77777777" w:rsidR="00C37365" w:rsidRPr="006940D1" w:rsidRDefault="00C37365" w:rsidP="00E65A70">
      <w:pPr>
        <w:jc w:val="both"/>
        <w:rPr>
          <w:lang w:val="es-GT"/>
        </w:rPr>
      </w:pPr>
    </w:p>
    <w:p w14:paraId="5F8D78C4" w14:textId="77777777" w:rsidR="00E65A70" w:rsidRPr="00C37365" w:rsidRDefault="00E65A70" w:rsidP="00E65A70">
      <w:pPr>
        <w:pStyle w:val="Prrafodelista"/>
        <w:ind w:left="360"/>
        <w:jc w:val="center"/>
        <w:rPr>
          <w:b/>
          <w:lang w:val="es-MX"/>
        </w:rPr>
      </w:pPr>
      <w:r w:rsidRPr="00C37365">
        <w:rPr>
          <w:b/>
          <w:lang w:val="es-MX"/>
        </w:rPr>
        <w:t>Gráfica 10</w:t>
      </w:r>
    </w:p>
    <w:p w14:paraId="515EDC48" w14:textId="77777777" w:rsidR="00E65A70" w:rsidRPr="00C37365" w:rsidRDefault="00E65A70" w:rsidP="00E65A70">
      <w:pPr>
        <w:pStyle w:val="Prrafodelista"/>
        <w:ind w:left="360"/>
        <w:jc w:val="center"/>
        <w:rPr>
          <w:b/>
          <w:lang w:val="es-MX"/>
        </w:rPr>
      </w:pPr>
      <w:r w:rsidRPr="00C37365">
        <w:rPr>
          <w:b/>
          <w:lang w:val="es-MX"/>
        </w:rPr>
        <w:t>Estructura Tributaria por Origen del Recaudo</w:t>
      </w:r>
    </w:p>
    <w:p w14:paraId="3F359145" w14:textId="568B22F3" w:rsidR="00E65A70" w:rsidRPr="00C37365" w:rsidRDefault="00E65A70" w:rsidP="00E65A70">
      <w:pPr>
        <w:pStyle w:val="Prrafodelista"/>
        <w:ind w:left="360"/>
        <w:jc w:val="center"/>
        <w:rPr>
          <w:b/>
          <w:lang w:val="es-MX"/>
        </w:rPr>
      </w:pPr>
      <w:r w:rsidRPr="00C37365">
        <w:rPr>
          <w:b/>
          <w:lang w:val="es-MX"/>
        </w:rPr>
        <w:t>Comparativo 202</w:t>
      </w:r>
      <w:r w:rsidR="00C37365">
        <w:rPr>
          <w:b/>
          <w:lang w:val="es-MX"/>
        </w:rPr>
        <w:t>2</w:t>
      </w:r>
      <w:r w:rsidRPr="00C37365">
        <w:rPr>
          <w:b/>
          <w:lang w:val="es-MX"/>
        </w:rPr>
        <w:t xml:space="preserve"> </w:t>
      </w:r>
      <w:r w:rsidR="002075AD">
        <w:rPr>
          <w:b/>
          <w:lang w:val="es-MX"/>
        </w:rPr>
        <w:t>y</w:t>
      </w:r>
      <w:r w:rsidRPr="00C37365">
        <w:rPr>
          <w:b/>
          <w:lang w:val="es-MX"/>
        </w:rPr>
        <w:t xml:space="preserve"> 202</w:t>
      </w:r>
      <w:r w:rsidR="00C37365">
        <w:rPr>
          <w:b/>
          <w:lang w:val="es-MX"/>
        </w:rPr>
        <w:t>3</w:t>
      </w:r>
      <w:r w:rsidRPr="00C37365">
        <w:rPr>
          <w:b/>
          <w:lang w:val="es-MX"/>
        </w:rPr>
        <w:t>*</w:t>
      </w:r>
    </w:p>
    <w:p w14:paraId="0512D91D" w14:textId="2A82440C" w:rsidR="00E65A70" w:rsidRPr="00C37365" w:rsidRDefault="00C37365" w:rsidP="00E65A70">
      <w:pPr>
        <w:pStyle w:val="Prrafodelista"/>
        <w:ind w:left="360"/>
        <w:jc w:val="center"/>
        <w:rPr>
          <w:b/>
          <w:lang w:val="es-MX"/>
        </w:rPr>
      </w:pPr>
      <w:r>
        <w:rPr>
          <w:b/>
          <w:lang w:val="es-MX"/>
        </w:rPr>
        <w:t>(</w:t>
      </w:r>
      <w:r w:rsidR="00E65A70" w:rsidRPr="00C37365">
        <w:rPr>
          <w:b/>
          <w:lang w:val="es-MX"/>
        </w:rPr>
        <w:t>Al 30 de junio de cada año</w:t>
      </w:r>
      <w:r>
        <w:rPr>
          <w:b/>
          <w:lang w:val="es-MX"/>
        </w:rPr>
        <w:t>)</w:t>
      </w:r>
    </w:p>
    <w:p w14:paraId="3F1FE73B" w14:textId="77777777" w:rsidR="00E65A70" w:rsidRDefault="00E65A70" w:rsidP="00E65A70">
      <w:pPr>
        <w:tabs>
          <w:tab w:val="left" w:pos="426"/>
        </w:tabs>
        <w:rPr>
          <w:b/>
          <w:sz w:val="20"/>
        </w:rPr>
      </w:pPr>
      <w:r>
        <w:rPr>
          <w:b/>
          <w:sz w:val="20"/>
        </w:rPr>
        <w:t xml:space="preserve">  </w:t>
      </w:r>
      <w:r w:rsidRPr="008D520F">
        <w:rPr>
          <w:noProof/>
        </w:rPr>
        <w:t xml:space="preserve"> </w:t>
      </w:r>
      <w:r>
        <w:rPr>
          <w:noProof/>
        </w:rPr>
        <w:drawing>
          <wp:inline distT="0" distB="0" distL="0" distR="0" wp14:anchorId="33D1DDA1" wp14:editId="6968DBE2">
            <wp:extent cx="2775585" cy="2527300"/>
            <wp:effectExtent l="0" t="0" r="5715" b="6350"/>
            <wp:docPr id="27" name="Gráfico 27">
              <a:extLst xmlns:a="http://schemas.openxmlformats.org/drawingml/2006/main">
                <a:ext uri="{FF2B5EF4-FFF2-40B4-BE49-F238E27FC236}">
                  <a16:creationId xmlns:a16="http://schemas.microsoft.com/office/drawing/2014/main" id="{7DC29DC2-27A0-4E38-8B9D-F1E4F8529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rPr>
        <w:drawing>
          <wp:inline distT="0" distB="0" distL="0" distR="0" wp14:anchorId="731E9287" wp14:editId="76C86BA7">
            <wp:extent cx="2708275" cy="2466975"/>
            <wp:effectExtent l="0" t="0" r="0" b="0"/>
            <wp:docPr id="31" name="Gráfico 31">
              <a:extLst xmlns:a="http://schemas.openxmlformats.org/drawingml/2006/main">
                <a:ext uri="{FF2B5EF4-FFF2-40B4-BE49-F238E27FC236}">
                  <a16:creationId xmlns:a16="http://schemas.microsoft.com/office/drawing/2014/main" id="{7DC29DC2-27A0-4E38-8B9D-F1E4F8529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5F69707" w14:textId="77777777" w:rsidR="00E65A70" w:rsidRPr="00132C56" w:rsidRDefault="00E65A70" w:rsidP="00E65A70">
      <w:pPr>
        <w:jc w:val="both"/>
        <w:rPr>
          <w:sz w:val="18"/>
          <w:szCs w:val="18"/>
          <w:lang w:val="es-GT"/>
        </w:rPr>
      </w:pPr>
      <w:r w:rsidRPr="00132C56">
        <w:rPr>
          <w:sz w:val="18"/>
          <w:szCs w:val="18"/>
          <w:lang w:val="es-GT"/>
        </w:rPr>
        <w:t>*</w:t>
      </w:r>
      <w:r>
        <w:rPr>
          <w:sz w:val="18"/>
          <w:szCs w:val="18"/>
          <w:lang w:val="es-GT"/>
        </w:rPr>
        <w:t xml:space="preserve"> </w:t>
      </w:r>
      <w:r w:rsidRPr="00132C56">
        <w:rPr>
          <w:sz w:val="18"/>
          <w:szCs w:val="18"/>
          <w:lang w:val="es-GT"/>
        </w:rPr>
        <w:t>Cifras preliminares</w:t>
      </w:r>
    </w:p>
    <w:p w14:paraId="200CC428" w14:textId="4AA90361" w:rsidR="00E65A70" w:rsidRDefault="00E65A70" w:rsidP="00E65A70">
      <w:pPr>
        <w:jc w:val="both"/>
        <w:rPr>
          <w:sz w:val="18"/>
          <w:szCs w:val="18"/>
          <w:lang w:val="es-GT"/>
        </w:rPr>
      </w:pPr>
      <w:r>
        <w:rPr>
          <w:sz w:val="18"/>
          <w:szCs w:val="18"/>
          <w:lang w:val="es-GT"/>
        </w:rPr>
        <w:t xml:space="preserve">   </w:t>
      </w:r>
      <w:r w:rsidRPr="00132C56">
        <w:rPr>
          <w:sz w:val="18"/>
          <w:szCs w:val="18"/>
          <w:lang w:val="es-GT"/>
        </w:rPr>
        <w:t>Fuente: Ministerio de Finanzas Públicas con base al SICOIN.</w:t>
      </w:r>
    </w:p>
    <w:p w14:paraId="50F38012" w14:textId="77777777" w:rsidR="00C37365" w:rsidRPr="00132C56" w:rsidRDefault="00C37365" w:rsidP="00E65A70">
      <w:pPr>
        <w:jc w:val="both"/>
        <w:rPr>
          <w:sz w:val="18"/>
          <w:szCs w:val="18"/>
          <w:lang w:val="es-GT"/>
        </w:rPr>
      </w:pPr>
    </w:p>
    <w:p w14:paraId="24CDF97E" w14:textId="77777777" w:rsidR="00E65A70" w:rsidRPr="00D7055A" w:rsidRDefault="00E65A70" w:rsidP="00E65A70">
      <w:pPr>
        <w:jc w:val="both"/>
        <w:rPr>
          <w:sz w:val="2"/>
          <w:lang w:val="es-GT"/>
        </w:rPr>
      </w:pPr>
    </w:p>
    <w:p w14:paraId="0CE90AC7" w14:textId="1A59BA08" w:rsidR="00E65A70" w:rsidRDefault="00E65A70" w:rsidP="00E65A70">
      <w:pPr>
        <w:spacing w:after="160" w:line="259" w:lineRule="auto"/>
        <w:rPr>
          <w:lang w:val="es-GT"/>
        </w:rPr>
      </w:pPr>
      <w:r>
        <w:rPr>
          <w:lang w:val="es-GT"/>
        </w:rPr>
        <w:br w:type="page"/>
      </w:r>
    </w:p>
    <w:p w14:paraId="7F427A2D" w14:textId="77777777" w:rsidR="00C06DEB" w:rsidRDefault="00C06DEB" w:rsidP="00E65A70">
      <w:pPr>
        <w:spacing w:after="160" w:line="259" w:lineRule="auto"/>
        <w:rPr>
          <w:lang w:val="es-GT"/>
        </w:rPr>
      </w:pPr>
    </w:p>
    <w:p w14:paraId="634F2A04" w14:textId="77777777" w:rsidR="00E65A70" w:rsidRPr="00E972E8" w:rsidRDefault="00E65A70" w:rsidP="00E65A70">
      <w:pPr>
        <w:jc w:val="both"/>
        <w:rPr>
          <w:lang w:val="es-GT"/>
        </w:rPr>
      </w:pPr>
      <w:r>
        <w:rPr>
          <w:lang w:val="es-GT"/>
        </w:rPr>
        <w:t>En cuanto a la estructura porcentual de la recaudación por tipo de impuesto, los impuestos indirectos incrementaron en 1.0% respecto de 2022. No obstante, ante la inexistencia de cambios en la estructura tributaria a nivel normativo, la regresividad del sistema continua invariante.</w:t>
      </w:r>
    </w:p>
    <w:p w14:paraId="6F0BBE5B" w14:textId="6CCF6506" w:rsidR="00E65A70" w:rsidRDefault="00E65A70" w:rsidP="00E65A70">
      <w:pPr>
        <w:jc w:val="both"/>
        <w:rPr>
          <w:lang w:val="es-GT"/>
        </w:rPr>
      </w:pPr>
    </w:p>
    <w:p w14:paraId="3092A045" w14:textId="77777777" w:rsidR="00E65A70" w:rsidRPr="00C06DEB" w:rsidRDefault="00E65A70" w:rsidP="00E65A70">
      <w:pPr>
        <w:jc w:val="center"/>
        <w:rPr>
          <w:b/>
          <w:lang w:val="es-MX"/>
        </w:rPr>
      </w:pPr>
      <w:r w:rsidRPr="00C06DEB">
        <w:rPr>
          <w:b/>
          <w:lang w:val="es-MX"/>
        </w:rPr>
        <w:t>Gráfica 11</w:t>
      </w:r>
    </w:p>
    <w:p w14:paraId="041B509C" w14:textId="77777777" w:rsidR="00E65A70" w:rsidRPr="00C06DEB" w:rsidRDefault="00E65A70" w:rsidP="00E65A70">
      <w:pPr>
        <w:jc w:val="center"/>
        <w:rPr>
          <w:b/>
          <w:lang w:val="es-MX"/>
        </w:rPr>
      </w:pPr>
      <w:r w:rsidRPr="00C06DEB">
        <w:rPr>
          <w:b/>
          <w:lang w:val="es-MX"/>
        </w:rPr>
        <w:t>Estructura Tributaria por Tipo de Impuesto</w:t>
      </w:r>
    </w:p>
    <w:p w14:paraId="26F02679" w14:textId="549D7F9F" w:rsidR="00E65A70" w:rsidRPr="00C06DEB" w:rsidRDefault="00E65A70" w:rsidP="00E65A70">
      <w:pPr>
        <w:jc w:val="center"/>
        <w:rPr>
          <w:b/>
          <w:lang w:val="es-MX"/>
        </w:rPr>
      </w:pPr>
      <w:r w:rsidRPr="00C06DEB">
        <w:rPr>
          <w:b/>
          <w:lang w:val="es-MX"/>
        </w:rPr>
        <w:t xml:space="preserve">Comparativo 2022 </w:t>
      </w:r>
      <w:r w:rsidR="002075AD">
        <w:rPr>
          <w:b/>
          <w:lang w:val="es-MX"/>
        </w:rPr>
        <w:t>y</w:t>
      </w:r>
      <w:r w:rsidRPr="00C06DEB">
        <w:rPr>
          <w:b/>
          <w:lang w:val="es-MX"/>
        </w:rPr>
        <w:t xml:space="preserve"> 2023*</w:t>
      </w:r>
    </w:p>
    <w:p w14:paraId="6600B377" w14:textId="596C6BA2" w:rsidR="00E65A70" w:rsidRPr="00C06DEB" w:rsidRDefault="00DA78B0" w:rsidP="00E65A70">
      <w:pPr>
        <w:jc w:val="center"/>
        <w:rPr>
          <w:b/>
          <w:noProof/>
          <w:sz w:val="28"/>
          <w:lang w:val="es-GT" w:eastAsia="es-GT"/>
        </w:rPr>
      </w:pPr>
      <w:r w:rsidRPr="00C06DEB">
        <w:rPr>
          <w:b/>
          <w:lang w:val="es-MX"/>
        </w:rPr>
        <w:t>(</w:t>
      </w:r>
      <w:r w:rsidR="00E65A70" w:rsidRPr="00C06DEB">
        <w:rPr>
          <w:b/>
          <w:lang w:val="es-MX"/>
        </w:rPr>
        <w:t>Al 30 de junio de cada año</w:t>
      </w:r>
      <w:r w:rsidRPr="00C06DEB">
        <w:rPr>
          <w:b/>
          <w:lang w:val="es-MX"/>
        </w:rPr>
        <w:t>)</w:t>
      </w:r>
    </w:p>
    <w:p w14:paraId="43F1CF52" w14:textId="77777777" w:rsidR="00E65A70" w:rsidRDefault="00E65A70" w:rsidP="00E65A70">
      <w:pPr>
        <w:jc w:val="center"/>
        <w:rPr>
          <w:noProof/>
          <w:lang w:val="es-GT" w:eastAsia="es-GT"/>
        </w:rPr>
      </w:pPr>
      <w:r>
        <w:rPr>
          <w:b/>
          <w:sz w:val="20"/>
          <w:lang w:val="es-MX"/>
        </w:rPr>
        <w:t xml:space="preserve">         </w:t>
      </w:r>
    </w:p>
    <w:p w14:paraId="2EAB56A1" w14:textId="77777777" w:rsidR="00E65A70" w:rsidRDefault="00E65A70" w:rsidP="00E65A70">
      <w:pPr>
        <w:rPr>
          <w:b/>
          <w:sz w:val="20"/>
          <w:lang w:val="es-MX"/>
        </w:rPr>
      </w:pPr>
      <w:r w:rsidRPr="00482717">
        <w:rPr>
          <w:noProof/>
        </w:rPr>
        <w:t xml:space="preserve"> </w:t>
      </w:r>
      <w:r>
        <w:rPr>
          <w:noProof/>
        </w:rPr>
        <w:drawing>
          <wp:inline distT="0" distB="0" distL="0" distR="0" wp14:anchorId="459BCBBE" wp14:editId="03EDF0F8">
            <wp:extent cx="2660650" cy="2343150"/>
            <wp:effectExtent l="0" t="0" r="6350" b="0"/>
            <wp:docPr id="240" name="Gráfico 240">
              <a:extLst xmlns:a="http://schemas.openxmlformats.org/drawingml/2006/main">
                <a:ext uri="{FF2B5EF4-FFF2-40B4-BE49-F238E27FC236}">
                  <a16:creationId xmlns:a16="http://schemas.microsoft.com/office/drawing/2014/main" id="{F7543E3D-8A6F-4757-AC11-5ECCB6F3F9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Pr>
          <w:noProof/>
        </w:rPr>
        <w:drawing>
          <wp:inline distT="0" distB="0" distL="0" distR="0" wp14:anchorId="3D0117C9" wp14:editId="6534A402">
            <wp:extent cx="2743200" cy="2449542"/>
            <wp:effectExtent l="0" t="0" r="0" b="8255"/>
            <wp:docPr id="246" name="Gráfico 246">
              <a:extLst xmlns:a="http://schemas.openxmlformats.org/drawingml/2006/main">
                <a:ext uri="{FF2B5EF4-FFF2-40B4-BE49-F238E27FC236}">
                  <a16:creationId xmlns:a16="http://schemas.microsoft.com/office/drawing/2014/main" id="{F7543E3D-8A6F-4757-AC11-5ECCB6F3F9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E273028" w14:textId="77777777" w:rsidR="00E65A70" w:rsidRPr="005B732C" w:rsidRDefault="00E65A70" w:rsidP="00E65A70">
      <w:pPr>
        <w:jc w:val="both"/>
        <w:rPr>
          <w:sz w:val="18"/>
          <w:szCs w:val="18"/>
          <w:lang w:val="es-GT"/>
        </w:rPr>
      </w:pPr>
      <w:r w:rsidRPr="005B732C">
        <w:rPr>
          <w:sz w:val="18"/>
          <w:szCs w:val="18"/>
          <w:lang w:val="es-GT"/>
        </w:rPr>
        <w:t>*</w:t>
      </w:r>
      <w:r>
        <w:rPr>
          <w:sz w:val="18"/>
          <w:szCs w:val="18"/>
          <w:lang w:val="es-GT"/>
        </w:rPr>
        <w:t xml:space="preserve"> </w:t>
      </w:r>
      <w:r w:rsidRPr="005B732C">
        <w:rPr>
          <w:sz w:val="18"/>
          <w:szCs w:val="18"/>
          <w:lang w:val="es-GT"/>
        </w:rPr>
        <w:t>Cifras preliminares</w:t>
      </w:r>
      <w:r>
        <w:rPr>
          <w:sz w:val="18"/>
          <w:szCs w:val="18"/>
          <w:lang w:val="es-GT"/>
        </w:rPr>
        <w:t xml:space="preserve"> </w:t>
      </w:r>
    </w:p>
    <w:p w14:paraId="406F6E49" w14:textId="77777777" w:rsidR="00E65A70" w:rsidRDefault="00E65A70" w:rsidP="00E65A70">
      <w:pPr>
        <w:jc w:val="both"/>
        <w:rPr>
          <w:lang w:val="es-GT"/>
        </w:rPr>
      </w:pPr>
      <w:r>
        <w:rPr>
          <w:sz w:val="18"/>
          <w:szCs w:val="18"/>
          <w:lang w:val="es-GT"/>
        </w:rPr>
        <w:t xml:space="preserve">   </w:t>
      </w:r>
      <w:r w:rsidRPr="006C1510">
        <w:rPr>
          <w:sz w:val="18"/>
          <w:szCs w:val="18"/>
          <w:lang w:val="es-GT"/>
        </w:rPr>
        <w:t>Fuente: Ministerio de Finanzas Públicas con base</w:t>
      </w:r>
      <w:r>
        <w:rPr>
          <w:sz w:val="18"/>
          <w:szCs w:val="18"/>
          <w:lang w:val="es-GT"/>
        </w:rPr>
        <w:t xml:space="preserve"> al</w:t>
      </w:r>
      <w:r w:rsidRPr="006C1510">
        <w:rPr>
          <w:sz w:val="18"/>
          <w:szCs w:val="18"/>
          <w:lang w:val="es-GT"/>
        </w:rPr>
        <w:t xml:space="preserve"> SICOIN</w:t>
      </w:r>
      <w:r>
        <w:rPr>
          <w:sz w:val="18"/>
          <w:szCs w:val="18"/>
          <w:lang w:val="es-GT"/>
        </w:rPr>
        <w:t>.</w:t>
      </w:r>
    </w:p>
    <w:p w14:paraId="0DE6B4D3" w14:textId="77777777" w:rsidR="00E65A70" w:rsidRPr="00A76096" w:rsidRDefault="00E65A70" w:rsidP="00E65A70">
      <w:pPr>
        <w:jc w:val="both"/>
        <w:rPr>
          <w:sz w:val="4"/>
          <w:lang w:val="es-GT"/>
        </w:rPr>
      </w:pPr>
    </w:p>
    <w:p w14:paraId="66B3AF02" w14:textId="77777777" w:rsidR="00E65A70" w:rsidRPr="008C04A0" w:rsidRDefault="00E65A70" w:rsidP="00E65A70">
      <w:pPr>
        <w:rPr>
          <w:lang w:val="es-GT"/>
        </w:rPr>
      </w:pPr>
    </w:p>
    <w:p w14:paraId="2ECBDC4E" w14:textId="5DCF64A4" w:rsidR="00E65A70" w:rsidRDefault="00E65A70" w:rsidP="00E65A70">
      <w:pPr>
        <w:rPr>
          <w:lang w:val="es-MX"/>
        </w:rPr>
      </w:pPr>
    </w:p>
    <w:p w14:paraId="1F8A4BC7" w14:textId="77777777" w:rsidR="00E425C1" w:rsidRPr="006D2B90" w:rsidRDefault="00E425C1" w:rsidP="00FC0361">
      <w:pPr>
        <w:pStyle w:val="Ttulo2"/>
        <w:numPr>
          <w:ilvl w:val="0"/>
          <w:numId w:val="4"/>
        </w:numPr>
        <w:ind w:left="709" w:hanging="709"/>
        <w:rPr>
          <w:rFonts w:ascii="Times New Roman" w:hAnsi="Times New Roman"/>
          <w:color w:val="auto"/>
          <w:sz w:val="24"/>
        </w:rPr>
      </w:pPr>
      <w:bookmarkStart w:id="15" w:name="_Toc142920537"/>
      <w:bookmarkEnd w:id="3"/>
      <w:bookmarkEnd w:id="4"/>
      <w:r w:rsidRPr="006D2B90">
        <w:rPr>
          <w:rFonts w:ascii="Times New Roman" w:hAnsi="Times New Roman"/>
          <w:color w:val="auto"/>
          <w:sz w:val="24"/>
        </w:rPr>
        <w:t>Gastos</w:t>
      </w:r>
      <w:bookmarkEnd w:id="15"/>
    </w:p>
    <w:p w14:paraId="1789CED0" w14:textId="77777777" w:rsidR="00E425C1" w:rsidRDefault="00E425C1" w:rsidP="00E425C1">
      <w:pPr>
        <w:rPr>
          <w:b/>
          <w:bCs/>
          <w:highlight w:val="yellow"/>
          <w:lang w:val="es-MX"/>
        </w:rPr>
      </w:pPr>
    </w:p>
    <w:p w14:paraId="242B5D9B" w14:textId="600B8BE1" w:rsidR="005F2EE7" w:rsidRDefault="005F2EE7" w:rsidP="005F2EE7">
      <w:pPr>
        <w:jc w:val="both"/>
        <w:rPr>
          <w:lang w:val="es-MX"/>
        </w:rPr>
      </w:pPr>
      <w:r w:rsidRPr="00FB641E">
        <w:rPr>
          <w:lang w:val="es-MX"/>
        </w:rPr>
        <w:t>Al 30 de junio de 20</w:t>
      </w:r>
      <w:r>
        <w:rPr>
          <w:lang w:val="es-MX"/>
        </w:rPr>
        <w:t>23</w:t>
      </w:r>
      <w:r w:rsidR="0042480D">
        <w:rPr>
          <w:lang w:val="es-MX"/>
        </w:rPr>
        <w:t>,</w:t>
      </w:r>
      <w:r w:rsidRPr="00FB641E">
        <w:rPr>
          <w:lang w:val="es-MX"/>
        </w:rPr>
        <w:t xml:space="preserve"> </w:t>
      </w:r>
      <w:r>
        <w:rPr>
          <w:lang w:val="es-MX"/>
        </w:rPr>
        <w:t>la ejecución presupuestaria preliminar fue de</w:t>
      </w:r>
      <w:r w:rsidRPr="00FB641E">
        <w:rPr>
          <w:lang w:val="es-MX"/>
        </w:rPr>
        <w:t xml:space="preserve"> Q</w:t>
      </w:r>
      <w:r>
        <w:rPr>
          <w:lang w:val="es-MX"/>
        </w:rPr>
        <w:t>.54</w:t>
      </w:r>
      <w:r w:rsidRPr="00FB641E">
        <w:rPr>
          <w:lang w:val="es-MX"/>
        </w:rPr>
        <w:t>,</w:t>
      </w:r>
      <w:r>
        <w:rPr>
          <w:lang w:val="es-MX"/>
        </w:rPr>
        <w:t>863.3</w:t>
      </w:r>
      <w:r w:rsidRPr="00FB641E">
        <w:rPr>
          <w:lang w:val="es-MX"/>
        </w:rPr>
        <w:t xml:space="preserve"> millones, </w:t>
      </w:r>
      <w:r>
        <w:rPr>
          <w:lang w:val="es-MX"/>
        </w:rPr>
        <w:t>equivalentes al 46.4</w:t>
      </w:r>
      <w:r w:rsidRPr="00FB641E">
        <w:rPr>
          <w:lang w:val="es-MX"/>
        </w:rPr>
        <w:t>% del presupuesto vigente</w:t>
      </w:r>
      <w:r>
        <w:rPr>
          <w:lang w:val="es-MX"/>
        </w:rPr>
        <w:t xml:space="preserve">, </w:t>
      </w:r>
      <w:r w:rsidR="008B7DA0">
        <w:rPr>
          <w:lang w:val="es-MX"/>
        </w:rPr>
        <w:t>el cual asciende al</w:t>
      </w:r>
      <w:r>
        <w:rPr>
          <w:lang w:val="es-MX"/>
        </w:rPr>
        <w:t xml:space="preserve"> monto de Q</w:t>
      </w:r>
      <w:r w:rsidR="003631E2">
        <w:rPr>
          <w:lang w:val="es-MX"/>
        </w:rPr>
        <w:t>.</w:t>
      </w:r>
      <w:r>
        <w:rPr>
          <w:lang w:val="es-MX"/>
        </w:rPr>
        <w:t>118,159.7 millones;</w:t>
      </w:r>
      <w:r w:rsidRPr="00FB641E">
        <w:rPr>
          <w:lang w:val="es-MX"/>
        </w:rPr>
        <w:t xml:space="preserve"> </w:t>
      </w:r>
      <w:r>
        <w:rPr>
          <w:lang w:val="es-MX"/>
        </w:rPr>
        <w:t>esta ejecución fue mayor en Q.7,344.5 millones respecto del observado a junio de 2022 que equivale a un 15.5% de aumento</w:t>
      </w:r>
      <w:r w:rsidRPr="00FB641E">
        <w:rPr>
          <w:lang w:val="es-MX"/>
        </w:rPr>
        <w:t xml:space="preserve">. </w:t>
      </w:r>
      <w:r>
        <w:rPr>
          <w:lang w:val="es-MX"/>
        </w:rPr>
        <w:t xml:space="preserve">La estructura porcentual de la ejecución presupuestaria preliminar, por tipo de gasto, a junio de 2023 refleja que el 68.7% </w:t>
      </w:r>
      <w:r w:rsidR="008B7DA0">
        <w:rPr>
          <w:lang w:val="es-MX"/>
        </w:rPr>
        <w:t>s</w:t>
      </w:r>
      <w:r>
        <w:rPr>
          <w:lang w:val="es-MX"/>
        </w:rPr>
        <w:t>e destin</w:t>
      </w:r>
      <w:r w:rsidR="003631E2">
        <w:rPr>
          <w:lang w:val="es-MX"/>
        </w:rPr>
        <w:t>a</w:t>
      </w:r>
      <w:r>
        <w:rPr>
          <w:lang w:val="es-MX"/>
        </w:rPr>
        <w:t xml:space="preserve"> a Gastos de Funcionamiento, el cual fue mayor a lo observado a junio de 2022 en Q.5,268.3 millones; el 17.0% al Gasto de Inversión que también fue mayor en Q.1,550.8 millones; y la diferencia corresponde a la Deuda Pública </w:t>
      </w:r>
      <w:r w:rsidR="008B7DA0">
        <w:rPr>
          <w:lang w:val="es-MX"/>
        </w:rPr>
        <w:t xml:space="preserve">con </w:t>
      </w:r>
      <w:r>
        <w:rPr>
          <w:lang w:val="es-MX"/>
        </w:rPr>
        <w:t>el 14.3%, que fue mayor en Q.525.4 millones</w:t>
      </w:r>
      <w:r w:rsidR="008B7DA0">
        <w:rPr>
          <w:lang w:val="es-MX"/>
        </w:rPr>
        <w:t xml:space="preserve"> con respecto</w:t>
      </w:r>
      <w:r>
        <w:rPr>
          <w:lang w:val="es-MX"/>
        </w:rPr>
        <w:t xml:space="preserve"> a lo ejecutado a junio de 2022</w:t>
      </w:r>
      <w:r w:rsidRPr="00FB641E">
        <w:rPr>
          <w:lang w:val="es-MX"/>
        </w:rPr>
        <w:t>.</w:t>
      </w:r>
    </w:p>
    <w:p w14:paraId="2EB2BF67" w14:textId="77777777" w:rsidR="005F2EE7" w:rsidRDefault="005F2EE7" w:rsidP="005F2EE7">
      <w:pPr>
        <w:jc w:val="both"/>
        <w:rPr>
          <w:lang w:val="es-MX"/>
        </w:rPr>
      </w:pPr>
    </w:p>
    <w:p w14:paraId="1A659FD2" w14:textId="51936880" w:rsidR="005F2EE7" w:rsidRDefault="005F2EE7" w:rsidP="005F2EE7">
      <w:pPr>
        <w:jc w:val="both"/>
        <w:rPr>
          <w:lang w:val="es-MX"/>
        </w:rPr>
      </w:pPr>
      <w:r>
        <w:rPr>
          <w:lang w:val="es-MX"/>
        </w:rPr>
        <w:t xml:space="preserve">El presupuesto vigente al 30 de junio de 2023 es de Q.118,159.7 millones, mayor en Q.5,896.5 millones al presupuesto vigente al mismo período de 2022, que fue de Q.112,263.3 millones; lo cual da como resultado que el porcentaje de ejecución alcanzó el 42.3% a junio de 2022, mientras que para 2023 </w:t>
      </w:r>
      <w:r w:rsidR="003631E2">
        <w:rPr>
          <w:lang w:val="es-MX"/>
        </w:rPr>
        <w:t>es</w:t>
      </w:r>
      <w:r>
        <w:rPr>
          <w:lang w:val="es-MX"/>
        </w:rPr>
        <w:t xml:space="preserve"> de 46.4%; el aumento neto total fue del 5.3%.</w:t>
      </w:r>
    </w:p>
    <w:p w14:paraId="47B1071E" w14:textId="1F1CE339" w:rsidR="005F2EE7" w:rsidRDefault="005F2EE7" w:rsidP="005F2EE7">
      <w:pPr>
        <w:jc w:val="both"/>
        <w:rPr>
          <w:lang w:val="es-MX"/>
        </w:rPr>
      </w:pPr>
    </w:p>
    <w:p w14:paraId="3245CAB0" w14:textId="77777777" w:rsidR="003631E2" w:rsidRDefault="003631E2" w:rsidP="005F2EE7">
      <w:pPr>
        <w:jc w:val="both"/>
        <w:rPr>
          <w:lang w:val="es-MX"/>
        </w:rPr>
      </w:pPr>
    </w:p>
    <w:p w14:paraId="6D6ADCD7" w14:textId="77777777" w:rsidR="005F2EE7" w:rsidRPr="00AF05C7" w:rsidRDefault="005F2EE7" w:rsidP="005F2EE7">
      <w:pPr>
        <w:jc w:val="center"/>
        <w:rPr>
          <w:b/>
          <w:szCs w:val="22"/>
          <w:lang w:val="es-MX"/>
        </w:rPr>
      </w:pPr>
      <w:r w:rsidRPr="00AF05C7">
        <w:rPr>
          <w:b/>
          <w:szCs w:val="22"/>
          <w:lang w:val="es-MX"/>
        </w:rPr>
        <w:t>Cuadro 3</w:t>
      </w:r>
    </w:p>
    <w:p w14:paraId="37A7273B" w14:textId="77777777" w:rsidR="005F2EE7" w:rsidRPr="00AF05C7" w:rsidRDefault="005F2EE7" w:rsidP="005F2EE7">
      <w:pPr>
        <w:jc w:val="center"/>
        <w:rPr>
          <w:b/>
          <w:szCs w:val="22"/>
          <w:lang w:val="es-MX"/>
        </w:rPr>
      </w:pPr>
      <w:r w:rsidRPr="00AF05C7">
        <w:rPr>
          <w:b/>
          <w:szCs w:val="22"/>
          <w:lang w:val="es-MX"/>
        </w:rPr>
        <w:t>Ejecución Presupuestaria por Tipo de Gasto</w:t>
      </w:r>
    </w:p>
    <w:p w14:paraId="2298D77B" w14:textId="6F740A2B" w:rsidR="005F2EE7" w:rsidRPr="00AF05C7" w:rsidRDefault="005F2EE7" w:rsidP="005F2EE7">
      <w:pPr>
        <w:jc w:val="center"/>
        <w:rPr>
          <w:b/>
          <w:szCs w:val="22"/>
          <w:lang w:val="es-MX"/>
        </w:rPr>
      </w:pPr>
      <w:r w:rsidRPr="00AF05C7">
        <w:rPr>
          <w:b/>
          <w:szCs w:val="22"/>
          <w:lang w:val="es-MX"/>
        </w:rPr>
        <w:t>Al 30 de junio de 20</w:t>
      </w:r>
      <w:r>
        <w:rPr>
          <w:b/>
          <w:szCs w:val="22"/>
          <w:lang w:val="es-MX"/>
        </w:rPr>
        <w:t>2</w:t>
      </w:r>
      <w:r w:rsidR="0045227E">
        <w:rPr>
          <w:b/>
          <w:szCs w:val="22"/>
          <w:lang w:val="es-MX"/>
        </w:rPr>
        <w:t>2</w:t>
      </w:r>
      <w:r w:rsidRPr="00AF05C7">
        <w:rPr>
          <w:b/>
          <w:szCs w:val="22"/>
          <w:lang w:val="es-MX"/>
        </w:rPr>
        <w:t xml:space="preserve"> y 202</w:t>
      </w:r>
      <w:r w:rsidR="0045227E">
        <w:rPr>
          <w:b/>
          <w:szCs w:val="22"/>
          <w:lang w:val="es-MX"/>
        </w:rPr>
        <w:t>3</w:t>
      </w:r>
      <w:r>
        <w:rPr>
          <w:b/>
          <w:szCs w:val="22"/>
          <w:lang w:val="es-MX"/>
        </w:rPr>
        <w:t>*</w:t>
      </w:r>
    </w:p>
    <w:p w14:paraId="5C8F4361" w14:textId="77777777" w:rsidR="005F2EE7" w:rsidRPr="00AF05C7" w:rsidRDefault="005F2EE7" w:rsidP="005F2EE7">
      <w:pPr>
        <w:jc w:val="center"/>
        <w:rPr>
          <w:sz w:val="20"/>
          <w:lang w:val="es-MX"/>
        </w:rPr>
      </w:pPr>
      <w:r w:rsidRPr="00AF05C7">
        <w:rPr>
          <w:b/>
          <w:szCs w:val="22"/>
          <w:lang w:val="es-MX"/>
        </w:rPr>
        <w:t>(Cifras en Millones de Quetzales y Porcentajes)</w:t>
      </w:r>
    </w:p>
    <w:tbl>
      <w:tblPr>
        <w:tblW w:w="0" w:type="auto"/>
        <w:jc w:val="center"/>
        <w:tblCellMar>
          <w:left w:w="70" w:type="dxa"/>
          <w:right w:w="70" w:type="dxa"/>
        </w:tblCellMar>
        <w:tblLook w:val="04A0" w:firstRow="1" w:lastRow="0" w:firstColumn="1" w:lastColumn="0" w:noHBand="0" w:noVBand="1"/>
      </w:tblPr>
      <w:tblGrid>
        <w:gridCol w:w="2367"/>
        <w:gridCol w:w="1178"/>
        <w:gridCol w:w="1134"/>
        <w:gridCol w:w="1417"/>
        <w:gridCol w:w="1418"/>
        <w:gridCol w:w="1407"/>
      </w:tblGrid>
      <w:tr w:rsidR="005F2EE7" w:rsidRPr="0057487E" w14:paraId="5FD1E7D4" w14:textId="77777777" w:rsidTr="00412803">
        <w:trPr>
          <w:trHeight w:val="356"/>
          <w:jc w:val="center"/>
        </w:trPr>
        <w:tc>
          <w:tcPr>
            <w:tcW w:w="2367" w:type="dxa"/>
            <w:vMerge w:val="restart"/>
            <w:tcBorders>
              <w:top w:val="single" w:sz="8" w:space="0" w:color="auto"/>
              <w:left w:val="single" w:sz="8" w:space="0" w:color="auto"/>
              <w:bottom w:val="single" w:sz="4" w:space="0" w:color="000000"/>
              <w:right w:val="nil"/>
            </w:tcBorders>
            <w:shd w:val="clear" w:color="auto" w:fill="00B0F0"/>
            <w:vAlign w:val="center"/>
            <w:hideMark/>
          </w:tcPr>
          <w:p w14:paraId="7F18B4D4" w14:textId="77777777" w:rsidR="005F2EE7" w:rsidRPr="0057487E" w:rsidRDefault="005F2EE7" w:rsidP="0042480D">
            <w:pPr>
              <w:jc w:val="center"/>
              <w:rPr>
                <w:b/>
                <w:bCs/>
                <w:color w:val="000000"/>
                <w:sz w:val="22"/>
                <w:szCs w:val="22"/>
                <w:lang w:val="es-GT" w:eastAsia="es-GT"/>
              </w:rPr>
            </w:pPr>
            <w:r w:rsidRPr="0057487E">
              <w:rPr>
                <w:b/>
                <w:bCs/>
                <w:color w:val="000000"/>
                <w:sz w:val="22"/>
                <w:szCs w:val="22"/>
                <w:lang w:val="es-GT" w:eastAsia="es-GT"/>
              </w:rPr>
              <w:t>Tipo de Gasto</w:t>
            </w:r>
          </w:p>
        </w:tc>
        <w:tc>
          <w:tcPr>
            <w:tcW w:w="1178"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71DE2BFD" w14:textId="77777777" w:rsidR="005F2EE7" w:rsidRPr="0057487E" w:rsidRDefault="005F2EE7" w:rsidP="0042480D">
            <w:pPr>
              <w:jc w:val="center"/>
              <w:rPr>
                <w:b/>
                <w:bCs/>
                <w:color w:val="000000"/>
                <w:sz w:val="22"/>
                <w:szCs w:val="22"/>
                <w:lang w:val="es-GT" w:eastAsia="es-GT"/>
              </w:rPr>
            </w:pPr>
            <w:r w:rsidRPr="0057487E">
              <w:rPr>
                <w:b/>
                <w:bCs/>
                <w:color w:val="000000"/>
                <w:sz w:val="22"/>
                <w:szCs w:val="22"/>
                <w:lang w:val="es-GT" w:eastAsia="es-GT"/>
              </w:rPr>
              <w:t>2022</w:t>
            </w:r>
          </w:p>
        </w:tc>
        <w:tc>
          <w:tcPr>
            <w:tcW w:w="1134"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734A763A" w14:textId="77777777" w:rsidR="005F2EE7" w:rsidRPr="0057487E" w:rsidRDefault="005F2EE7" w:rsidP="0042480D">
            <w:pPr>
              <w:jc w:val="center"/>
              <w:rPr>
                <w:b/>
                <w:bCs/>
                <w:color w:val="000000"/>
                <w:sz w:val="22"/>
                <w:szCs w:val="22"/>
                <w:lang w:val="es-GT" w:eastAsia="es-GT"/>
              </w:rPr>
            </w:pPr>
            <w:r w:rsidRPr="0057487E">
              <w:rPr>
                <w:b/>
                <w:bCs/>
                <w:color w:val="000000"/>
                <w:sz w:val="22"/>
                <w:szCs w:val="22"/>
                <w:lang w:val="es-GT" w:eastAsia="es-GT"/>
              </w:rPr>
              <w:t>2023</w:t>
            </w:r>
          </w:p>
        </w:tc>
        <w:tc>
          <w:tcPr>
            <w:tcW w:w="2835" w:type="dxa"/>
            <w:gridSpan w:val="2"/>
            <w:tcBorders>
              <w:top w:val="single" w:sz="8" w:space="0" w:color="auto"/>
              <w:left w:val="nil"/>
              <w:bottom w:val="nil"/>
              <w:right w:val="single" w:sz="8" w:space="0" w:color="000000"/>
            </w:tcBorders>
            <w:shd w:val="clear" w:color="auto" w:fill="00B0F0"/>
            <w:noWrap/>
            <w:vAlign w:val="center"/>
            <w:hideMark/>
          </w:tcPr>
          <w:p w14:paraId="0AA68FE0" w14:textId="77777777" w:rsidR="005F2EE7" w:rsidRPr="0057487E" w:rsidRDefault="005F2EE7" w:rsidP="0057487E">
            <w:pPr>
              <w:jc w:val="center"/>
              <w:rPr>
                <w:b/>
                <w:bCs/>
                <w:color w:val="000000"/>
                <w:sz w:val="22"/>
                <w:szCs w:val="22"/>
                <w:lang w:val="es-GT" w:eastAsia="es-GT"/>
              </w:rPr>
            </w:pPr>
            <w:r w:rsidRPr="0057487E">
              <w:rPr>
                <w:b/>
                <w:bCs/>
                <w:color w:val="000000"/>
                <w:sz w:val="22"/>
                <w:szCs w:val="22"/>
                <w:lang w:val="es-GT" w:eastAsia="es-GT"/>
              </w:rPr>
              <w:t>Diferencias</w:t>
            </w:r>
          </w:p>
        </w:tc>
        <w:tc>
          <w:tcPr>
            <w:tcW w:w="1407" w:type="dxa"/>
            <w:vMerge w:val="restart"/>
            <w:tcBorders>
              <w:top w:val="single" w:sz="8" w:space="0" w:color="auto"/>
              <w:left w:val="single" w:sz="8" w:space="0" w:color="auto"/>
              <w:bottom w:val="single" w:sz="4" w:space="0" w:color="000000"/>
              <w:right w:val="single" w:sz="8" w:space="0" w:color="auto"/>
            </w:tcBorders>
            <w:shd w:val="clear" w:color="auto" w:fill="00B0F0"/>
            <w:vAlign w:val="center"/>
            <w:hideMark/>
          </w:tcPr>
          <w:p w14:paraId="32EA4125" w14:textId="77777777" w:rsidR="005F2EE7" w:rsidRPr="0057487E" w:rsidRDefault="005F2EE7" w:rsidP="0042480D">
            <w:pPr>
              <w:jc w:val="center"/>
              <w:rPr>
                <w:b/>
                <w:bCs/>
                <w:color w:val="000000"/>
                <w:sz w:val="22"/>
                <w:szCs w:val="22"/>
                <w:lang w:val="es-GT" w:eastAsia="es-GT"/>
              </w:rPr>
            </w:pPr>
            <w:r w:rsidRPr="0057487E">
              <w:rPr>
                <w:b/>
                <w:bCs/>
                <w:color w:val="000000"/>
                <w:sz w:val="22"/>
                <w:szCs w:val="22"/>
                <w:lang w:val="es-GT" w:eastAsia="es-GT"/>
              </w:rPr>
              <w:t>Estructura 2023</w:t>
            </w:r>
          </w:p>
        </w:tc>
      </w:tr>
      <w:tr w:rsidR="005F2EE7" w:rsidRPr="0057487E" w14:paraId="0CCDF73E" w14:textId="77777777" w:rsidTr="00412803">
        <w:trPr>
          <w:trHeight w:val="356"/>
          <w:jc w:val="center"/>
        </w:trPr>
        <w:tc>
          <w:tcPr>
            <w:tcW w:w="2367" w:type="dxa"/>
            <w:vMerge/>
            <w:tcBorders>
              <w:top w:val="single" w:sz="8" w:space="0" w:color="auto"/>
              <w:left w:val="single" w:sz="8" w:space="0" w:color="auto"/>
              <w:bottom w:val="single" w:sz="4" w:space="0" w:color="000000"/>
              <w:right w:val="nil"/>
            </w:tcBorders>
            <w:vAlign w:val="center"/>
            <w:hideMark/>
          </w:tcPr>
          <w:p w14:paraId="12B7A37C" w14:textId="77777777" w:rsidR="005F2EE7" w:rsidRPr="0057487E" w:rsidRDefault="005F2EE7" w:rsidP="0042480D">
            <w:pPr>
              <w:rPr>
                <w:b/>
                <w:bCs/>
                <w:color w:val="000000"/>
                <w:sz w:val="22"/>
                <w:szCs w:val="22"/>
                <w:lang w:val="es-GT" w:eastAsia="es-GT"/>
              </w:rPr>
            </w:pPr>
          </w:p>
        </w:tc>
        <w:tc>
          <w:tcPr>
            <w:tcW w:w="1178" w:type="dxa"/>
            <w:vMerge/>
            <w:tcBorders>
              <w:top w:val="single" w:sz="8" w:space="0" w:color="auto"/>
              <w:left w:val="single" w:sz="4" w:space="0" w:color="auto"/>
              <w:bottom w:val="single" w:sz="4" w:space="0" w:color="000000"/>
              <w:right w:val="single" w:sz="4" w:space="0" w:color="auto"/>
            </w:tcBorders>
            <w:vAlign w:val="center"/>
            <w:hideMark/>
          </w:tcPr>
          <w:p w14:paraId="2A077C01" w14:textId="77777777" w:rsidR="005F2EE7" w:rsidRPr="0057487E" w:rsidRDefault="005F2EE7" w:rsidP="0042480D">
            <w:pPr>
              <w:rPr>
                <w:b/>
                <w:bCs/>
                <w:color w:val="000000"/>
                <w:sz w:val="22"/>
                <w:szCs w:val="22"/>
                <w:lang w:val="es-GT" w:eastAsia="es-GT"/>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7C2CEF6D" w14:textId="77777777" w:rsidR="005F2EE7" w:rsidRPr="0057487E" w:rsidRDefault="005F2EE7" w:rsidP="0042480D">
            <w:pPr>
              <w:rPr>
                <w:b/>
                <w:bCs/>
                <w:color w:val="000000"/>
                <w:sz w:val="22"/>
                <w:szCs w:val="22"/>
                <w:lang w:val="es-GT" w:eastAsia="es-GT"/>
              </w:rPr>
            </w:pPr>
          </w:p>
        </w:tc>
        <w:tc>
          <w:tcPr>
            <w:tcW w:w="1417" w:type="dxa"/>
            <w:tcBorders>
              <w:top w:val="single" w:sz="4" w:space="0" w:color="auto"/>
              <w:left w:val="nil"/>
              <w:bottom w:val="single" w:sz="4" w:space="0" w:color="auto"/>
              <w:right w:val="single" w:sz="4" w:space="0" w:color="auto"/>
            </w:tcBorders>
            <w:shd w:val="clear" w:color="auto" w:fill="00B0F0"/>
            <w:noWrap/>
            <w:vAlign w:val="center"/>
            <w:hideMark/>
          </w:tcPr>
          <w:p w14:paraId="62EA2A39" w14:textId="77777777" w:rsidR="005F2EE7" w:rsidRPr="0057487E" w:rsidRDefault="005F2EE7" w:rsidP="0057487E">
            <w:pPr>
              <w:jc w:val="center"/>
              <w:rPr>
                <w:b/>
                <w:bCs/>
                <w:color w:val="000000"/>
                <w:sz w:val="22"/>
                <w:szCs w:val="22"/>
                <w:lang w:val="es-GT" w:eastAsia="es-GT"/>
              </w:rPr>
            </w:pPr>
            <w:r w:rsidRPr="0057487E">
              <w:rPr>
                <w:b/>
                <w:bCs/>
                <w:color w:val="000000"/>
                <w:sz w:val="22"/>
                <w:szCs w:val="22"/>
                <w:lang w:val="es-GT" w:eastAsia="es-GT"/>
              </w:rPr>
              <w:t>Absolutas</w:t>
            </w:r>
          </w:p>
        </w:tc>
        <w:tc>
          <w:tcPr>
            <w:tcW w:w="1418" w:type="dxa"/>
            <w:tcBorders>
              <w:top w:val="single" w:sz="4" w:space="0" w:color="auto"/>
              <w:left w:val="nil"/>
              <w:bottom w:val="single" w:sz="4" w:space="0" w:color="auto"/>
              <w:right w:val="single" w:sz="8" w:space="0" w:color="auto"/>
            </w:tcBorders>
            <w:shd w:val="clear" w:color="auto" w:fill="00B0F0"/>
            <w:noWrap/>
            <w:vAlign w:val="center"/>
            <w:hideMark/>
          </w:tcPr>
          <w:p w14:paraId="4C62AFD6" w14:textId="77777777" w:rsidR="005F2EE7" w:rsidRPr="0057487E" w:rsidRDefault="005F2EE7" w:rsidP="0057487E">
            <w:pPr>
              <w:jc w:val="center"/>
              <w:rPr>
                <w:b/>
                <w:bCs/>
                <w:color w:val="000000"/>
                <w:sz w:val="22"/>
                <w:szCs w:val="22"/>
                <w:lang w:val="es-GT" w:eastAsia="es-GT"/>
              </w:rPr>
            </w:pPr>
            <w:r w:rsidRPr="0057487E">
              <w:rPr>
                <w:b/>
                <w:bCs/>
                <w:color w:val="000000"/>
                <w:sz w:val="22"/>
                <w:szCs w:val="22"/>
                <w:lang w:val="es-GT" w:eastAsia="es-GT"/>
              </w:rPr>
              <w:t>Relativas</w:t>
            </w:r>
          </w:p>
        </w:tc>
        <w:tc>
          <w:tcPr>
            <w:tcW w:w="1407" w:type="dxa"/>
            <w:vMerge/>
            <w:tcBorders>
              <w:top w:val="single" w:sz="8" w:space="0" w:color="auto"/>
              <w:left w:val="single" w:sz="8" w:space="0" w:color="auto"/>
              <w:bottom w:val="single" w:sz="4" w:space="0" w:color="000000"/>
              <w:right w:val="single" w:sz="8" w:space="0" w:color="auto"/>
            </w:tcBorders>
            <w:vAlign w:val="center"/>
            <w:hideMark/>
          </w:tcPr>
          <w:p w14:paraId="01008A80" w14:textId="77777777" w:rsidR="005F2EE7" w:rsidRPr="0057487E" w:rsidRDefault="005F2EE7" w:rsidP="0042480D">
            <w:pPr>
              <w:rPr>
                <w:b/>
                <w:bCs/>
                <w:color w:val="000000"/>
                <w:sz w:val="22"/>
                <w:szCs w:val="22"/>
                <w:lang w:val="es-GT" w:eastAsia="es-GT"/>
              </w:rPr>
            </w:pPr>
          </w:p>
        </w:tc>
      </w:tr>
      <w:tr w:rsidR="005F2EE7" w:rsidRPr="0057487E" w14:paraId="15495BD0" w14:textId="77777777" w:rsidTr="00C322E3">
        <w:trPr>
          <w:trHeight w:val="356"/>
          <w:jc w:val="center"/>
        </w:trPr>
        <w:tc>
          <w:tcPr>
            <w:tcW w:w="2367" w:type="dxa"/>
            <w:tcBorders>
              <w:top w:val="nil"/>
              <w:left w:val="single" w:sz="8" w:space="0" w:color="auto"/>
              <w:bottom w:val="nil"/>
              <w:right w:val="nil"/>
            </w:tcBorders>
            <w:shd w:val="clear" w:color="000000" w:fill="FFFFFF"/>
            <w:noWrap/>
            <w:vAlign w:val="center"/>
            <w:hideMark/>
          </w:tcPr>
          <w:p w14:paraId="5492B57A" w14:textId="77777777" w:rsidR="005F2EE7" w:rsidRPr="0057487E" w:rsidRDefault="005F2EE7" w:rsidP="0045227E">
            <w:pPr>
              <w:jc w:val="center"/>
              <w:rPr>
                <w:b/>
                <w:bCs/>
                <w:color w:val="000000"/>
                <w:sz w:val="22"/>
                <w:szCs w:val="22"/>
                <w:lang w:val="es-GT" w:eastAsia="es-GT"/>
              </w:rPr>
            </w:pPr>
            <w:r w:rsidRPr="0057487E">
              <w:rPr>
                <w:b/>
                <w:bCs/>
                <w:color w:val="000000"/>
                <w:sz w:val="22"/>
                <w:szCs w:val="22"/>
                <w:lang w:val="es-GT" w:eastAsia="es-GT"/>
              </w:rPr>
              <w:t>Total</w:t>
            </w:r>
          </w:p>
        </w:tc>
        <w:tc>
          <w:tcPr>
            <w:tcW w:w="1178" w:type="dxa"/>
            <w:tcBorders>
              <w:top w:val="nil"/>
              <w:left w:val="single" w:sz="4" w:space="0" w:color="auto"/>
              <w:bottom w:val="nil"/>
              <w:right w:val="single" w:sz="4" w:space="0" w:color="auto"/>
            </w:tcBorders>
            <w:shd w:val="clear" w:color="000000" w:fill="FFFFFF"/>
            <w:noWrap/>
            <w:vAlign w:val="center"/>
            <w:hideMark/>
          </w:tcPr>
          <w:p w14:paraId="1B48F841" w14:textId="77777777" w:rsidR="005F2EE7" w:rsidRPr="0057487E" w:rsidRDefault="005F2EE7" w:rsidP="0042480D">
            <w:pPr>
              <w:jc w:val="right"/>
              <w:rPr>
                <w:b/>
                <w:bCs/>
                <w:color w:val="000000"/>
                <w:sz w:val="22"/>
                <w:szCs w:val="22"/>
                <w:lang w:val="es-GT" w:eastAsia="es-GT"/>
              </w:rPr>
            </w:pPr>
            <w:r w:rsidRPr="0057487E">
              <w:rPr>
                <w:b/>
                <w:bCs/>
                <w:color w:val="000000"/>
                <w:sz w:val="22"/>
                <w:szCs w:val="22"/>
                <w:lang w:val="es-GT" w:eastAsia="es-GT"/>
              </w:rPr>
              <w:t>47,518.8</w:t>
            </w:r>
          </w:p>
        </w:tc>
        <w:tc>
          <w:tcPr>
            <w:tcW w:w="1134" w:type="dxa"/>
            <w:tcBorders>
              <w:top w:val="nil"/>
              <w:left w:val="nil"/>
              <w:bottom w:val="nil"/>
              <w:right w:val="single" w:sz="4" w:space="0" w:color="auto"/>
            </w:tcBorders>
            <w:shd w:val="clear" w:color="000000" w:fill="FFFFFF"/>
            <w:noWrap/>
            <w:vAlign w:val="center"/>
            <w:hideMark/>
          </w:tcPr>
          <w:p w14:paraId="59689933" w14:textId="77777777" w:rsidR="005F2EE7" w:rsidRPr="0057487E" w:rsidRDefault="005F2EE7" w:rsidP="0042480D">
            <w:pPr>
              <w:jc w:val="right"/>
              <w:rPr>
                <w:b/>
                <w:bCs/>
                <w:color w:val="000000"/>
                <w:sz w:val="22"/>
                <w:szCs w:val="22"/>
                <w:lang w:val="es-GT" w:eastAsia="es-GT"/>
              </w:rPr>
            </w:pPr>
            <w:r w:rsidRPr="0057487E">
              <w:rPr>
                <w:b/>
                <w:bCs/>
                <w:color w:val="000000"/>
                <w:sz w:val="22"/>
                <w:szCs w:val="22"/>
                <w:lang w:val="es-GT" w:eastAsia="es-GT"/>
              </w:rPr>
              <w:t>54,863.3</w:t>
            </w:r>
          </w:p>
        </w:tc>
        <w:tc>
          <w:tcPr>
            <w:tcW w:w="1417" w:type="dxa"/>
            <w:tcBorders>
              <w:top w:val="nil"/>
              <w:left w:val="nil"/>
              <w:bottom w:val="nil"/>
              <w:right w:val="single" w:sz="4" w:space="0" w:color="auto"/>
            </w:tcBorders>
            <w:shd w:val="clear" w:color="000000" w:fill="FFFFFF"/>
            <w:noWrap/>
            <w:vAlign w:val="center"/>
            <w:hideMark/>
          </w:tcPr>
          <w:p w14:paraId="1CCA0D3A" w14:textId="77777777" w:rsidR="005F2EE7" w:rsidRPr="0057487E" w:rsidRDefault="005F2EE7" w:rsidP="0042480D">
            <w:pPr>
              <w:jc w:val="right"/>
              <w:rPr>
                <w:b/>
                <w:bCs/>
                <w:color w:val="000000"/>
                <w:sz w:val="22"/>
                <w:szCs w:val="22"/>
                <w:lang w:val="es-GT" w:eastAsia="es-GT"/>
              </w:rPr>
            </w:pPr>
            <w:r w:rsidRPr="0057487E">
              <w:rPr>
                <w:b/>
                <w:bCs/>
                <w:color w:val="000000"/>
                <w:sz w:val="22"/>
                <w:szCs w:val="22"/>
                <w:lang w:val="es-GT" w:eastAsia="es-GT"/>
              </w:rPr>
              <w:t>7,344.5</w:t>
            </w:r>
          </w:p>
        </w:tc>
        <w:tc>
          <w:tcPr>
            <w:tcW w:w="1418" w:type="dxa"/>
            <w:tcBorders>
              <w:top w:val="nil"/>
              <w:left w:val="single" w:sz="4" w:space="0" w:color="auto"/>
              <w:bottom w:val="nil"/>
              <w:right w:val="single" w:sz="8" w:space="0" w:color="auto"/>
            </w:tcBorders>
            <w:shd w:val="clear" w:color="000000" w:fill="FFFFFF"/>
            <w:noWrap/>
            <w:vAlign w:val="center"/>
            <w:hideMark/>
          </w:tcPr>
          <w:p w14:paraId="0E6A196E" w14:textId="77777777" w:rsidR="005F2EE7" w:rsidRPr="0057487E" w:rsidRDefault="005F2EE7" w:rsidP="0042480D">
            <w:pPr>
              <w:jc w:val="center"/>
              <w:rPr>
                <w:b/>
                <w:bCs/>
                <w:color w:val="000000"/>
                <w:sz w:val="22"/>
                <w:szCs w:val="22"/>
                <w:lang w:val="es-GT" w:eastAsia="es-GT"/>
              </w:rPr>
            </w:pPr>
            <w:r w:rsidRPr="0057487E">
              <w:rPr>
                <w:b/>
                <w:bCs/>
                <w:color w:val="000000"/>
                <w:sz w:val="22"/>
                <w:szCs w:val="22"/>
                <w:lang w:val="es-GT" w:eastAsia="es-GT"/>
              </w:rPr>
              <w:t>15.5%</w:t>
            </w:r>
          </w:p>
        </w:tc>
        <w:tc>
          <w:tcPr>
            <w:tcW w:w="1407" w:type="dxa"/>
            <w:tcBorders>
              <w:top w:val="nil"/>
              <w:left w:val="nil"/>
              <w:bottom w:val="nil"/>
              <w:right w:val="single" w:sz="8" w:space="0" w:color="auto"/>
            </w:tcBorders>
            <w:shd w:val="clear" w:color="000000" w:fill="FFFFFF"/>
            <w:noWrap/>
            <w:vAlign w:val="center"/>
            <w:hideMark/>
          </w:tcPr>
          <w:p w14:paraId="175E3CA6" w14:textId="77777777" w:rsidR="005F2EE7" w:rsidRPr="0057487E" w:rsidRDefault="005F2EE7" w:rsidP="0045227E">
            <w:pPr>
              <w:jc w:val="center"/>
              <w:rPr>
                <w:b/>
                <w:color w:val="000000"/>
                <w:sz w:val="22"/>
                <w:szCs w:val="22"/>
                <w:lang w:val="es-GT" w:eastAsia="es-GT"/>
              </w:rPr>
            </w:pPr>
            <w:r w:rsidRPr="0057487E">
              <w:rPr>
                <w:b/>
                <w:color w:val="000000"/>
                <w:sz w:val="22"/>
                <w:szCs w:val="22"/>
                <w:lang w:val="es-GT" w:eastAsia="es-GT"/>
              </w:rPr>
              <w:t>100.0%</w:t>
            </w:r>
          </w:p>
        </w:tc>
      </w:tr>
      <w:tr w:rsidR="005F2EE7" w:rsidRPr="0057487E" w14:paraId="1F44F3E4" w14:textId="77777777" w:rsidTr="00C322E3">
        <w:trPr>
          <w:trHeight w:val="356"/>
          <w:jc w:val="center"/>
        </w:trPr>
        <w:tc>
          <w:tcPr>
            <w:tcW w:w="2367" w:type="dxa"/>
            <w:tcBorders>
              <w:top w:val="nil"/>
              <w:left w:val="single" w:sz="8" w:space="0" w:color="auto"/>
              <w:bottom w:val="nil"/>
              <w:right w:val="nil"/>
            </w:tcBorders>
            <w:shd w:val="clear" w:color="000000" w:fill="FFFFFF"/>
            <w:noWrap/>
            <w:vAlign w:val="center"/>
            <w:hideMark/>
          </w:tcPr>
          <w:p w14:paraId="3A53F42F" w14:textId="77777777" w:rsidR="005F2EE7" w:rsidRPr="0057487E" w:rsidRDefault="005F2EE7" w:rsidP="0042480D">
            <w:pPr>
              <w:rPr>
                <w:color w:val="000000"/>
                <w:sz w:val="22"/>
                <w:szCs w:val="22"/>
                <w:lang w:val="es-GT" w:eastAsia="es-GT"/>
              </w:rPr>
            </w:pPr>
            <w:r w:rsidRPr="0057487E">
              <w:rPr>
                <w:color w:val="000000"/>
                <w:sz w:val="22"/>
                <w:szCs w:val="22"/>
                <w:lang w:val="es-GT" w:eastAsia="es-GT"/>
              </w:rPr>
              <w:t>Funcionamiento</w:t>
            </w:r>
          </w:p>
        </w:tc>
        <w:tc>
          <w:tcPr>
            <w:tcW w:w="1178" w:type="dxa"/>
            <w:tcBorders>
              <w:top w:val="nil"/>
              <w:left w:val="single" w:sz="4" w:space="0" w:color="auto"/>
              <w:bottom w:val="nil"/>
              <w:right w:val="single" w:sz="4" w:space="0" w:color="auto"/>
            </w:tcBorders>
            <w:shd w:val="clear" w:color="000000" w:fill="FFFFFF"/>
            <w:noWrap/>
            <w:vAlign w:val="center"/>
            <w:hideMark/>
          </w:tcPr>
          <w:p w14:paraId="41CB7CB3"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32,414.8</w:t>
            </w:r>
          </w:p>
        </w:tc>
        <w:tc>
          <w:tcPr>
            <w:tcW w:w="1134" w:type="dxa"/>
            <w:tcBorders>
              <w:top w:val="nil"/>
              <w:left w:val="nil"/>
              <w:bottom w:val="nil"/>
              <w:right w:val="single" w:sz="4" w:space="0" w:color="auto"/>
            </w:tcBorders>
            <w:shd w:val="clear" w:color="000000" w:fill="FFFFFF"/>
            <w:noWrap/>
            <w:vAlign w:val="center"/>
            <w:hideMark/>
          </w:tcPr>
          <w:p w14:paraId="367BBFC3"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37,683.1</w:t>
            </w:r>
          </w:p>
        </w:tc>
        <w:tc>
          <w:tcPr>
            <w:tcW w:w="1417" w:type="dxa"/>
            <w:tcBorders>
              <w:top w:val="nil"/>
              <w:left w:val="nil"/>
              <w:bottom w:val="nil"/>
              <w:right w:val="single" w:sz="4" w:space="0" w:color="auto"/>
            </w:tcBorders>
            <w:shd w:val="clear" w:color="000000" w:fill="FFFFFF"/>
            <w:noWrap/>
            <w:vAlign w:val="center"/>
            <w:hideMark/>
          </w:tcPr>
          <w:p w14:paraId="4478626C"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5,268.3</w:t>
            </w:r>
          </w:p>
        </w:tc>
        <w:tc>
          <w:tcPr>
            <w:tcW w:w="1418" w:type="dxa"/>
            <w:tcBorders>
              <w:top w:val="nil"/>
              <w:left w:val="single" w:sz="4" w:space="0" w:color="auto"/>
              <w:bottom w:val="nil"/>
              <w:right w:val="single" w:sz="8" w:space="0" w:color="auto"/>
            </w:tcBorders>
            <w:shd w:val="clear" w:color="000000" w:fill="FFFFFF"/>
            <w:noWrap/>
            <w:vAlign w:val="center"/>
            <w:hideMark/>
          </w:tcPr>
          <w:p w14:paraId="5964A71E" w14:textId="77777777" w:rsidR="005F2EE7" w:rsidRPr="0057487E" w:rsidRDefault="005F2EE7" w:rsidP="0042480D">
            <w:pPr>
              <w:jc w:val="center"/>
              <w:rPr>
                <w:color w:val="000000"/>
                <w:sz w:val="22"/>
                <w:szCs w:val="22"/>
                <w:lang w:val="es-GT" w:eastAsia="es-GT"/>
              </w:rPr>
            </w:pPr>
            <w:r w:rsidRPr="0057487E">
              <w:rPr>
                <w:color w:val="000000"/>
                <w:sz w:val="22"/>
                <w:szCs w:val="22"/>
                <w:lang w:val="es-GT" w:eastAsia="es-GT"/>
              </w:rPr>
              <w:t>16.3%</w:t>
            </w:r>
          </w:p>
        </w:tc>
        <w:tc>
          <w:tcPr>
            <w:tcW w:w="1407" w:type="dxa"/>
            <w:tcBorders>
              <w:top w:val="nil"/>
              <w:left w:val="nil"/>
              <w:bottom w:val="nil"/>
              <w:right w:val="single" w:sz="8" w:space="0" w:color="auto"/>
            </w:tcBorders>
            <w:shd w:val="clear" w:color="000000" w:fill="FFFFFF"/>
            <w:noWrap/>
            <w:hideMark/>
          </w:tcPr>
          <w:p w14:paraId="056C1A98" w14:textId="77777777" w:rsidR="005F2EE7" w:rsidRPr="0057487E" w:rsidRDefault="005F2EE7" w:rsidP="0045227E">
            <w:pPr>
              <w:jc w:val="center"/>
              <w:rPr>
                <w:color w:val="000000"/>
                <w:sz w:val="22"/>
                <w:szCs w:val="22"/>
                <w:lang w:val="es-GT" w:eastAsia="es-GT"/>
              </w:rPr>
            </w:pPr>
            <w:r w:rsidRPr="0057487E">
              <w:rPr>
                <w:color w:val="000000"/>
                <w:sz w:val="22"/>
                <w:szCs w:val="22"/>
                <w:lang w:val="es-GT" w:eastAsia="es-GT"/>
              </w:rPr>
              <w:t>68.7%</w:t>
            </w:r>
          </w:p>
        </w:tc>
      </w:tr>
      <w:tr w:rsidR="005F2EE7" w:rsidRPr="0057487E" w14:paraId="1ECCA864" w14:textId="77777777" w:rsidTr="00C322E3">
        <w:trPr>
          <w:trHeight w:val="356"/>
          <w:jc w:val="center"/>
        </w:trPr>
        <w:tc>
          <w:tcPr>
            <w:tcW w:w="2367" w:type="dxa"/>
            <w:tcBorders>
              <w:top w:val="nil"/>
              <w:left w:val="single" w:sz="8" w:space="0" w:color="auto"/>
              <w:bottom w:val="nil"/>
              <w:right w:val="nil"/>
            </w:tcBorders>
            <w:shd w:val="clear" w:color="000000" w:fill="FFFFFF"/>
            <w:noWrap/>
            <w:vAlign w:val="center"/>
            <w:hideMark/>
          </w:tcPr>
          <w:p w14:paraId="334D2DEC" w14:textId="77777777" w:rsidR="005F2EE7" w:rsidRPr="0057487E" w:rsidRDefault="005F2EE7" w:rsidP="0042480D">
            <w:pPr>
              <w:rPr>
                <w:color w:val="000000"/>
                <w:sz w:val="22"/>
                <w:szCs w:val="22"/>
                <w:lang w:val="es-GT" w:eastAsia="es-GT"/>
              </w:rPr>
            </w:pPr>
            <w:r w:rsidRPr="0057487E">
              <w:rPr>
                <w:color w:val="000000"/>
                <w:sz w:val="22"/>
                <w:szCs w:val="22"/>
                <w:lang w:val="es-GT" w:eastAsia="es-GT"/>
              </w:rPr>
              <w:t>Inversión</w:t>
            </w:r>
          </w:p>
        </w:tc>
        <w:tc>
          <w:tcPr>
            <w:tcW w:w="1178" w:type="dxa"/>
            <w:tcBorders>
              <w:top w:val="nil"/>
              <w:left w:val="single" w:sz="4" w:space="0" w:color="auto"/>
              <w:bottom w:val="nil"/>
              <w:right w:val="single" w:sz="4" w:space="0" w:color="auto"/>
            </w:tcBorders>
            <w:shd w:val="clear" w:color="000000" w:fill="FFFFFF"/>
            <w:noWrap/>
            <w:vAlign w:val="center"/>
            <w:hideMark/>
          </w:tcPr>
          <w:p w14:paraId="32E78423"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7,795.2</w:t>
            </w:r>
          </w:p>
        </w:tc>
        <w:tc>
          <w:tcPr>
            <w:tcW w:w="1134" w:type="dxa"/>
            <w:tcBorders>
              <w:top w:val="nil"/>
              <w:left w:val="nil"/>
              <w:bottom w:val="nil"/>
              <w:right w:val="single" w:sz="4" w:space="0" w:color="auto"/>
            </w:tcBorders>
            <w:shd w:val="clear" w:color="000000" w:fill="FFFFFF"/>
            <w:noWrap/>
            <w:vAlign w:val="center"/>
            <w:hideMark/>
          </w:tcPr>
          <w:p w14:paraId="76C4FE8A"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9,346.0</w:t>
            </w:r>
          </w:p>
        </w:tc>
        <w:tc>
          <w:tcPr>
            <w:tcW w:w="1417" w:type="dxa"/>
            <w:tcBorders>
              <w:top w:val="nil"/>
              <w:left w:val="nil"/>
              <w:bottom w:val="nil"/>
              <w:right w:val="single" w:sz="4" w:space="0" w:color="auto"/>
            </w:tcBorders>
            <w:shd w:val="clear" w:color="000000" w:fill="FFFFFF"/>
            <w:noWrap/>
            <w:vAlign w:val="center"/>
            <w:hideMark/>
          </w:tcPr>
          <w:p w14:paraId="7E65ED70"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1,550.8</w:t>
            </w:r>
          </w:p>
        </w:tc>
        <w:tc>
          <w:tcPr>
            <w:tcW w:w="1418" w:type="dxa"/>
            <w:tcBorders>
              <w:top w:val="nil"/>
              <w:left w:val="single" w:sz="4" w:space="0" w:color="auto"/>
              <w:bottom w:val="nil"/>
              <w:right w:val="single" w:sz="8" w:space="0" w:color="auto"/>
            </w:tcBorders>
            <w:shd w:val="clear" w:color="000000" w:fill="FFFFFF"/>
            <w:noWrap/>
            <w:vAlign w:val="center"/>
            <w:hideMark/>
          </w:tcPr>
          <w:p w14:paraId="2752E4E4" w14:textId="77777777" w:rsidR="005F2EE7" w:rsidRPr="0057487E" w:rsidRDefault="005F2EE7" w:rsidP="0042480D">
            <w:pPr>
              <w:jc w:val="center"/>
              <w:rPr>
                <w:color w:val="000000"/>
                <w:sz w:val="22"/>
                <w:szCs w:val="22"/>
                <w:lang w:val="es-GT" w:eastAsia="es-GT"/>
              </w:rPr>
            </w:pPr>
            <w:r w:rsidRPr="0057487E">
              <w:rPr>
                <w:color w:val="000000"/>
                <w:sz w:val="22"/>
                <w:szCs w:val="22"/>
                <w:lang w:val="es-GT" w:eastAsia="es-GT"/>
              </w:rPr>
              <w:t>19.9%</w:t>
            </w:r>
          </w:p>
        </w:tc>
        <w:tc>
          <w:tcPr>
            <w:tcW w:w="1407" w:type="dxa"/>
            <w:tcBorders>
              <w:top w:val="nil"/>
              <w:left w:val="nil"/>
              <w:bottom w:val="nil"/>
              <w:right w:val="single" w:sz="8" w:space="0" w:color="auto"/>
            </w:tcBorders>
            <w:shd w:val="clear" w:color="000000" w:fill="FFFFFF"/>
            <w:noWrap/>
            <w:hideMark/>
          </w:tcPr>
          <w:p w14:paraId="3223B467" w14:textId="77777777" w:rsidR="005F2EE7" w:rsidRPr="0057487E" w:rsidRDefault="005F2EE7" w:rsidP="0045227E">
            <w:pPr>
              <w:jc w:val="center"/>
              <w:rPr>
                <w:color w:val="000000"/>
                <w:sz w:val="22"/>
                <w:szCs w:val="22"/>
                <w:lang w:val="es-GT" w:eastAsia="es-GT"/>
              </w:rPr>
            </w:pPr>
            <w:r w:rsidRPr="0057487E">
              <w:rPr>
                <w:color w:val="000000"/>
                <w:sz w:val="22"/>
                <w:szCs w:val="22"/>
                <w:lang w:val="es-GT" w:eastAsia="es-GT"/>
              </w:rPr>
              <w:t>17.0%</w:t>
            </w:r>
          </w:p>
        </w:tc>
      </w:tr>
      <w:tr w:rsidR="005F2EE7" w:rsidRPr="0057487E" w14:paraId="2E36D9D2" w14:textId="77777777" w:rsidTr="00C322E3">
        <w:trPr>
          <w:trHeight w:val="356"/>
          <w:jc w:val="center"/>
        </w:trPr>
        <w:tc>
          <w:tcPr>
            <w:tcW w:w="2367" w:type="dxa"/>
            <w:tcBorders>
              <w:top w:val="nil"/>
              <w:left w:val="single" w:sz="8" w:space="0" w:color="auto"/>
              <w:bottom w:val="single" w:sz="4" w:space="0" w:color="auto"/>
              <w:right w:val="nil"/>
            </w:tcBorders>
            <w:shd w:val="clear" w:color="000000" w:fill="FFFFFF"/>
            <w:noWrap/>
            <w:vAlign w:val="center"/>
            <w:hideMark/>
          </w:tcPr>
          <w:p w14:paraId="2C64B70E" w14:textId="77777777" w:rsidR="005F2EE7" w:rsidRPr="0057487E" w:rsidRDefault="005F2EE7" w:rsidP="0042480D">
            <w:pPr>
              <w:rPr>
                <w:color w:val="000000"/>
                <w:sz w:val="22"/>
                <w:szCs w:val="22"/>
                <w:lang w:val="es-GT" w:eastAsia="es-GT"/>
              </w:rPr>
            </w:pPr>
            <w:r w:rsidRPr="0057487E">
              <w:rPr>
                <w:color w:val="000000"/>
                <w:sz w:val="22"/>
                <w:szCs w:val="22"/>
                <w:lang w:val="es-GT" w:eastAsia="es-GT"/>
              </w:rPr>
              <w:t>Deuda Pública</w:t>
            </w:r>
          </w:p>
        </w:tc>
        <w:tc>
          <w:tcPr>
            <w:tcW w:w="1178" w:type="dxa"/>
            <w:tcBorders>
              <w:top w:val="nil"/>
              <w:left w:val="single" w:sz="4" w:space="0" w:color="auto"/>
              <w:bottom w:val="nil"/>
              <w:right w:val="single" w:sz="4" w:space="0" w:color="auto"/>
            </w:tcBorders>
            <w:shd w:val="clear" w:color="000000" w:fill="FFFFFF"/>
            <w:noWrap/>
            <w:vAlign w:val="center"/>
            <w:hideMark/>
          </w:tcPr>
          <w:p w14:paraId="2ECF6CCD"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7,308.8</w:t>
            </w:r>
          </w:p>
        </w:tc>
        <w:tc>
          <w:tcPr>
            <w:tcW w:w="1134" w:type="dxa"/>
            <w:tcBorders>
              <w:top w:val="nil"/>
              <w:left w:val="nil"/>
              <w:bottom w:val="nil"/>
              <w:right w:val="single" w:sz="4" w:space="0" w:color="auto"/>
            </w:tcBorders>
            <w:shd w:val="clear" w:color="000000" w:fill="FFFFFF"/>
            <w:noWrap/>
            <w:vAlign w:val="center"/>
            <w:hideMark/>
          </w:tcPr>
          <w:p w14:paraId="668DD0B5"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7,834.2</w:t>
            </w:r>
          </w:p>
        </w:tc>
        <w:tc>
          <w:tcPr>
            <w:tcW w:w="1417" w:type="dxa"/>
            <w:tcBorders>
              <w:top w:val="nil"/>
              <w:left w:val="nil"/>
              <w:bottom w:val="nil"/>
              <w:right w:val="single" w:sz="4" w:space="0" w:color="auto"/>
            </w:tcBorders>
            <w:shd w:val="clear" w:color="000000" w:fill="FFFFFF"/>
            <w:noWrap/>
            <w:vAlign w:val="center"/>
            <w:hideMark/>
          </w:tcPr>
          <w:p w14:paraId="698CA098"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525.4</w:t>
            </w:r>
          </w:p>
        </w:tc>
        <w:tc>
          <w:tcPr>
            <w:tcW w:w="1418" w:type="dxa"/>
            <w:tcBorders>
              <w:top w:val="nil"/>
              <w:left w:val="single" w:sz="4" w:space="0" w:color="auto"/>
              <w:bottom w:val="nil"/>
              <w:right w:val="single" w:sz="8" w:space="0" w:color="auto"/>
            </w:tcBorders>
            <w:shd w:val="clear" w:color="000000" w:fill="FFFFFF"/>
            <w:noWrap/>
            <w:vAlign w:val="center"/>
            <w:hideMark/>
          </w:tcPr>
          <w:p w14:paraId="52F9D630" w14:textId="77777777" w:rsidR="005F2EE7" w:rsidRPr="0057487E" w:rsidRDefault="005F2EE7" w:rsidP="0042480D">
            <w:pPr>
              <w:jc w:val="center"/>
              <w:rPr>
                <w:color w:val="000000"/>
                <w:sz w:val="22"/>
                <w:szCs w:val="22"/>
                <w:lang w:val="es-GT" w:eastAsia="es-GT"/>
              </w:rPr>
            </w:pPr>
            <w:r w:rsidRPr="0057487E">
              <w:rPr>
                <w:color w:val="000000"/>
                <w:sz w:val="22"/>
                <w:szCs w:val="22"/>
                <w:lang w:val="es-GT" w:eastAsia="es-GT"/>
              </w:rPr>
              <w:t>7.2%</w:t>
            </w:r>
          </w:p>
        </w:tc>
        <w:tc>
          <w:tcPr>
            <w:tcW w:w="1407" w:type="dxa"/>
            <w:tcBorders>
              <w:top w:val="nil"/>
              <w:left w:val="nil"/>
              <w:bottom w:val="nil"/>
              <w:right w:val="single" w:sz="8" w:space="0" w:color="auto"/>
            </w:tcBorders>
            <w:shd w:val="clear" w:color="000000" w:fill="FFFFFF"/>
            <w:noWrap/>
            <w:hideMark/>
          </w:tcPr>
          <w:p w14:paraId="559AC9A6" w14:textId="77777777" w:rsidR="005F2EE7" w:rsidRPr="0057487E" w:rsidRDefault="005F2EE7" w:rsidP="0045227E">
            <w:pPr>
              <w:jc w:val="center"/>
              <w:rPr>
                <w:color w:val="000000"/>
                <w:sz w:val="22"/>
                <w:szCs w:val="22"/>
                <w:lang w:val="es-GT" w:eastAsia="es-GT"/>
              </w:rPr>
            </w:pPr>
            <w:r w:rsidRPr="0057487E">
              <w:rPr>
                <w:color w:val="000000"/>
                <w:sz w:val="22"/>
                <w:szCs w:val="22"/>
                <w:lang w:val="es-GT" w:eastAsia="es-GT"/>
              </w:rPr>
              <w:t>14.3%</w:t>
            </w:r>
          </w:p>
        </w:tc>
      </w:tr>
      <w:tr w:rsidR="005F2EE7" w:rsidRPr="0057487E" w14:paraId="6AB6BF10" w14:textId="77777777" w:rsidTr="00C322E3">
        <w:trPr>
          <w:trHeight w:val="356"/>
          <w:jc w:val="center"/>
        </w:trPr>
        <w:tc>
          <w:tcPr>
            <w:tcW w:w="2367" w:type="dxa"/>
            <w:tcBorders>
              <w:top w:val="nil"/>
              <w:left w:val="single" w:sz="8" w:space="0" w:color="auto"/>
              <w:bottom w:val="nil"/>
              <w:right w:val="nil"/>
            </w:tcBorders>
            <w:shd w:val="clear" w:color="000000" w:fill="FFFFFF"/>
            <w:noWrap/>
            <w:vAlign w:val="center"/>
            <w:hideMark/>
          </w:tcPr>
          <w:p w14:paraId="094F1214" w14:textId="77777777" w:rsidR="005F2EE7" w:rsidRPr="0057487E" w:rsidRDefault="005F2EE7" w:rsidP="0042480D">
            <w:pPr>
              <w:rPr>
                <w:color w:val="000000"/>
                <w:sz w:val="22"/>
                <w:szCs w:val="22"/>
                <w:lang w:val="es-GT" w:eastAsia="es-GT"/>
              </w:rPr>
            </w:pPr>
            <w:r w:rsidRPr="0057487E">
              <w:rPr>
                <w:color w:val="000000"/>
                <w:sz w:val="22"/>
                <w:szCs w:val="22"/>
                <w:lang w:val="es-GT" w:eastAsia="es-GT"/>
              </w:rPr>
              <w:t>Presupuesto Vigente</w:t>
            </w:r>
          </w:p>
        </w:tc>
        <w:tc>
          <w:tcPr>
            <w:tcW w:w="1178" w:type="dxa"/>
            <w:tcBorders>
              <w:top w:val="single" w:sz="4" w:space="0" w:color="auto"/>
              <w:left w:val="single" w:sz="4" w:space="0" w:color="auto"/>
              <w:bottom w:val="nil"/>
              <w:right w:val="single" w:sz="4" w:space="0" w:color="auto"/>
            </w:tcBorders>
            <w:shd w:val="clear" w:color="000000" w:fill="FFFFFF"/>
            <w:noWrap/>
            <w:vAlign w:val="center"/>
            <w:hideMark/>
          </w:tcPr>
          <w:p w14:paraId="39753300"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112,263.3</w:t>
            </w:r>
          </w:p>
        </w:tc>
        <w:tc>
          <w:tcPr>
            <w:tcW w:w="1134" w:type="dxa"/>
            <w:tcBorders>
              <w:top w:val="single" w:sz="4" w:space="0" w:color="auto"/>
              <w:left w:val="nil"/>
              <w:bottom w:val="nil"/>
              <w:right w:val="single" w:sz="4" w:space="0" w:color="auto"/>
            </w:tcBorders>
            <w:shd w:val="clear" w:color="000000" w:fill="FFFFFF"/>
            <w:noWrap/>
            <w:vAlign w:val="center"/>
            <w:hideMark/>
          </w:tcPr>
          <w:p w14:paraId="60326782"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118,159.7</w:t>
            </w:r>
          </w:p>
        </w:tc>
        <w:tc>
          <w:tcPr>
            <w:tcW w:w="1417" w:type="dxa"/>
            <w:tcBorders>
              <w:top w:val="single" w:sz="4" w:space="0" w:color="auto"/>
              <w:left w:val="nil"/>
              <w:bottom w:val="nil"/>
              <w:right w:val="single" w:sz="4" w:space="0" w:color="auto"/>
            </w:tcBorders>
            <w:shd w:val="clear" w:color="000000" w:fill="FFFFFF"/>
            <w:noWrap/>
            <w:vAlign w:val="center"/>
            <w:hideMark/>
          </w:tcPr>
          <w:p w14:paraId="08B9BE45"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5,896.5</w:t>
            </w:r>
          </w:p>
        </w:tc>
        <w:tc>
          <w:tcPr>
            <w:tcW w:w="1418" w:type="dxa"/>
            <w:tcBorders>
              <w:top w:val="single" w:sz="4" w:space="0" w:color="auto"/>
              <w:left w:val="single" w:sz="4" w:space="0" w:color="auto"/>
              <w:bottom w:val="nil"/>
              <w:right w:val="single" w:sz="8" w:space="0" w:color="auto"/>
            </w:tcBorders>
            <w:shd w:val="clear" w:color="000000" w:fill="FFFFFF"/>
            <w:noWrap/>
            <w:vAlign w:val="center"/>
            <w:hideMark/>
          </w:tcPr>
          <w:p w14:paraId="58C520F3" w14:textId="77777777" w:rsidR="005F2EE7" w:rsidRPr="0057487E" w:rsidRDefault="005F2EE7" w:rsidP="0042480D">
            <w:pPr>
              <w:jc w:val="center"/>
              <w:rPr>
                <w:color w:val="000000"/>
                <w:sz w:val="22"/>
                <w:szCs w:val="22"/>
                <w:lang w:val="es-GT" w:eastAsia="es-GT"/>
              </w:rPr>
            </w:pPr>
            <w:r w:rsidRPr="0057487E">
              <w:rPr>
                <w:color w:val="000000"/>
                <w:sz w:val="22"/>
                <w:szCs w:val="22"/>
                <w:lang w:val="es-GT" w:eastAsia="es-GT"/>
              </w:rPr>
              <w:t>5.3%</w:t>
            </w:r>
          </w:p>
        </w:tc>
        <w:tc>
          <w:tcPr>
            <w:tcW w:w="1407" w:type="dxa"/>
            <w:tcBorders>
              <w:top w:val="nil"/>
              <w:left w:val="nil"/>
              <w:bottom w:val="nil"/>
              <w:right w:val="single" w:sz="8" w:space="0" w:color="auto"/>
            </w:tcBorders>
            <w:shd w:val="clear" w:color="000000" w:fill="FFFFFF"/>
            <w:noWrap/>
            <w:vAlign w:val="bottom"/>
            <w:hideMark/>
          </w:tcPr>
          <w:p w14:paraId="1D8DF9D9" w14:textId="77777777" w:rsidR="005F2EE7" w:rsidRPr="0057487E" w:rsidRDefault="005F2EE7" w:rsidP="0042480D">
            <w:pPr>
              <w:rPr>
                <w:color w:val="000000"/>
                <w:sz w:val="22"/>
                <w:szCs w:val="22"/>
                <w:lang w:val="es-GT" w:eastAsia="es-GT"/>
              </w:rPr>
            </w:pPr>
            <w:r w:rsidRPr="0057487E">
              <w:rPr>
                <w:color w:val="000000"/>
                <w:sz w:val="22"/>
                <w:szCs w:val="22"/>
                <w:lang w:val="es-GT" w:eastAsia="es-GT"/>
              </w:rPr>
              <w:t> </w:t>
            </w:r>
          </w:p>
        </w:tc>
      </w:tr>
      <w:tr w:rsidR="005F2EE7" w:rsidRPr="0057487E" w14:paraId="56F8DB9A" w14:textId="77777777" w:rsidTr="00C322E3">
        <w:trPr>
          <w:trHeight w:val="356"/>
          <w:jc w:val="center"/>
        </w:trPr>
        <w:tc>
          <w:tcPr>
            <w:tcW w:w="2367" w:type="dxa"/>
            <w:tcBorders>
              <w:top w:val="nil"/>
              <w:left w:val="single" w:sz="8" w:space="0" w:color="auto"/>
              <w:bottom w:val="single" w:sz="8" w:space="0" w:color="auto"/>
              <w:right w:val="nil"/>
            </w:tcBorders>
            <w:shd w:val="clear" w:color="000000" w:fill="FFFFFF"/>
            <w:noWrap/>
            <w:vAlign w:val="center"/>
            <w:hideMark/>
          </w:tcPr>
          <w:p w14:paraId="7FCCC2B8" w14:textId="0BA8D99B" w:rsidR="005F2EE7" w:rsidRPr="0057487E" w:rsidRDefault="005F2EE7" w:rsidP="0042480D">
            <w:pPr>
              <w:rPr>
                <w:color w:val="000000"/>
                <w:sz w:val="22"/>
                <w:szCs w:val="22"/>
                <w:lang w:val="es-GT" w:eastAsia="es-GT"/>
              </w:rPr>
            </w:pPr>
            <w:r w:rsidRPr="0057487E">
              <w:rPr>
                <w:color w:val="000000"/>
                <w:sz w:val="22"/>
                <w:szCs w:val="22"/>
                <w:lang w:val="es-GT" w:eastAsia="es-GT"/>
              </w:rPr>
              <w:t>Porcentaje de Ejecución</w:t>
            </w:r>
          </w:p>
        </w:tc>
        <w:tc>
          <w:tcPr>
            <w:tcW w:w="1178" w:type="dxa"/>
            <w:tcBorders>
              <w:top w:val="nil"/>
              <w:left w:val="single" w:sz="4" w:space="0" w:color="auto"/>
              <w:bottom w:val="single" w:sz="8" w:space="0" w:color="auto"/>
              <w:right w:val="single" w:sz="4" w:space="0" w:color="auto"/>
            </w:tcBorders>
            <w:shd w:val="clear" w:color="000000" w:fill="FFFFFF"/>
            <w:noWrap/>
            <w:vAlign w:val="center"/>
            <w:hideMark/>
          </w:tcPr>
          <w:p w14:paraId="6D56FAFC"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42.3%</w:t>
            </w:r>
          </w:p>
        </w:tc>
        <w:tc>
          <w:tcPr>
            <w:tcW w:w="1134" w:type="dxa"/>
            <w:tcBorders>
              <w:top w:val="nil"/>
              <w:left w:val="nil"/>
              <w:bottom w:val="single" w:sz="8" w:space="0" w:color="auto"/>
              <w:right w:val="single" w:sz="4" w:space="0" w:color="auto"/>
            </w:tcBorders>
            <w:shd w:val="clear" w:color="000000" w:fill="FFFFFF"/>
            <w:noWrap/>
            <w:vAlign w:val="center"/>
            <w:hideMark/>
          </w:tcPr>
          <w:p w14:paraId="3CE79659"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46.4%</w:t>
            </w:r>
          </w:p>
        </w:tc>
        <w:tc>
          <w:tcPr>
            <w:tcW w:w="1417" w:type="dxa"/>
            <w:tcBorders>
              <w:top w:val="nil"/>
              <w:left w:val="nil"/>
              <w:bottom w:val="single" w:sz="8" w:space="0" w:color="auto"/>
              <w:right w:val="single" w:sz="4" w:space="0" w:color="auto"/>
            </w:tcBorders>
            <w:shd w:val="clear" w:color="000000" w:fill="FFFFFF"/>
            <w:noWrap/>
            <w:vAlign w:val="center"/>
            <w:hideMark/>
          </w:tcPr>
          <w:p w14:paraId="1B7FB777" w14:textId="77777777" w:rsidR="005F2EE7" w:rsidRPr="0057487E" w:rsidRDefault="005F2EE7" w:rsidP="0042480D">
            <w:pPr>
              <w:jc w:val="right"/>
              <w:rPr>
                <w:color w:val="000000"/>
                <w:sz w:val="22"/>
                <w:szCs w:val="22"/>
                <w:lang w:val="es-GT" w:eastAsia="es-GT"/>
              </w:rPr>
            </w:pPr>
            <w:r w:rsidRPr="0057487E">
              <w:rPr>
                <w:color w:val="000000"/>
                <w:sz w:val="22"/>
                <w:szCs w:val="22"/>
                <w:lang w:val="es-GT" w:eastAsia="es-GT"/>
              </w:rPr>
              <w:t>4.1%</w:t>
            </w:r>
          </w:p>
        </w:tc>
        <w:tc>
          <w:tcPr>
            <w:tcW w:w="1418" w:type="dxa"/>
            <w:tcBorders>
              <w:top w:val="nil"/>
              <w:left w:val="single" w:sz="4" w:space="0" w:color="auto"/>
              <w:bottom w:val="single" w:sz="8" w:space="0" w:color="auto"/>
              <w:right w:val="single" w:sz="8" w:space="0" w:color="auto"/>
            </w:tcBorders>
            <w:shd w:val="clear" w:color="000000" w:fill="FFFFFF"/>
            <w:noWrap/>
            <w:vAlign w:val="center"/>
            <w:hideMark/>
          </w:tcPr>
          <w:p w14:paraId="0DAE0FA0" w14:textId="77777777" w:rsidR="005F2EE7" w:rsidRPr="0057487E" w:rsidRDefault="005F2EE7" w:rsidP="0042480D">
            <w:pPr>
              <w:jc w:val="center"/>
              <w:rPr>
                <w:color w:val="000000"/>
                <w:sz w:val="22"/>
                <w:szCs w:val="22"/>
                <w:lang w:val="es-GT" w:eastAsia="es-GT"/>
              </w:rPr>
            </w:pPr>
            <w:r w:rsidRPr="0057487E">
              <w:rPr>
                <w:color w:val="000000"/>
                <w:sz w:val="22"/>
                <w:szCs w:val="22"/>
                <w:lang w:val="es-GT" w:eastAsia="es-GT"/>
              </w:rPr>
              <w:t>9.7%</w:t>
            </w:r>
          </w:p>
        </w:tc>
        <w:tc>
          <w:tcPr>
            <w:tcW w:w="1407" w:type="dxa"/>
            <w:tcBorders>
              <w:top w:val="nil"/>
              <w:left w:val="nil"/>
              <w:bottom w:val="single" w:sz="8" w:space="0" w:color="auto"/>
              <w:right w:val="single" w:sz="8" w:space="0" w:color="auto"/>
            </w:tcBorders>
            <w:shd w:val="clear" w:color="000000" w:fill="FFFFFF"/>
            <w:noWrap/>
            <w:vAlign w:val="bottom"/>
            <w:hideMark/>
          </w:tcPr>
          <w:p w14:paraId="699A13DC" w14:textId="77777777" w:rsidR="005F2EE7" w:rsidRPr="0057487E" w:rsidRDefault="005F2EE7" w:rsidP="0042480D">
            <w:pPr>
              <w:rPr>
                <w:color w:val="000000"/>
                <w:sz w:val="22"/>
                <w:szCs w:val="22"/>
                <w:lang w:val="es-GT" w:eastAsia="es-GT"/>
              </w:rPr>
            </w:pPr>
            <w:r w:rsidRPr="0057487E">
              <w:rPr>
                <w:color w:val="000000"/>
                <w:sz w:val="22"/>
                <w:szCs w:val="22"/>
                <w:lang w:val="es-GT" w:eastAsia="es-GT"/>
              </w:rPr>
              <w:t> </w:t>
            </w:r>
          </w:p>
        </w:tc>
      </w:tr>
    </w:tbl>
    <w:p w14:paraId="240D8661" w14:textId="1CDA3711" w:rsidR="005F2EE7" w:rsidRDefault="0045227E" w:rsidP="0045227E">
      <w:pPr>
        <w:rPr>
          <w:sz w:val="18"/>
          <w:lang w:val="es-MX"/>
        </w:rPr>
      </w:pPr>
      <w:r>
        <w:rPr>
          <w:sz w:val="18"/>
          <w:lang w:val="es-MX"/>
        </w:rPr>
        <w:t xml:space="preserve">  </w:t>
      </w:r>
      <w:r w:rsidR="005F2EE7" w:rsidRPr="004B1436">
        <w:rPr>
          <w:sz w:val="18"/>
          <w:lang w:val="es-MX"/>
        </w:rPr>
        <w:t>* Cifras preliminares.</w:t>
      </w:r>
    </w:p>
    <w:p w14:paraId="35E8EC23" w14:textId="3953A406" w:rsidR="005F2EE7" w:rsidRDefault="005F2EE7" w:rsidP="005F2EE7">
      <w:pPr>
        <w:rPr>
          <w:sz w:val="18"/>
          <w:lang w:val="es-MX"/>
        </w:rPr>
      </w:pPr>
      <w:r>
        <w:rPr>
          <w:sz w:val="18"/>
          <w:lang w:val="es-MX"/>
        </w:rPr>
        <w:t xml:space="preserve"> </w:t>
      </w:r>
      <w:r w:rsidR="006F4B5D">
        <w:rPr>
          <w:sz w:val="18"/>
          <w:lang w:val="es-MX"/>
        </w:rPr>
        <w:t xml:space="preserve"> </w:t>
      </w:r>
      <w:r w:rsidR="0045227E">
        <w:rPr>
          <w:sz w:val="18"/>
          <w:lang w:val="es-MX"/>
        </w:rPr>
        <w:t xml:space="preserve">    </w:t>
      </w:r>
      <w:r w:rsidRPr="004B1436">
        <w:rPr>
          <w:sz w:val="18"/>
          <w:lang w:val="es-MX"/>
        </w:rPr>
        <w:t>Fuente: Ministerio de Finanzas Públicas con base al SICOIN.</w:t>
      </w:r>
    </w:p>
    <w:p w14:paraId="43B7DDB2" w14:textId="77777777" w:rsidR="005F2EE7" w:rsidRPr="00011609" w:rsidRDefault="005F2EE7" w:rsidP="005F2EE7">
      <w:pPr>
        <w:rPr>
          <w:sz w:val="16"/>
          <w:lang w:val="es-MX"/>
        </w:rPr>
      </w:pPr>
    </w:p>
    <w:p w14:paraId="7FC0CD7A" w14:textId="62F77AA0" w:rsidR="005F2EE7" w:rsidRDefault="005F2EE7" w:rsidP="00FC0361">
      <w:pPr>
        <w:pStyle w:val="Ttulo3"/>
        <w:numPr>
          <w:ilvl w:val="0"/>
          <w:numId w:val="5"/>
        </w:numPr>
        <w:ind w:left="426"/>
        <w:rPr>
          <w:rFonts w:ascii="Times New Roman" w:hAnsi="Times New Roman"/>
          <w:color w:val="auto"/>
          <w:lang w:val="es-MX"/>
        </w:rPr>
      </w:pPr>
      <w:bookmarkStart w:id="16" w:name="_Toc114732534"/>
      <w:bookmarkStart w:id="17" w:name="_Toc142920538"/>
      <w:r w:rsidRPr="005E55DE">
        <w:rPr>
          <w:rFonts w:ascii="Times New Roman" w:hAnsi="Times New Roman"/>
          <w:color w:val="auto"/>
          <w:lang w:val="es-MX"/>
        </w:rPr>
        <w:t>Destino del Gasto por Cuenta Económica</w:t>
      </w:r>
      <w:bookmarkEnd w:id="16"/>
      <w:bookmarkEnd w:id="17"/>
    </w:p>
    <w:p w14:paraId="4B2834B9" w14:textId="77777777" w:rsidR="00C322E3" w:rsidRPr="00C322E3" w:rsidRDefault="00C322E3" w:rsidP="00C322E3">
      <w:pPr>
        <w:rPr>
          <w:lang w:val="es-MX"/>
        </w:rPr>
      </w:pPr>
    </w:p>
    <w:p w14:paraId="2297BD07" w14:textId="458DE331" w:rsidR="005F2EE7" w:rsidRPr="00F32249" w:rsidRDefault="005F2EE7" w:rsidP="005F2EE7">
      <w:pPr>
        <w:jc w:val="both"/>
        <w:rPr>
          <w:lang w:val="es-MX"/>
        </w:rPr>
      </w:pPr>
      <w:r w:rsidRPr="00F32249">
        <w:rPr>
          <w:lang w:val="es-MX"/>
        </w:rPr>
        <w:t>Los gastos totales al 30 de junio de 2023 (sin incluir amortizaciones de la deuda pública), alcanzaron un monto de Q.53,450.8 millones, monto neto mayor en Q.7,362.8 millones con relación a lo observado en el mismo período de 2022</w:t>
      </w:r>
      <w:r w:rsidR="00C322E3">
        <w:rPr>
          <w:lang w:val="es-MX"/>
        </w:rPr>
        <w:t xml:space="preserve"> que alcanzó el</w:t>
      </w:r>
      <w:r w:rsidRPr="00F32249">
        <w:rPr>
          <w:lang w:val="es-MX"/>
        </w:rPr>
        <w:t xml:space="preserve"> monto de Q.46,088.0 millones. La composición del aumento se ubicó principalmente en los Gastos Corrientes, los cuales tuvieron un aumento significativo en el orden de los Q.5,812.0 millones, teniendo su principal impacto en la compra de Bienes y Servicios con aumento de Q</w:t>
      </w:r>
      <w:r w:rsidR="00C322E3">
        <w:rPr>
          <w:lang w:val="es-MX"/>
        </w:rPr>
        <w:t>.</w:t>
      </w:r>
      <w:r w:rsidRPr="00F32249">
        <w:rPr>
          <w:lang w:val="es-MX"/>
        </w:rPr>
        <w:t>2,949.9 millones, en las Remuneraciones con aumento de Q</w:t>
      </w:r>
      <w:r w:rsidR="00C322E3">
        <w:rPr>
          <w:lang w:val="es-MX"/>
        </w:rPr>
        <w:t>.</w:t>
      </w:r>
      <w:r w:rsidRPr="00F32249">
        <w:rPr>
          <w:lang w:val="es-MX"/>
        </w:rPr>
        <w:t>1,171.7 millones, en las Transferencias Corrientes con Q</w:t>
      </w:r>
      <w:r w:rsidR="00C322E3">
        <w:rPr>
          <w:lang w:val="es-MX"/>
        </w:rPr>
        <w:t>.</w:t>
      </w:r>
      <w:r w:rsidR="00040377">
        <w:rPr>
          <w:lang w:val="es-MX"/>
        </w:rPr>
        <w:t>611.80</w:t>
      </w:r>
      <w:r w:rsidRPr="00F32249">
        <w:rPr>
          <w:lang w:val="es-MX"/>
        </w:rPr>
        <w:t xml:space="preserve"> millones, en los Intereses de Deuda Pública con Q</w:t>
      </w:r>
      <w:r w:rsidR="00040377">
        <w:rPr>
          <w:lang w:val="es-MX"/>
        </w:rPr>
        <w:t>.</w:t>
      </w:r>
      <w:r w:rsidRPr="00F32249">
        <w:rPr>
          <w:lang w:val="es-MX"/>
        </w:rPr>
        <w:t>543.7 millones y en las Prestaciones a la Seguridad Social con Q</w:t>
      </w:r>
      <w:r w:rsidR="00040377">
        <w:rPr>
          <w:lang w:val="es-MX"/>
        </w:rPr>
        <w:t>.</w:t>
      </w:r>
      <w:r w:rsidRPr="00F32249">
        <w:rPr>
          <w:lang w:val="es-MX"/>
        </w:rPr>
        <w:t>470.6 millones</w:t>
      </w:r>
      <w:r w:rsidR="00040377">
        <w:rPr>
          <w:lang w:val="es-MX"/>
        </w:rPr>
        <w:t>;</w:t>
      </w:r>
      <w:r w:rsidRPr="00F32249">
        <w:rPr>
          <w:lang w:val="es-MX"/>
        </w:rPr>
        <w:t xml:space="preserve"> el resto de diferencias son montos menos significativos. </w:t>
      </w:r>
    </w:p>
    <w:p w14:paraId="323B8B30" w14:textId="77777777" w:rsidR="005F2EE7" w:rsidRPr="00F32249" w:rsidRDefault="005F2EE7" w:rsidP="005F2EE7">
      <w:pPr>
        <w:jc w:val="both"/>
        <w:rPr>
          <w:lang w:val="es-MX"/>
        </w:rPr>
      </w:pPr>
    </w:p>
    <w:p w14:paraId="31577B84" w14:textId="4ADCC934" w:rsidR="005F2EE7" w:rsidRPr="00F32249" w:rsidRDefault="005F2EE7" w:rsidP="005F2EE7">
      <w:pPr>
        <w:jc w:val="both"/>
        <w:rPr>
          <w:lang w:val="es-MX"/>
        </w:rPr>
      </w:pPr>
      <w:r w:rsidRPr="00F32249">
        <w:rPr>
          <w:lang w:val="es-MX"/>
        </w:rPr>
        <w:t>En cuanto a los Gastos de Capital</w:t>
      </w:r>
      <w:r w:rsidR="00DB49B9">
        <w:rPr>
          <w:lang w:val="es-MX"/>
        </w:rPr>
        <w:t>,</w:t>
      </w:r>
      <w:r w:rsidRPr="00F32249">
        <w:rPr>
          <w:lang w:val="es-MX"/>
        </w:rPr>
        <w:t xml:space="preserve"> para junio de 2023 tuvieron un aumento neto de Q.1,550.8 millones, los cuales se ubicaron principalmente en las Transferencias al Sector Público con Q.978.5 millones, donde se ubican los aportes a las municipalidades y al sector justicia; se ejecutaron Q.672.4 millones más en la Inversión Real Directa, mientras que las Trasferencias al Sector Privado y Externo la ejecución fue menor a lo observado en 2022, por valor de Q.92.4 millones.</w:t>
      </w:r>
    </w:p>
    <w:p w14:paraId="042A50F2" w14:textId="77777777" w:rsidR="005F2EE7" w:rsidRPr="00F32249" w:rsidRDefault="005F2EE7" w:rsidP="005F2EE7">
      <w:pPr>
        <w:jc w:val="both"/>
        <w:rPr>
          <w:lang w:val="es-MX"/>
        </w:rPr>
      </w:pPr>
    </w:p>
    <w:p w14:paraId="66700D28" w14:textId="7B6D0F45" w:rsidR="005F2EE7" w:rsidRPr="00F32249" w:rsidRDefault="00DB49B9" w:rsidP="005F2EE7">
      <w:pPr>
        <w:jc w:val="both"/>
        <w:rPr>
          <w:lang w:val="es-MX"/>
        </w:rPr>
      </w:pPr>
      <w:r>
        <w:rPr>
          <w:lang w:val="es-MX"/>
        </w:rPr>
        <w:t>El total del gasto</w:t>
      </w:r>
      <w:r w:rsidR="005F2EE7" w:rsidRPr="00F32249">
        <w:rPr>
          <w:lang w:val="es-MX"/>
        </w:rPr>
        <w:t xml:space="preserve"> presupuestari</w:t>
      </w:r>
      <w:r>
        <w:rPr>
          <w:lang w:val="es-MX"/>
        </w:rPr>
        <w:t>o</w:t>
      </w:r>
      <w:r w:rsidR="005F2EE7" w:rsidRPr="00F32249">
        <w:rPr>
          <w:lang w:val="es-MX"/>
        </w:rPr>
        <w:t xml:space="preserve"> se compone por los gastos totales más las amortizaciones de deuda pública que en conjunto </w:t>
      </w:r>
      <w:r>
        <w:rPr>
          <w:lang w:val="es-MX"/>
        </w:rPr>
        <w:t>alcanzaron</w:t>
      </w:r>
      <w:r w:rsidR="005F2EE7" w:rsidRPr="00F32249">
        <w:rPr>
          <w:lang w:val="es-MX"/>
        </w:rPr>
        <w:t xml:space="preserve"> </w:t>
      </w:r>
      <w:r>
        <w:rPr>
          <w:lang w:val="es-MX"/>
        </w:rPr>
        <w:t>en el</w:t>
      </w:r>
      <w:r w:rsidR="005F2EE7" w:rsidRPr="00F32249">
        <w:rPr>
          <w:lang w:val="es-MX"/>
        </w:rPr>
        <w:t xml:space="preserve"> 2022</w:t>
      </w:r>
      <w:r>
        <w:rPr>
          <w:lang w:val="es-MX"/>
        </w:rPr>
        <w:t xml:space="preserve"> el monto de </w:t>
      </w:r>
      <w:r w:rsidR="005F2EE7" w:rsidRPr="00F32249">
        <w:rPr>
          <w:lang w:val="es-MX"/>
        </w:rPr>
        <w:t xml:space="preserve">Q.47,518.8 millones, mientras que a junio de 2023 </w:t>
      </w:r>
      <w:r>
        <w:rPr>
          <w:lang w:val="es-MX"/>
        </w:rPr>
        <w:t>totalizaron</w:t>
      </w:r>
      <w:r w:rsidR="005F2EE7" w:rsidRPr="00F32249">
        <w:rPr>
          <w:lang w:val="es-MX"/>
        </w:rPr>
        <w:t xml:space="preserve"> Q.54,863.3 millones, mayor en Q.7,344.5 millones, </w:t>
      </w:r>
      <w:r w:rsidR="008F78C5">
        <w:rPr>
          <w:lang w:val="es-MX"/>
        </w:rPr>
        <w:t>que</w:t>
      </w:r>
      <w:r w:rsidR="005F2EE7" w:rsidRPr="00F32249">
        <w:rPr>
          <w:lang w:val="es-MX"/>
        </w:rPr>
        <w:t xml:space="preserve"> representa</w:t>
      </w:r>
      <w:r w:rsidR="008F78C5">
        <w:rPr>
          <w:lang w:val="es-MX"/>
        </w:rPr>
        <w:t>n</w:t>
      </w:r>
      <w:r w:rsidR="005F2EE7" w:rsidRPr="00F32249">
        <w:rPr>
          <w:lang w:val="es-MX"/>
        </w:rPr>
        <w:t xml:space="preserve"> un aumento del 15.5</w:t>
      </w:r>
      <w:r>
        <w:rPr>
          <w:lang w:val="es-MX"/>
        </w:rPr>
        <w:t>%</w:t>
      </w:r>
      <w:r w:rsidR="005F2EE7" w:rsidRPr="00F32249">
        <w:rPr>
          <w:lang w:val="es-MX"/>
        </w:rPr>
        <w:t>.</w:t>
      </w:r>
    </w:p>
    <w:p w14:paraId="73B5AF0A" w14:textId="21EFB31E" w:rsidR="005F2EE7" w:rsidRDefault="005F2EE7" w:rsidP="005F2EE7">
      <w:pPr>
        <w:jc w:val="both"/>
        <w:rPr>
          <w:sz w:val="14"/>
          <w:lang w:val="es-MX"/>
        </w:rPr>
      </w:pPr>
    </w:p>
    <w:p w14:paraId="03B752DB" w14:textId="2AF23D94" w:rsidR="008F78C5" w:rsidRDefault="008F78C5" w:rsidP="005F2EE7">
      <w:pPr>
        <w:jc w:val="both"/>
        <w:rPr>
          <w:sz w:val="14"/>
          <w:lang w:val="es-MX"/>
        </w:rPr>
      </w:pPr>
    </w:p>
    <w:p w14:paraId="2A311C13" w14:textId="390EDF6B" w:rsidR="008F78C5" w:rsidRDefault="008F78C5" w:rsidP="005F2EE7">
      <w:pPr>
        <w:jc w:val="both"/>
        <w:rPr>
          <w:sz w:val="14"/>
          <w:lang w:val="es-MX"/>
        </w:rPr>
      </w:pPr>
    </w:p>
    <w:p w14:paraId="0A9DCF89" w14:textId="632F6F11" w:rsidR="008F78C5" w:rsidRDefault="008F78C5" w:rsidP="005F2EE7">
      <w:pPr>
        <w:jc w:val="both"/>
        <w:rPr>
          <w:sz w:val="14"/>
          <w:lang w:val="es-MX"/>
        </w:rPr>
      </w:pPr>
    </w:p>
    <w:p w14:paraId="2DC4D723" w14:textId="737E2C22" w:rsidR="008F78C5" w:rsidRDefault="008F78C5" w:rsidP="005F2EE7">
      <w:pPr>
        <w:jc w:val="both"/>
        <w:rPr>
          <w:sz w:val="14"/>
          <w:lang w:val="es-MX"/>
        </w:rPr>
      </w:pPr>
    </w:p>
    <w:p w14:paraId="4A700D10" w14:textId="47B1EA44" w:rsidR="008F78C5" w:rsidRDefault="008F78C5" w:rsidP="005F2EE7">
      <w:pPr>
        <w:jc w:val="both"/>
        <w:rPr>
          <w:sz w:val="14"/>
          <w:lang w:val="es-MX"/>
        </w:rPr>
      </w:pPr>
    </w:p>
    <w:p w14:paraId="0F75092C" w14:textId="17EDA7FE" w:rsidR="008F78C5" w:rsidRDefault="008F78C5" w:rsidP="005F2EE7">
      <w:pPr>
        <w:jc w:val="both"/>
        <w:rPr>
          <w:sz w:val="14"/>
          <w:lang w:val="es-MX"/>
        </w:rPr>
      </w:pPr>
    </w:p>
    <w:p w14:paraId="135267EF" w14:textId="77777777" w:rsidR="008F78C5" w:rsidRDefault="008F78C5" w:rsidP="005F2EE7">
      <w:pPr>
        <w:jc w:val="both"/>
        <w:rPr>
          <w:sz w:val="14"/>
          <w:lang w:val="es-MX"/>
        </w:rPr>
      </w:pPr>
    </w:p>
    <w:p w14:paraId="1C0907F9" w14:textId="77777777" w:rsidR="005F2EE7" w:rsidRPr="00AF05C7" w:rsidRDefault="005F2EE7" w:rsidP="005F2EE7">
      <w:pPr>
        <w:jc w:val="center"/>
        <w:rPr>
          <w:b/>
          <w:szCs w:val="22"/>
          <w:lang w:val="es-MX"/>
        </w:rPr>
      </w:pPr>
      <w:r w:rsidRPr="00AF05C7">
        <w:rPr>
          <w:b/>
          <w:szCs w:val="22"/>
          <w:lang w:val="es-MX"/>
        </w:rPr>
        <w:t>Cuadro 4</w:t>
      </w:r>
    </w:p>
    <w:p w14:paraId="2183A051" w14:textId="77777777" w:rsidR="005F2EE7" w:rsidRPr="00AF05C7" w:rsidRDefault="005F2EE7" w:rsidP="005F2EE7">
      <w:pPr>
        <w:jc w:val="center"/>
        <w:rPr>
          <w:b/>
          <w:szCs w:val="22"/>
          <w:lang w:val="es-MX"/>
        </w:rPr>
      </w:pPr>
      <w:r w:rsidRPr="00AF05C7">
        <w:rPr>
          <w:b/>
          <w:szCs w:val="22"/>
          <w:lang w:val="es-MX"/>
        </w:rPr>
        <w:t>Detalle del Gasto Público por Cuenta Económica</w:t>
      </w:r>
    </w:p>
    <w:p w14:paraId="51AA1A7E" w14:textId="77777777" w:rsidR="005F2EE7" w:rsidRPr="00AF05C7" w:rsidRDefault="005F2EE7" w:rsidP="005F2EE7">
      <w:pPr>
        <w:jc w:val="center"/>
        <w:rPr>
          <w:b/>
          <w:szCs w:val="22"/>
          <w:lang w:val="es-MX"/>
        </w:rPr>
      </w:pPr>
      <w:r w:rsidRPr="00AF05C7">
        <w:rPr>
          <w:b/>
          <w:szCs w:val="22"/>
          <w:lang w:val="es-MX"/>
        </w:rPr>
        <w:t>Al 30 de junio de 20</w:t>
      </w:r>
      <w:r>
        <w:rPr>
          <w:b/>
          <w:szCs w:val="22"/>
          <w:lang w:val="es-MX"/>
        </w:rPr>
        <w:t>22</w:t>
      </w:r>
      <w:r w:rsidRPr="00AF05C7">
        <w:rPr>
          <w:b/>
          <w:szCs w:val="22"/>
          <w:lang w:val="es-MX"/>
        </w:rPr>
        <w:t xml:space="preserve"> y 202</w:t>
      </w:r>
      <w:r>
        <w:rPr>
          <w:b/>
          <w:szCs w:val="22"/>
          <w:lang w:val="es-MX"/>
        </w:rPr>
        <w:t>3*</w:t>
      </w:r>
    </w:p>
    <w:p w14:paraId="05C7302A" w14:textId="77777777" w:rsidR="005F2EE7" w:rsidRPr="00AF05C7" w:rsidRDefault="005F2EE7" w:rsidP="005F2EE7">
      <w:pPr>
        <w:jc w:val="center"/>
        <w:rPr>
          <w:sz w:val="18"/>
          <w:lang w:val="es-MX"/>
        </w:rPr>
      </w:pPr>
      <w:r w:rsidRPr="00AF05C7">
        <w:rPr>
          <w:b/>
          <w:szCs w:val="22"/>
          <w:lang w:val="es-MX"/>
        </w:rPr>
        <w:t>(Cifras en Millones de Quetzales)</w:t>
      </w:r>
    </w:p>
    <w:tbl>
      <w:tblPr>
        <w:tblW w:w="9062" w:type="dxa"/>
        <w:jc w:val="center"/>
        <w:tblCellMar>
          <w:left w:w="70" w:type="dxa"/>
          <w:right w:w="70" w:type="dxa"/>
        </w:tblCellMar>
        <w:tblLook w:val="04A0" w:firstRow="1" w:lastRow="0" w:firstColumn="1" w:lastColumn="0" w:noHBand="0" w:noVBand="1"/>
      </w:tblPr>
      <w:tblGrid>
        <w:gridCol w:w="3959"/>
        <w:gridCol w:w="1418"/>
        <w:gridCol w:w="1276"/>
        <w:gridCol w:w="1275"/>
        <w:gridCol w:w="1134"/>
      </w:tblGrid>
      <w:tr w:rsidR="005F2EE7" w:rsidRPr="008F78C5" w14:paraId="16C7516C" w14:textId="77777777" w:rsidTr="0029595B">
        <w:trPr>
          <w:trHeight w:val="255"/>
          <w:jc w:val="center"/>
        </w:trPr>
        <w:tc>
          <w:tcPr>
            <w:tcW w:w="3959" w:type="dxa"/>
            <w:vMerge w:val="restart"/>
            <w:tcBorders>
              <w:top w:val="single" w:sz="8" w:space="0" w:color="auto"/>
              <w:left w:val="single" w:sz="8" w:space="0" w:color="auto"/>
              <w:bottom w:val="single" w:sz="4" w:space="0" w:color="000000"/>
              <w:right w:val="nil"/>
            </w:tcBorders>
            <w:shd w:val="clear" w:color="auto" w:fill="00B0F0"/>
            <w:vAlign w:val="center"/>
            <w:hideMark/>
          </w:tcPr>
          <w:p w14:paraId="458F6D4F" w14:textId="77777777" w:rsidR="005F2EE7" w:rsidRPr="002075AD" w:rsidRDefault="005F2EE7" w:rsidP="0042480D">
            <w:pPr>
              <w:jc w:val="center"/>
              <w:rPr>
                <w:rFonts w:ascii="CG Times" w:hAnsi="CG Times"/>
                <w:b/>
                <w:bCs/>
                <w:sz w:val="22"/>
                <w:szCs w:val="22"/>
                <w:lang w:val="es-GT" w:eastAsia="es-GT"/>
              </w:rPr>
            </w:pPr>
            <w:r w:rsidRPr="002075AD">
              <w:rPr>
                <w:rFonts w:ascii="CG Times" w:hAnsi="CG Times"/>
                <w:b/>
                <w:bCs/>
                <w:sz w:val="22"/>
                <w:szCs w:val="22"/>
                <w:lang w:val="es-GT" w:eastAsia="es-GT"/>
              </w:rPr>
              <w:t>Concepto</w:t>
            </w:r>
          </w:p>
        </w:tc>
        <w:tc>
          <w:tcPr>
            <w:tcW w:w="2694" w:type="dxa"/>
            <w:gridSpan w:val="2"/>
            <w:tcBorders>
              <w:top w:val="single" w:sz="8" w:space="0" w:color="auto"/>
              <w:left w:val="single" w:sz="4" w:space="0" w:color="auto"/>
              <w:bottom w:val="single" w:sz="4" w:space="0" w:color="auto"/>
              <w:right w:val="single" w:sz="4" w:space="0" w:color="000000"/>
            </w:tcBorders>
            <w:shd w:val="clear" w:color="auto" w:fill="00B0F0"/>
            <w:noWrap/>
            <w:vAlign w:val="bottom"/>
            <w:hideMark/>
          </w:tcPr>
          <w:p w14:paraId="2A61566D" w14:textId="77777777" w:rsidR="005F2EE7" w:rsidRPr="002075AD" w:rsidRDefault="005F2EE7" w:rsidP="0042480D">
            <w:pPr>
              <w:jc w:val="center"/>
              <w:rPr>
                <w:rFonts w:ascii="CG Times" w:hAnsi="CG Times"/>
                <w:b/>
                <w:bCs/>
                <w:sz w:val="22"/>
                <w:szCs w:val="22"/>
                <w:lang w:val="es-GT" w:eastAsia="es-GT"/>
              </w:rPr>
            </w:pPr>
            <w:r w:rsidRPr="002075AD">
              <w:rPr>
                <w:rFonts w:ascii="CG Times" w:hAnsi="CG Times"/>
                <w:b/>
                <w:bCs/>
                <w:sz w:val="22"/>
                <w:szCs w:val="22"/>
                <w:lang w:val="es-GT" w:eastAsia="es-GT"/>
              </w:rPr>
              <w:t>Ejecución</w:t>
            </w:r>
          </w:p>
        </w:tc>
        <w:tc>
          <w:tcPr>
            <w:tcW w:w="2409" w:type="dxa"/>
            <w:gridSpan w:val="2"/>
            <w:tcBorders>
              <w:top w:val="single" w:sz="8" w:space="0" w:color="auto"/>
              <w:left w:val="nil"/>
              <w:bottom w:val="single" w:sz="4" w:space="0" w:color="auto"/>
              <w:right w:val="single" w:sz="8" w:space="0" w:color="000000"/>
            </w:tcBorders>
            <w:shd w:val="clear" w:color="auto" w:fill="00B0F0"/>
            <w:noWrap/>
            <w:vAlign w:val="bottom"/>
            <w:hideMark/>
          </w:tcPr>
          <w:p w14:paraId="733D6E8F" w14:textId="77777777" w:rsidR="005F2EE7" w:rsidRPr="002075AD" w:rsidRDefault="005F2EE7" w:rsidP="0042480D">
            <w:pPr>
              <w:jc w:val="center"/>
              <w:rPr>
                <w:rFonts w:ascii="CG Times" w:hAnsi="CG Times"/>
                <w:b/>
                <w:bCs/>
                <w:sz w:val="22"/>
                <w:szCs w:val="22"/>
                <w:lang w:val="es-GT" w:eastAsia="es-GT"/>
              </w:rPr>
            </w:pPr>
            <w:r w:rsidRPr="002075AD">
              <w:rPr>
                <w:rFonts w:ascii="CG Times" w:hAnsi="CG Times"/>
                <w:b/>
                <w:bCs/>
                <w:sz w:val="22"/>
                <w:szCs w:val="22"/>
                <w:lang w:val="es-GT" w:eastAsia="es-GT"/>
              </w:rPr>
              <w:t>Diferencias</w:t>
            </w:r>
          </w:p>
        </w:tc>
      </w:tr>
      <w:tr w:rsidR="005F2EE7" w:rsidRPr="008F78C5" w14:paraId="19111C59" w14:textId="77777777" w:rsidTr="0029595B">
        <w:trPr>
          <w:trHeight w:val="255"/>
          <w:jc w:val="center"/>
        </w:trPr>
        <w:tc>
          <w:tcPr>
            <w:tcW w:w="3959" w:type="dxa"/>
            <w:vMerge/>
            <w:tcBorders>
              <w:top w:val="single" w:sz="8" w:space="0" w:color="auto"/>
              <w:left w:val="single" w:sz="8" w:space="0" w:color="auto"/>
              <w:bottom w:val="single" w:sz="4" w:space="0" w:color="000000"/>
              <w:right w:val="nil"/>
            </w:tcBorders>
            <w:vAlign w:val="center"/>
            <w:hideMark/>
          </w:tcPr>
          <w:p w14:paraId="778B5E3E" w14:textId="77777777" w:rsidR="005F2EE7" w:rsidRPr="002075AD" w:rsidRDefault="005F2EE7" w:rsidP="0042480D">
            <w:pPr>
              <w:rPr>
                <w:rFonts w:ascii="CG Times" w:hAnsi="CG Times"/>
                <w:b/>
                <w:bCs/>
                <w:sz w:val="22"/>
                <w:szCs w:val="22"/>
                <w:lang w:val="es-GT" w:eastAsia="es-GT"/>
              </w:rPr>
            </w:pPr>
          </w:p>
        </w:tc>
        <w:tc>
          <w:tcPr>
            <w:tcW w:w="1418"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8AB71B3" w14:textId="77777777" w:rsidR="005F2EE7" w:rsidRPr="002075AD" w:rsidRDefault="005F2EE7" w:rsidP="0042480D">
            <w:pPr>
              <w:jc w:val="center"/>
              <w:rPr>
                <w:rFonts w:ascii="CG Times" w:hAnsi="CG Times"/>
                <w:b/>
                <w:bCs/>
                <w:sz w:val="22"/>
                <w:szCs w:val="22"/>
                <w:lang w:val="es-GT" w:eastAsia="es-GT"/>
              </w:rPr>
            </w:pPr>
            <w:r w:rsidRPr="002075AD">
              <w:rPr>
                <w:rFonts w:ascii="CG Times" w:hAnsi="CG Times"/>
                <w:b/>
                <w:bCs/>
                <w:sz w:val="22"/>
                <w:szCs w:val="22"/>
                <w:lang w:val="es-GT" w:eastAsia="es-GT"/>
              </w:rPr>
              <w:t>2022</w:t>
            </w:r>
          </w:p>
        </w:tc>
        <w:tc>
          <w:tcPr>
            <w:tcW w:w="1276" w:type="dxa"/>
            <w:tcBorders>
              <w:top w:val="single" w:sz="4" w:space="0" w:color="auto"/>
              <w:left w:val="nil"/>
              <w:bottom w:val="single" w:sz="4" w:space="0" w:color="auto"/>
              <w:right w:val="single" w:sz="4" w:space="0" w:color="auto"/>
            </w:tcBorders>
            <w:shd w:val="clear" w:color="auto" w:fill="00B0F0"/>
            <w:noWrap/>
            <w:vAlign w:val="center"/>
            <w:hideMark/>
          </w:tcPr>
          <w:p w14:paraId="2435BF90" w14:textId="77777777" w:rsidR="005F2EE7" w:rsidRPr="002075AD" w:rsidRDefault="005F2EE7" w:rsidP="0042480D">
            <w:pPr>
              <w:jc w:val="center"/>
              <w:rPr>
                <w:rFonts w:ascii="CG Times" w:hAnsi="CG Times"/>
                <w:b/>
                <w:bCs/>
                <w:sz w:val="22"/>
                <w:szCs w:val="22"/>
                <w:lang w:val="es-GT" w:eastAsia="es-GT"/>
              </w:rPr>
            </w:pPr>
            <w:r w:rsidRPr="002075AD">
              <w:rPr>
                <w:rFonts w:ascii="CG Times" w:hAnsi="CG Times"/>
                <w:b/>
                <w:bCs/>
                <w:sz w:val="22"/>
                <w:szCs w:val="22"/>
                <w:lang w:val="es-GT" w:eastAsia="es-GT"/>
              </w:rPr>
              <w:t>2023</w:t>
            </w:r>
          </w:p>
        </w:tc>
        <w:tc>
          <w:tcPr>
            <w:tcW w:w="1275"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3D02C17E" w14:textId="77777777" w:rsidR="005F2EE7" w:rsidRPr="002075AD" w:rsidRDefault="005F2EE7" w:rsidP="0042480D">
            <w:pPr>
              <w:jc w:val="center"/>
              <w:rPr>
                <w:rFonts w:ascii="CG Times" w:hAnsi="CG Times"/>
                <w:b/>
                <w:bCs/>
                <w:sz w:val="22"/>
                <w:szCs w:val="22"/>
                <w:lang w:val="es-GT" w:eastAsia="es-GT"/>
              </w:rPr>
            </w:pPr>
            <w:r w:rsidRPr="002075AD">
              <w:rPr>
                <w:rFonts w:ascii="CG Times" w:hAnsi="CG Times"/>
                <w:b/>
                <w:bCs/>
                <w:sz w:val="22"/>
                <w:szCs w:val="22"/>
                <w:lang w:val="es-GT" w:eastAsia="es-GT"/>
              </w:rPr>
              <w:t>Absolutas</w:t>
            </w:r>
          </w:p>
        </w:tc>
        <w:tc>
          <w:tcPr>
            <w:tcW w:w="1134" w:type="dxa"/>
            <w:tcBorders>
              <w:top w:val="single" w:sz="4" w:space="0" w:color="auto"/>
              <w:left w:val="nil"/>
              <w:bottom w:val="single" w:sz="4" w:space="0" w:color="auto"/>
              <w:right w:val="single" w:sz="8" w:space="0" w:color="auto"/>
            </w:tcBorders>
            <w:shd w:val="clear" w:color="auto" w:fill="00B0F0"/>
            <w:noWrap/>
            <w:vAlign w:val="bottom"/>
            <w:hideMark/>
          </w:tcPr>
          <w:p w14:paraId="2DC5D1DF" w14:textId="77777777" w:rsidR="005F2EE7" w:rsidRPr="002075AD" w:rsidRDefault="005F2EE7" w:rsidP="0042480D">
            <w:pPr>
              <w:jc w:val="center"/>
              <w:rPr>
                <w:rFonts w:ascii="CG Times" w:hAnsi="CG Times"/>
                <w:b/>
                <w:bCs/>
                <w:sz w:val="22"/>
                <w:szCs w:val="22"/>
                <w:lang w:val="es-GT" w:eastAsia="es-GT"/>
              </w:rPr>
            </w:pPr>
            <w:r w:rsidRPr="002075AD">
              <w:rPr>
                <w:rFonts w:ascii="CG Times" w:hAnsi="CG Times"/>
                <w:b/>
                <w:bCs/>
                <w:sz w:val="22"/>
                <w:szCs w:val="22"/>
                <w:lang w:val="es-GT" w:eastAsia="es-GT"/>
              </w:rPr>
              <w:t>Relativas</w:t>
            </w:r>
          </w:p>
        </w:tc>
      </w:tr>
      <w:tr w:rsidR="005F2EE7" w:rsidRPr="008F78C5" w14:paraId="39009A35"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40794EFC" w14:textId="77777777" w:rsidR="005F2EE7" w:rsidRPr="008F78C5" w:rsidRDefault="005F2EE7" w:rsidP="0042480D">
            <w:pPr>
              <w:rPr>
                <w:rFonts w:ascii="CG Times" w:hAnsi="CG Times"/>
                <w:b/>
                <w:bCs/>
                <w:sz w:val="20"/>
                <w:szCs w:val="20"/>
                <w:lang w:val="es-GT" w:eastAsia="es-GT"/>
              </w:rPr>
            </w:pPr>
            <w:r w:rsidRPr="008F78C5">
              <w:rPr>
                <w:rFonts w:ascii="CG Times" w:hAnsi="CG Times"/>
                <w:b/>
                <w:bCs/>
                <w:sz w:val="20"/>
                <w:szCs w:val="20"/>
                <w:lang w:val="es-GT" w:eastAsia="es-GT"/>
              </w:rPr>
              <w:t>Gastos Totales</w:t>
            </w:r>
          </w:p>
        </w:tc>
        <w:tc>
          <w:tcPr>
            <w:tcW w:w="1418" w:type="dxa"/>
            <w:tcBorders>
              <w:top w:val="single" w:sz="4" w:space="0" w:color="auto"/>
              <w:left w:val="single" w:sz="4" w:space="0" w:color="auto"/>
              <w:bottom w:val="nil"/>
              <w:right w:val="single" w:sz="4" w:space="0" w:color="auto"/>
            </w:tcBorders>
            <w:shd w:val="clear" w:color="000000" w:fill="FFFFFF"/>
            <w:noWrap/>
            <w:vAlign w:val="bottom"/>
            <w:hideMark/>
          </w:tcPr>
          <w:p w14:paraId="08D7EC6C"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46,088.0</w:t>
            </w:r>
          </w:p>
        </w:tc>
        <w:tc>
          <w:tcPr>
            <w:tcW w:w="1276" w:type="dxa"/>
            <w:tcBorders>
              <w:top w:val="single" w:sz="4" w:space="0" w:color="auto"/>
              <w:left w:val="nil"/>
              <w:bottom w:val="nil"/>
              <w:right w:val="single" w:sz="4" w:space="0" w:color="auto"/>
            </w:tcBorders>
            <w:shd w:val="clear" w:color="000000" w:fill="FFFFFF"/>
            <w:noWrap/>
            <w:vAlign w:val="bottom"/>
            <w:hideMark/>
          </w:tcPr>
          <w:p w14:paraId="5E959AAA"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53,450.8</w:t>
            </w:r>
          </w:p>
        </w:tc>
        <w:tc>
          <w:tcPr>
            <w:tcW w:w="1275" w:type="dxa"/>
            <w:tcBorders>
              <w:top w:val="nil"/>
              <w:left w:val="nil"/>
              <w:bottom w:val="nil"/>
              <w:right w:val="single" w:sz="4" w:space="0" w:color="auto"/>
            </w:tcBorders>
            <w:shd w:val="clear" w:color="000000" w:fill="FFFFFF"/>
            <w:noWrap/>
            <w:vAlign w:val="bottom"/>
            <w:hideMark/>
          </w:tcPr>
          <w:p w14:paraId="2C5B44C6"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7,362.8</w:t>
            </w:r>
          </w:p>
        </w:tc>
        <w:tc>
          <w:tcPr>
            <w:tcW w:w="1134" w:type="dxa"/>
            <w:tcBorders>
              <w:top w:val="nil"/>
              <w:left w:val="nil"/>
              <w:bottom w:val="nil"/>
              <w:right w:val="single" w:sz="8" w:space="0" w:color="auto"/>
            </w:tcBorders>
            <w:shd w:val="clear" w:color="000000" w:fill="FFFFFF"/>
            <w:noWrap/>
            <w:vAlign w:val="bottom"/>
            <w:hideMark/>
          </w:tcPr>
          <w:p w14:paraId="446A31AD"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16.0%</w:t>
            </w:r>
          </w:p>
        </w:tc>
      </w:tr>
      <w:tr w:rsidR="005F2EE7" w:rsidRPr="008F78C5" w14:paraId="036381B1"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6728AD5B" w14:textId="77777777" w:rsidR="005F2EE7" w:rsidRPr="008F78C5" w:rsidRDefault="005F2EE7" w:rsidP="0042480D">
            <w:pPr>
              <w:ind w:firstLineChars="100" w:firstLine="201"/>
              <w:rPr>
                <w:rFonts w:ascii="CG Times" w:hAnsi="CG Times"/>
                <w:b/>
                <w:bCs/>
                <w:sz w:val="20"/>
                <w:szCs w:val="20"/>
                <w:lang w:val="es-GT" w:eastAsia="es-GT"/>
              </w:rPr>
            </w:pPr>
            <w:r w:rsidRPr="008F78C5">
              <w:rPr>
                <w:rFonts w:ascii="CG Times" w:hAnsi="CG Times"/>
                <w:b/>
                <w:bCs/>
                <w:sz w:val="20"/>
                <w:szCs w:val="20"/>
                <w:lang w:val="es-GT" w:eastAsia="es-GT"/>
              </w:rPr>
              <w:t>Gastos Corrientes</w:t>
            </w:r>
          </w:p>
        </w:tc>
        <w:tc>
          <w:tcPr>
            <w:tcW w:w="1418" w:type="dxa"/>
            <w:tcBorders>
              <w:top w:val="nil"/>
              <w:left w:val="single" w:sz="4" w:space="0" w:color="auto"/>
              <w:bottom w:val="nil"/>
              <w:right w:val="single" w:sz="4" w:space="0" w:color="auto"/>
            </w:tcBorders>
            <w:shd w:val="clear" w:color="000000" w:fill="FFFFFF"/>
            <w:noWrap/>
            <w:vAlign w:val="bottom"/>
            <w:hideMark/>
          </w:tcPr>
          <w:p w14:paraId="1E8F6E8D"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38,292.7</w:t>
            </w:r>
          </w:p>
        </w:tc>
        <w:tc>
          <w:tcPr>
            <w:tcW w:w="1276" w:type="dxa"/>
            <w:tcBorders>
              <w:top w:val="nil"/>
              <w:left w:val="nil"/>
              <w:bottom w:val="nil"/>
              <w:right w:val="single" w:sz="4" w:space="0" w:color="auto"/>
            </w:tcBorders>
            <w:shd w:val="clear" w:color="000000" w:fill="FFFFFF"/>
            <w:noWrap/>
            <w:vAlign w:val="bottom"/>
            <w:hideMark/>
          </w:tcPr>
          <w:p w14:paraId="7F90DFAD"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44,104.8</w:t>
            </w:r>
          </w:p>
        </w:tc>
        <w:tc>
          <w:tcPr>
            <w:tcW w:w="1275" w:type="dxa"/>
            <w:tcBorders>
              <w:top w:val="nil"/>
              <w:left w:val="nil"/>
              <w:bottom w:val="nil"/>
              <w:right w:val="single" w:sz="4" w:space="0" w:color="auto"/>
            </w:tcBorders>
            <w:shd w:val="clear" w:color="000000" w:fill="FFFFFF"/>
            <w:noWrap/>
            <w:vAlign w:val="bottom"/>
            <w:hideMark/>
          </w:tcPr>
          <w:p w14:paraId="73E1E27C"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5,812.0</w:t>
            </w:r>
          </w:p>
        </w:tc>
        <w:tc>
          <w:tcPr>
            <w:tcW w:w="1134" w:type="dxa"/>
            <w:tcBorders>
              <w:top w:val="nil"/>
              <w:left w:val="nil"/>
              <w:bottom w:val="nil"/>
              <w:right w:val="single" w:sz="8" w:space="0" w:color="auto"/>
            </w:tcBorders>
            <w:shd w:val="clear" w:color="000000" w:fill="FFFFFF"/>
            <w:noWrap/>
            <w:vAlign w:val="bottom"/>
            <w:hideMark/>
          </w:tcPr>
          <w:p w14:paraId="3BBAABF4"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15.2%</w:t>
            </w:r>
          </w:p>
        </w:tc>
      </w:tr>
      <w:tr w:rsidR="005F2EE7" w:rsidRPr="008F78C5" w14:paraId="50B85531"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1B7312CF"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Remuneraciones</w:t>
            </w:r>
          </w:p>
        </w:tc>
        <w:tc>
          <w:tcPr>
            <w:tcW w:w="1418" w:type="dxa"/>
            <w:tcBorders>
              <w:top w:val="nil"/>
              <w:left w:val="single" w:sz="4" w:space="0" w:color="auto"/>
              <w:bottom w:val="nil"/>
              <w:right w:val="single" w:sz="4" w:space="0" w:color="auto"/>
            </w:tcBorders>
            <w:shd w:val="clear" w:color="000000" w:fill="FFFFFF"/>
            <w:noWrap/>
            <w:vAlign w:val="bottom"/>
            <w:hideMark/>
          </w:tcPr>
          <w:p w14:paraId="28A548D2"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13,682.0</w:t>
            </w:r>
          </w:p>
        </w:tc>
        <w:tc>
          <w:tcPr>
            <w:tcW w:w="1276" w:type="dxa"/>
            <w:tcBorders>
              <w:top w:val="nil"/>
              <w:left w:val="nil"/>
              <w:bottom w:val="nil"/>
              <w:right w:val="single" w:sz="4" w:space="0" w:color="auto"/>
            </w:tcBorders>
            <w:shd w:val="clear" w:color="000000" w:fill="FFFFFF"/>
            <w:noWrap/>
            <w:vAlign w:val="bottom"/>
            <w:hideMark/>
          </w:tcPr>
          <w:p w14:paraId="67E76DEA"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14,853.6</w:t>
            </w:r>
          </w:p>
        </w:tc>
        <w:tc>
          <w:tcPr>
            <w:tcW w:w="1275" w:type="dxa"/>
            <w:tcBorders>
              <w:top w:val="nil"/>
              <w:left w:val="nil"/>
              <w:bottom w:val="nil"/>
              <w:right w:val="single" w:sz="4" w:space="0" w:color="auto"/>
            </w:tcBorders>
            <w:shd w:val="clear" w:color="000000" w:fill="FFFFFF"/>
            <w:noWrap/>
            <w:vAlign w:val="bottom"/>
            <w:hideMark/>
          </w:tcPr>
          <w:p w14:paraId="34708ABE"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1,171.7</w:t>
            </w:r>
          </w:p>
        </w:tc>
        <w:tc>
          <w:tcPr>
            <w:tcW w:w="1134" w:type="dxa"/>
            <w:tcBorders>
              <w:top w:val="nil"/>
              <w:left w:val="nil"/>
              <w:bottom w:val="nil"/>
              <w:right w:val="single" w:sz="8" w:space="0" w:color="auto"/>
            </w:tcBorders>
            <w:shd w:val="clear" w:color="000000" w:fill="FFFFFF"/>
            <w:noWrap/>
            <w:vAlign w:val="bottom"/>
            <w:hideMark/>
          </w:tcPr>
          <w:p w14:paraId="5C87619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8.6%</w:t>
            </w:r>
          </w:p>
        </w:tc>
      </w:tr>
      <w:tr w:rsidR="005F2EE7" w:rsidRPr="008F78C5" w14:paraId="36E05D4C"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4AA9297E"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Bienes y Servicios</w:t>
            </w:r>
          </w:p>
        </w:tc>
        <w:tc>
          <w:tcPr>
            <w:tcW w:w="1418" w:type="dxa"/>
            <w:tcBorders>
              <w:top w:val="nil"/>
              <w:left w:val="single" w:sz="4" w:space="0" w:color="auto"/>
              <w:bottom w:val="nil"/>
              <w:right w:val="single" w:sz="4" w:space="0" w:color="auto"/>
            </w:tcBorders>
            <w:shd w:val="clear" w:color="000000" w:fill="FFFFFF"/>
            <w:noWrap/>
            <w:vAlign w:val="bottom"/>
            <w:hideMark/>
          </w:tcPr>
          <w:p w14:paraId="56A9A7CE"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5,599.4</w:t>
            </w:r>
          </w:p>
        </w:tc>
        <w:tc>
          <w:tcPr>
            <w:tcW w:w="1276" w:type="dxa"/>
            <w:tcBorders>
              <w:top w:val="nil"/>
              <w:left w:val="nil"/>
              <w:bottom w:val="nil"/>
              <w:right w:val="single" w:sz="4" w:space="0" w:color="auto"/>
            </w:tcBorders>
            <w:shd w:val="clear" w:color="000000" w:fill="FFFFFF"/>
            <w:noWrap/>
            <w:vAlign w:val="bottom"/>
            <w:hideMark/>
          </w:tcPr>
          <w:p w14:paraId="45976C4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8,549.3</w:t>
            </w:r>
          </w:p>
        </w:tc>
        <w:tc>
          <w:tcPr>
            <w:tcW w:w="1275" w:type="dxa"/>
            <w:tcBorders>
              <w:top w:val="nil"/>
              <w:left w:val="nil"/>
              <w:bottom w:val="nil"/>
              <w:right w:val="single" w:sz="4" w:space="0" w:color="auto"/>
            </w:tcBorders>
            <w:shd w:val="clear" w:color="000000" w:fill="FFFFFF"/>
            <w:noWrap/>
            <w:vAlign w:val="bottom"/>
            <w:hideMark/>
          </w:tcPr>
          <w:p w14:paraId="5D2246A5"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2,949.9</w:t>
            </w:r>
          </w:p>
        </w:tc>
        <w:tc>
          <w:tcPr>
            <w:tcW w:w="1134" w:type="dxa"/>
            <w:tcBorders>
              <w:top w:val="nil"/>
              <w:left w:val="nil"/>
              <w:bottom w:val="nil"/>
              <w:right w:val="single" w:sz="8" w:space="0" w:color="auto"/>
            </w:tcBorders>
            <w:shd w:val="clear" w:color="000000" w:fill="FFFFFF"/>
            <w:noWrap/>
            <w:vAlign w:val="bottom"/>
            <w:hideMark/>
          </w:tcPr>
          <w:p w14:paraId="06FD1A23"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52.7%</w:t>
            </w:r>
          </w:p>
        </w:tc>
      </w:tr>
      <w:tr w:rsidR="005F2EE7" w:rsidRPr="008F78C5" w14:paraId="372492D2"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5868095F" w14:textId="77A8DCBF"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 xml:space="preserve">Impuestos </w:t>
            </w:r>
            <w:r w:rsidR="008F78C5">
              <w:rPr>
                <w:rFonts w:ascii="CG Times" w:hAnsi="CG Times"/>
                <w:sz w:val="20"/>
                <w:szCs w:val="20"/>
                <w:lang w:val="es-GT" w:eastAsia="es-GT"/>
              </w:rPr>
              <w:t>P</w:t>
            </w:r>
            <w:r w:rsidRPr="008F78C5">
              <w:rPr>
                <w:rFonts w:ascii="CG Times" w:hAnsi="CG Times"/>
                <w:sz w:val="20"/>
                <w:szCs w:val="20"/>
                <w:lang w:val="es-GT" w:eastAsia="es-GT"/>
              </w:rPr>
              <w:t>agados por el Estado</w:t>
            </w:r>
          </w:p>
        </w:tc>
        <w:tc>
          <w:tcPr>
            <w:tcW w:w="1418" w:type="dxa"/>
            <w:tcBorders>
              <w:top w:val="nil"/>
              <w:left w:val="single" w:sz="4" w:space="0" w:color="auto"/>
              <w:bottom w:val="nil"/>
              <w:right w:val="single" w:sz="4" w:space="0" w:color="auto"/>
            </w:tcBorders>
            <w:shd w:val="clear" w:color="000000" w:fill="FFFFFF"/>
            <w:noWrap/>
            <w:vAlign w:val="bottom"/>
            <w:hideMark/>
          </w:tcPr>
          <w:p w14:paraId="2A3C5668"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3.3</w:t>
            </w:r>
          </w:p>
        </w:tc>
        <w:tc>
          <w:tcPr>
            <w:tcW w:w="1276" w:type="dxa"/>
            <w:tcBorders>
              <w:top w:val="nil"/>
              <w:left w:val="nil"/>
              <w:bottom w:val="nil"/>
              <w:right w:val="single" w:sz="4" w:space="0" w:color="auto"/>
            </w:tcBorders>
            <w:shd w:val="clear" w:color="000000" w:fill="FFFFFF"/>
            <w:noWrap/>
            <w:vAlign w:val="bottom"/>
            <w:hideMark/>
          </w:tcPr>
          <w:p w14:paraId="67CBA5E7"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3.2</w:t>
            </w:r>
          </w:p>
        </w:tc>
        <w:tc>
          <w:tcPr>
            <w:tcW w:w="1275" w:type="dxa"/>
            <w:tcBorders>
              <w:top w:val="nil"/>
              <w:left w:val="nil"/>
              <w:bottom w:val="nil"/>
              <w:right w:val="single" w:sz="4" w:space="0" w:color="auto"/>
            </w:tcBorders>
            <w:shd w:val="clear" w:color="000000" w:fill="FFFFFF"/>
            <w:noWrap/>
            <w:vAlign w:val="bottom"/>
            <w:hideMark/>
          </w:tcPr>
          <w:p w14:paraId="0AA86BC2"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-0.1</w:t>
            </w:r>
          </w:p>
        </w:tc>
        <w:tc>
          <w:tcPr>
            <w:tcW w:w="1134" w:type="dxa"/>
            <w:tcBorders>
              <w:top w:val="nil"/>
              <w:left w:val="nil"/>
              <w:bottom w:val="nil"/>
              <w:right w:val="single" w:sz="8" w:space="0" w:color="auto"/>
            </w:tcBorders>
            <w:shd w:val="clear" w:color="000000" w:fill="FFFFFF"/>
            <w:noWrap/>
            <w:vAlign w:val="bottom"/>
            <w:hideMark/>
          </w:tcPr>
          <w:p w14:paraId="7A3AA6F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-2.3%</w:t>
            </w:r>
          </w:p>
        </w:tc>
      </w:tr>
      <w:tr w:rsidR="005F2EE7" w:rsidRPr="008F78C5" w14:paraId="3AB48141"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11215F94"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Descuentos y Bonificaciones</w:t>
            </w:r>
          </w:p>
        </w:tc>
        <w:tc>
          <w:tcPr>
            <w:tcW w:w="1418" w:type="dxa"/>
            <w:tcBorders>
              <w:top w:val="nil"/>
              <w:left w:val="single" w:sz="4" w:space="0" w:color="auto"/>
              <w:bottom w:val="nil"/>
              <w:right w:val="single" w:sz="4" w:space="0" w:color="auto"/>
            </w:tcBorders>
            <w:shd w:val="clear" w:color="000000" w:fill="FFFFFF"/>
            <w:noWrap/>
            <w:vAlign w:val="bottom"/>
            <w:hideMark/>
          </w:tcPr>
          <w:p w14:paraId="485C69B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88.8</w:t>
            </w:r>
          </w:p>
        </w:tc>
        <w:tc>
          <w:tcPr>
            <w:tcW w:w="1276" w:type="dxa"/>
            <w:tcBorders>
              <w:top w:val="nil"/>
              <w:left w:val="nil"/>
              <w:bottom w:val="nil"/>
              <w:right w:val="single" w:sz="4" w:space="0" w:color="auto"/>
            </w:tcBorders>
            <w:shd w:val="clear" w:color="000000" w:fill="FFFFFF"/>
            <w:noWrap/>
            <w:vAlign w:val="bottom"/>
            <w:hideMark/>
          </w:tcPr>
          <w:p w14:paraId="1C5046C2"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155.0</w:t>
            </w:r>
          </w:p>
        </w:tc>
        <w:tc>
          <w:tcPr>
            <w:tcW w:w="1275" w:type="dxa"/>
            <w:tcBorders>
              <w:top w:val="nil"/>
              <w:left w:val="nil"/>
              <w:bottom w:val="nil"/>
              <w:right w:val="single" w:sz="4" w:space="0" w:color="auto"/>
            </w:tcBorders>
            <w:shd w:val="clear" w:color="000000" w:fill="FFFFFF"/>
            <w:noWrap/>
            <w:vAlign w:val="bottom"/>
            <w:hideMark/>
          </w:tcPr>
          <w:p w14:paraId="4EB73992"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66.2</w:t>
            </w:r>
          </w:p>
        </w:tc>
        <w:tc>
          <w:tcPr>
            <w:tcW w:w="1134" w:type="dxa"/>
            <w:tcBorders>
              <w:top w:val="nil"/>
              <w:left w:val="nil"/>
              <w:bottom w:val="nil"/>
              <w:right w:val="single" w:sz="8" w:space="0" w:color="auto"/>
            </w:tcBorders>
            <w:shd w:val="clear" w:color="000000" w:fill="FFFFFF"/>
            <w:noWrap/>
            <w:vAlign w:val="bottom"/>
            <w:hideMark/>
          </w:tcPr>
          <w:p w14:paraId="66287F9C"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74.5%</w:t>
            </w:r>
          </w:p>
        </w:tc>
      </w:tr>
      <w:tr w:rsidR="005F2EE7" w:rsidRPr="008F78C5" w14:paraId="4223A3B7"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39CF5E93"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Prestaciones a la Seguridad Social</w:t>
            </w:r>
          </w:p>
        </w:tc>
        <w:tc>
          <w:tcPr>
            <w:tcW w:w="1418" w:type="dxa"/>
            <w:tcBorders>
              <w:top w:val="nil"/>
              <w:left w:val="single" w:sz="4" w:space="0" w:color="auto"/>
              <w:bottom w:val="nil"/>
              <w:right w:val="single" w:sz="4" w:space="0" w:color="auto"/>
            </w:tcBorders>
            <w:shd w:val="clear" w:color="000000" w:fill="FFFFFF"/>
            <w:noWrap/>
            <w:vAlign w:val="bottom"/>
            <w:hideMark/>
          </w:tcPr>
          <w:p w14:paraId="636BFD93"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2,604.4</w:t>
            </w:r>
          </w:p>
        </w:tc>
        <w:tc>
          <w:tcPr>
            <w:tcW w:w="1276" w:type="dxa"/>
            <w:tcBorders>
              <w:top w:val="nil"/>
              <w:left w:val="nil"/>
              <w:bottom w:val="nil"/>
              <w:right w:val="single" w:sz="4" w:space="0" w:color="auto"/>
            </w:tcBorders>
            <w:shd w:val="clear" w:color="000000" w:fill="FFFFFF"/>
            <w:noWrap/>
            <w:vAlign w:val="bottom"/>
            <w:hideMark/>
          </w:tcPr>
          <w:p w14:paraId="40EBD7E1"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3,075.1</w:t>
            </w:r>
          </w:p>
        </w:tc>
        <w:tc>
          <w:tcPr>
            <w:tcW w:w="1275" w:type="dxa"/>
            <w:tcBorders>
              <w:top w:val="nil"/>
              <w:left w:val="nil"/>
              <w:bottom w:val="nil"/>
              <w:right w:val="single" w:sz="4" w:space="0" w:color="auto"/>
            </w:tcBorders>
            <w:shd w:val="clear" w:color="000000" w:fill="FFFFFF"/>
            <w:noWrap/>
            <w:vAlign w:val="bottom"/>
            <w:hideMark/>
          </w:tcPr>
          <w:p w14:paraId="32C5A6A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470.6</w:t>
            </w:r>
          </w:p>
        </w:tc>
        <w:tc>
          <w:tcPr>
            <w:tcW w:w="1134" w:type="dxa"/>
            <w:tcBorders>
              <w:top w:val="nil"/>
              <w:left w:val="nil"/>
              <w:bottom w:val="nil"/>
              <w:right w:val="single" w:sz="8" w:space="0" w:color="auto"/>
            </w:tcBorders>
            <w:shd w:val="clear" w:color="000000" w:fill="FFFFFF"/>
            <w:noWrap/>
            <w:vAlign w:val="bottom"/>
            <w:hideMark/>
          </w:tcPr>
          <w:p w14:paraId="639765A7"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18.1%</w:t>
            </w:r>
          </w:p>
        </w:tc>
      </w:tr>
      <w:tr w:rsidR="005F2EE7" w:rsidRPr="008F78C5" w14:paraId="0CC2437A"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6C4C7A78"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Intereses</w:t>
            </w:r>
          </w:p>
        </w:tc>
        <w:tc>
          <w:tcPr>
            <w:tcW w:w="1418" w:type="dxa"/>
            <w:tcBorders>
              <w:top w:val="nil"/>
              <w:left w:val="single" w:sz="4" w:space="0" w:color="auto"/>
              <w:bottom w:val="nil"/>
              <w:right w:val="single" w:sz="4" w:space="0" w:color="auto"/>
            </w:tcBorders>
            <w:shd w:val="clear" w:color="000000" w:fill="FFFFFF"/>
            <w:noWrap/>
            <w:vAlign w:val="bottom"/>
            <w:hideMark/>
          </w:tcPr>
          <w:p w14:paraId="4D034960"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5,877.9</w:t>
            </w:r>
          </w:p>
        </w:tc>
        <w:tc>
          <w:tcPr>
            <w:tcW w:w="1276" w:type="dxa"/>
            <w:tcBorders>
              <w:top w:val="nil"/>
              <w:left w:val="nil"/>
              <w:bottom w:val="nil"/>
              <w:right w:val="single" w:sz="4" w:space="0" w:color="auto"/>
            </w:tcBorders>
            <w:shd w:val="clear" w:color="000000" w:fill="FFFFFF"/>
            <w:noWrap/>
            <w:vAlign w:val="bottom"/>
            <w:hideMark/>
          </w:tcPr>
          <w:p w14:paraId="1222C46A"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6,421.7</w:t>
            </w:r>
          </w:p>
        </w:tc>
        <w:tc>
          <w:tcPr>
            <w:tcW w:w="1275" w:type="dxa"/>
            <w:tcBorders>
              <w:top w:val="nil"/>
              <w:left w:val="nil"/>
              <w:bottom w:val="nil"/>
              <w:right w:val="single" w:sz="4" w:space="0" w:color="auto"/>
            </w:tcBorders>
            <w:shd w:val="clear" w:color="000000" w:fill="FFFFFF"/>
            <w:noWrap/>
            <w:vAlign w:val="bottom"/>
            <w:hideMark/>
          </w:tcPr>
          <w:p w14:paraId="5AD5D67F"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543.7</w:t>
            </w:r>
          </w:p>
        </w:tc>
        <w:tc>
          <w:tcPr>
            <w:tcW w:w="1134" w:type="dxa"/>
            <w:tcBorders>
              <w:top w:val="nil"/>
              <w:left w:val="nil"/>
              <w:bottom w:val="nil"/>
              <w:right w:val="single" w:sz="8" w:space="0" w:color="auto"/>
            </w:tcBorders>
            <w:shd w:val="clear" w:color="000000" w:fill="FFFFFF"/>
            <w:noWrap/>
            <w:vAlign w:val="bottom"/>
            <w:hideMark/>
          </w:tcPr>
          <w:p w14:paraId="5892A49F"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9.3%</w:t>
            </w:r>
          </w:p>
        </w:tc>
      </w:tr>
      <w:tr w:rsidR="005F2EE7" w:rsidRPr="008F78C5" w14:paraId="006A9DE9"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13A35F63" w14:textId="667B8D04" w:rsidR="005F2EE7" w:rsidRPr="008F78C5" w:rsidRDefault="005F2EE7" w:rsidP="0042480D">
            <w:pPr>
              <w:ind w:firstLineChars="300" w:firstLine="600"/>
              <w:rPr>
                <w:rFonts w:ascii="CG Times" w:hAnsi="CG Times"/>
                <w:sz w:val="20"/>
                <w:szCs w:val="20"/>
                <w:lang w:val="es-GT" w:eastAsia="es-GT"/>
              </w:rPr>
            </w:pPr>
            <w:r w:rsidRPr="008F78C5">
              <w:rPr>
                <w:rFonts w:ascii="CG Times" w:hAnsi="CG Times"/>
                <w:sz w:val="20"/>
                <w:szCs w:val="20"/>
                <w:lang w:val="es-GT" w:eastAsia="es-GT"/>
              </w:rPr>
              <w:t xml:space="preserve">Deuda </w:t>
            </w:r>
            <w:r w:rsidR="008F78C5">
              <w:rPr>
                <w:rFonts w:ascii="CG Times" w:hAnsi="CG Times"/>
                <w:sz w:val="20"/>
                <w:szCs w:val="20"/>
                <w:lang w:val="es-GT" w:eastAsia="es-GT"/>
              </w:rPr>
              <w:t>I</w:t>
            </w:r>
            <w:r w:rsidRPr="008F78C5">
              <w:rPr>
                <w:rFonts w:ascii="CG Times" w:hAnsi="CG Times"/>
                <w:sz w:val="20"/>
                <w:szCs w:val="20"/>
                <w:lang w:val="es-GT" w:eastAsia="es-GT"/>
              </w:rPr>
              <w:t xml:space="preserve">nterna </w:t>
            </w:r>
          </w:p>
        </w:tc>
        <w:tc>
          <w:tcPr>
            <w:tcW w:w="1418" w:type="dxa"/>
            <w:tcBorders>
              <w:top w:val="nil"/>
              <w:left w:val="single" w:sz="4" w:space="0" w:color="auto"/>
              <w:bottom w:val="nil"/>
              <w:right w:val="single" w:sz="4" w:space="0" w:color="auto"/>
            </w:tcBorders>
            <w:shd w:val="clear" w:color="000000" w:fill="FFFFFF"/>
            <w:noWrap/>
            <w:vAlign w:val="bottom"/>
            <w:hideMark/>
          </w:tcPr>
          <w:p w14:paraId="7D8F180D"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4,010.0</w:t>
            </w:r>
          </w:p>
        </w:tc>
        <w:tc>
          <w:tcPr>
            <w:tcW w:w="1276" w:type="dxa"/>
            <w:tcBorders>
              <w:top w:val="nil"/>
              <w:left w:val="nil"/>
              <w:bottom w:val="nil"/>
              <w:right w:val="single" w:sz="4" w:space="0" w:color="auto"/>
            </w:tcBorders>
            <w:shd w:val="clear" w:color="000000" w:fill="FFFFFF"/>
            <w:noWrap/>
            <w:vAlign w:val="bottom"/>
            <w:hideMark/>
          </w:tcPr>
          <w:p w14:paraId="759AA8AD"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4,247.0</w:t>
            </w:r>
          </w:p>
        </w:tc>
        <w:tc>
          <w:tcPr>
            <w:tcW w:w="1275" w:type="dxa"/>
            <w:tcBorders>
              <w:top w:val="nil"/>
              <w:left w:val="nil"/>
              <w:bottom w:val="nil"/>
              <w:right w:val="single" w:sz="4" w:space="0" w:color="auto"/>
            </w:tcBorders>
            <w:shd w:val="clear" w:color="000000" w:fill="FFFFFF"/>
            <w:noWrap/>
            <w:vAlign w:val="bottom"/>
            <w:hideMark/>
          </w:tcPr>
          <w:p w14:paraId="4945DBB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237.0</w:t>
            </w:r>
          </w:p>
        </w:tc>
        <w:tc>
          <w:tcPr>
            <w:tcW w:w="1134" w:type="dxa"/>
            <w:tcBorders>
              <w:top w:val="nil"/>
              <w:left w:val="nil"/>
              <w:bottom w:val="nil"/>
              <w:right w:val="single" w:sz="8" w:space="0" w:color="auto"/>
            </w:tcBorders>
            <w:shd w:val="clear" w:color="000000" w:fill="FFFFFF"/>
            <w:noWrap/>
            <w:vAlign w:val="bottom"/>
            <w:hideMark/>
          </w:tcPr>
          <w:p w14:paraId="180B312F"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5.9%</w:t>
            </w:r>
          </w:p>
        </w:tc>
      </w:tr>
      <w:tr w:rsidR="005F2EE7" w:rsidRPr="008F78C5" w14:paraId="601F6AED"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1538B236" w14:textId="5493EC74" w:rsidR="005F2EE7" w:rsidRPr="008F78C5" w:rsidRDefault="005F2EE7" w:rsidP="0042480D">
            <w:pPr>
              <w:ind w:firstLineChars="300" w:firstLine="600"/>
              <w:rPr>
                <w:rFonts w:ascii="CG Times" w:hAnsi="CG Times"/>
                <w:sz w:val="20"/>
                <w:szCs w:val="20"/>
                <w:lang w:val="es-GT" w:eastAsia="es-GT"/>
              </w:rPr>
            </w:pPr>
            <w:r w:rsidRPr="008F78C5">
              <w:rPr>
                <w:rFonts w:ascii="CG Times" w:hAnsi="CG Times"/>
                <w:sz w:val="20"/>
                <w:szCs w:val="20"/>
                <w:lang w:val="es-GT" w:eastAsia="es-GT"/>
              </w:rPr>
              <w:t xml:space="preserve">Deuda </w:t>
            </w:r>
            <w:r w:rsidR="008F78C5">
              <w:rPr>
                <w:rFonts w:ascii="CG Times" w:hAnsi="CG Times"/>
                <w:sz w:val="20"/>
                <w:szCs w:val="20"/>
                <w:lang w:val="es-GT" w:eastAsia="es-GT"/>
              </w:rPr>
              <w:t>E</w:t>
            </w:r>
            <w:r w:rsidRPr="008F78C5">
              <w:rPr>
                <w:rFonts w:ascii="CG Times" w:hAnsi="CG Times"/>
                <w:sz w:val="20"/>
                <w:szCs w:val="20"/>
                <w:lang w:val="es-GT" w:eastAsia="es-GT"/>
              </w:rPr>
              <w:t>xterna</w:t>
            </w:r>
          </w:p>
        </w:tc>
        <w:tc>
          <w:tcPr>
            <w:tcW w:w="1418" w:type="dxa"/>
            <w:tcBorders>
              <w:top w:val="nil"/>
              <w:left w:val="single" w:sz="4" w:space="0" w:color="auto"/>
              <w:bottom w:val="nil"/>
              <w:right w:val="single" w:sz="4" w:space="0" w:color="auto"/>
            </w:tcBorders>
            <w:shd w:val="clear" w:color="000000" w:fill="FFFFFF"/>
            <w:noWrap/>
            <w:vAlign w:val="bottom"/>
            <w:hideMark/>
          </w:tcPr>
          <w:p w14:paraId="3B198ECC"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1,867.9</w:t>
            </w:r>
          </w:p>
        </w:tc>
        <w:tc>
          <w:tcPr>
            <w:tcW w:w="1276" w:type="dxa"/>
            <w:tcBorders>
              <w:top w:val="nil"/>
              <w:left w:val="nil"/>
              <w:bottom w:val="nil"/>
              <w:right w:val="single" w:sz="4" w:space="0" w:color="auto"/>
            </w:tcBorders>
            <w:shd w:val="clear" w:color="000000" w:fill="FFFFFF"/>
            <w:noWrap/>
            <w:vAlign w:val="bottom"/>
            <w:hideMark/>
          </w:tcPr>
          <w:p w14:paraId="5E87EA88"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2,174.6</w:t>
            </w:r>
          </w:p>
        </w:tc>
        <w:tc>
          <w:tcPr>
            <w:tcW w:w="1275" w:type="dxa"/>
            <w:tcBorders>
              <w:top w:val="nil"/>
              <w:left w:val="nil"/>
              <w:bottom w:val="nil"/>
              <w:right w:val="single" w:sz="4" w:space="0" w:color="auto"/>
            </w:tcBorders>
            <w:shd w:val="clear" w:color="000000" w:fill="FFFFFF"/>
            <w:noWrap/>
            <w:vAlign w:val="bottom"/>
            <w:hideMark/>
          </w:tcPr>
          <w:p w14:paraId="1F3D5167"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306.7</w:t>
            </w:r>
          </w:p>
        </w:tc>
        <w:tc>
          <w:tcPr>
            <w:tcW w:w="1134" w:type="dxa"/>
            <w:tcBorders>
              <w:top w:val="nil"/>
              <w:left w:val="nil"/>
              <w:bottom w:val="nil"/>
              <w:right w:val="single" w:sz="8" w:space="0" w:color="auto"/>
            </w:tcBorders>
            <w:shd w:val="clear" w:color="000000" w:fill="FFFFFF"/>
            <w:noWrap/>
            <w:vAlign w:val="bottom"/>
            <w:hideMark/>
          </w:tcPr>
          <w:p w14:paraId="0E68A8C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16.4%</w:t>
            </w:r>
          </w:p>
        </w:tc>
      </w:tr>
      <w:tr w:rsidR="005F2EE7" w:rsidRPr="008F78C5" w14:paraId="3309326C"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3055EC60" w14:textId="77777777" w:rsidR="005F2EE7" w:rsidRPr="008F78C5" w:rsidRDefault="005F2EE7" w:rsidP="0042480D">
            <w:pPr>
              <w:ind w:firstLineChars="400" w:firstLine="800"/>
              <w:rPr>
                <w:rFonts w:ascii="CG Times" w:hAnsi="CG Times"/>
                <w:sz w:val="20"/>
                <w:szCs w:val="20"/>
                <w:lang w:val="es-GT" w:eastAsia="es-GT"/>
              </w:rPr>
            </w:pPr>
            <w:r w:rsidRPr="008F78C5">
              <w:rPr>
                <w:rFonts w:ascii="CG Times" w:hAnsi="CG Times"/>
                <w:sz w:val="20"/>
                <w:szCs w:val="20"/>
                <w:lang w:val="es-GT" w:eastAsia="es-GT"/>
              </w:rPr>
              <w:t>Préstamos</w:t>
            </w:r>
          </w:p>
        </w:tc>
        <w:tc>
          <w:tcPr>
            <w:tcW w:w="1418" w:type="dxa"/>
            <w:tcBorders>
              <w:top w:val="nil"/>
              <w:left w:val="single" w:sz="4" w:space="0" w:color="auto"/>
              <w:bottom w:val="nil"/>
              <w:right w:val="single" w:sz="4" w:space="0" w:color="auto"/>
            </w:tcBorders>
            <w:shd w:val="clear" w:color="000000" w:fill="FFFFFF"/>
            <w:noWrap/>
            <w:vAlign w:val="bottom"/>
            <w:hideMark/>
          </w:tcPr>
          <w:p w14:paraId="6B59F664"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621.6</w:t>
            </w:r>
          </w:p>
        </w:tc>
        <w:tc>
          <w:tcPr>
            <w:tcW w:w="1276" w:type="dxa"/>
            <w:tcBorders>
              <w:top w:val="nil"/>
              <w:left w:val="nil"/>
              <w:bottom w:val="nil"/>
              <w:right w:val="single" w:sz="4" w:space="0" w:color="auto"/>
            </w:tcBorders>
            <w:shd w:val="clear" w:color="000000" w:fill="FFFFFF"/>
            <w:noWrap/>
            <w:vAlign w:val="bottom"/>
            <w:hideMark/>
          </w:tcPr>
          <w:p w14:paraId="754E3A2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905.0</w:t>
            </w:r>
          </w:p>
        </w:tc>
        <w:tc>
          <w:tcPr>
            <w:tcW w:w="1275" w:type="dxa"/>
            <w:tcBorders>
              <w:top w:val="nil"/>
              <w:left w:val="nil"/>
              <w:bottom w:val="nil"/>
              <w:right w:val="single" w:sz="4" w:space="0" w:color="auto"/>
            </w:tcBorders>
            <w:shd w:val="clear" w:color="000000" w:fill="FFFFFF"/>
            <w:noWrap/>
            <w:vAlign w:val="bottom"/>
            <w:hideMark/>
          </w:tcPr>
          <w:p w14:paraId="551A1D05"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283.4</w:t>
            </w:r>
          </w:p>
        </w:tc>
        <w:tc>
          <w:tcPr>
            <w:tcW w:w="1134" w:type="dxa"/>
            <w:tcBorders>
              <w:top w:val="nil"/>
              <w:left w:val="nil"/>
              <w:bottom w:val="nil"/>
              <w:right w:val="single" w:sz="8" w:space="0" w:color="auto"/>
            </w:tcBorders>
            <w:shd w:val="clear" w:color="000000" w:fill="FFFFFF"/>
            <w:noWrap/>
            <w:vAlign w:val="bottom"/>
            <w:hideMark/>
          </w:tcPr>
          <w:p w14:paraId="65D838D5"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45.6%</w:t>
            </w:r>
          </w:p>
        </w:tc>
      </w:tr>
      <w:tr w:rsidR="005F2EE7" w:rsidRPr="008F78C5" w14:paraId="2BEDCADC"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02E03A6C" w14:textId="77777777" w:rsidR="005F2EE7" w:rsidRPr="008F78C5" w:rsidRDefault="005F2EE7" w:rsidP="0042480D">
            <w:pPr>
              <w:ind w:firstLineChars="400" w:firstLine="800"/>
              <w:rPr>
                <w:rFonts w:ascii="CG Times" w:hAnsi="CG Times"/>
                <w:sz w:val="20"/>
                <w:szCs w:val="20"/>
                <w:lang w:val="es-GT" w:eastAsia="es-GT"/>
              </w:rPr>
            </w:pPr>
            <w:r w:rsidRPr="008F78C5">
              <w:rPr>
                <w:rFonts w:ascii="CG Times" w:hAnsi="CG Times"/>
                <w:sz w:val="20"/>
                <w:szCs w:val="20"/>
                <w:lang w:val="es-GT" w:eastAsia="es-GT"/>
              </w:rPr>
              <w:t>Bonos</w:t>
            </w:r>
          </w:p>
        </w:tc>
        <w:tc>
          <w:tcPr>
            <w:tcW w:w="1418" w:type="dxa"/>
            <w:tcBorders>
              <w:top w:val="nil"/>
              <w:left w:val="single" w:sz="4" w:space="0" w:color="auto"/>
              <w:bottom w:val="nil"/>
              <w:right w:val="single" w:sz="4" w:space="0" w:color="auto"/>
            </w:tcBorders>
            <w:shd w:val="clear" w:color="000000" w:fill="FFFFFF"/>
            <w:noWrap/>
            <w:vAlign w:val="bottom"/>
            <w:hideMark/>
          </w:tcPr>
          <w:p w14:paraId="6F2DE4E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1,246.3</w:t>
            </w:r>
          </w:p>
        </w:tc>
        <w:tc>
          <w:tcPr>
            <w:tcW w:w="1276" w:type="dxa"/>
            <w:tcBorders>
              <w:top w:val="nil"/>
              <w:left w:val="nil"/>
              <w:bottom w:val="nil"/>
              <w:right w:val="single" w:sz="4" w:space="0" w:color="auto"/>
            </w:tcBorders>
            <w:shd w:val="clear" w:color="000000" w:fill="FFFFFF"/>
            <w:noWrap/>
            <w:vAlign w:val="bottom"/>
            <w:hideMark/>
          </w:tcPr>
          <w:p w14:paraId="4EB33714"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1,269.6</w:t>
            </w:r>
          </w:p>
        </w:tc>
        <w:tc>
          <w:tcPr>
            <w:tcW w:w="1275" w:type="dxa"/>
            <w:tcBorders>
              <w:top w:val="nil"/>
              <w:left w:val="nil"/>
              <w:bottom w:val="nil"/>
              <w:right w:val="single" w:sz="4" w:space="0" w:color="auto"/>
            </w:tcBorders>
            <w:shd w:val="clear" w:color="000000" w:fill="FFFFFF"/>
            <w:noWrap/>
            <w:vAlign w:val="bottom"/>
            <w:hideMark/>
          </w:tcPr>
          <w:p w14:paraId="4C54DDD8"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23.3</w:t>
            </w:r>
          </w:p>
        </w:tc>
        <w:tc>
          <w:tcPr>
            <w:tcW w:w="1134" w:type="dxa"/>
            <w:tcBorders>
              <w:top w:val="nil"/>
              <w:left w:val="nil"/>
              <w:bottom w:val="nil"/>
              <w:right w:val="single" w:sz="8" w:space="0" w:color="auto"/>
            </w:tcBorders>
            <w:shd w:val="clear" w:color="000000" w:fill="FFFFFF"/>
            <w:noWrap/>
            <w:vAlign w:val="bottom"/>
            <w:hideMark/>
          </w:tcPr>
          <w:p w14:paraId="6ECF90AA"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1.9%</w:t>
            </w:r>
          </w:p>
        </w:tc>
      </w:tr>
      <w:tr w:rsidR="005F2EE7" w:rsidRPr="008F78C5" w14:paraId="2C50E608"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5C8C3290" w14:textId="49E2FBF3"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Arrendamiento de Tierra</w:t>
            </w:r>
            <w:r w:rsidR="008F78C5">
              <w:rPr>
                <w:rFonts w:ascii="CG Times" w:hAnsi="CG Times"/>
                <w:sz w:val="20"/>
                <w:szCs w:val="20"/>
                <w:lang w:val="es-GT" w:eastAsia="es-GT"/>
              </w:rPr>
              <w:t>s</w:t>
            </w:r>
            <w:r w:rsidRPr="008F78C5">
              <w:rPr>
                <w:rFonts w:ascii="CG Times" w:hAnsi="CG Times"/>
                <w:sz w:val="20"/>
                <w:szCs w:val="20"/>
                <w:lang w:val="es-GT" w:eastAsia="es-GT"/>
              </w:rPr>
              <w:t xml:space="preserve"> y Terrenos</w:t>
            </w:r>
          </w:p>
        </w:tc>
        <w:tc>
          <w:tcPr>
            <w:tcW w:w="1418" w:type="dxa"/>
            <w:tcBorders>
              <w:top w:val="nil"/>
              <w:left w:val="single" w:sz="4" w:space="0" w:color="auto"/>
              <w:bottom w:val="nil"/>
              <w:right w:val="single" w:sz="4" w:space="0" w:color="auto"/>
            </w:tcBorders>
            <w:shd w:val="clear" w:color="000000" w:fill="FFFFFF"/>
            <w:noWrap/>
            <w:vAlign w:val="bottom"/>
            <w:hideMark/>
          </w:tcPr>
          <w:p w14:paraId="097C939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0.0</w:t>
            </w:r>
          </w:p>
        </w:tc>
        <w:tc>
          <w:tcPr>
            <w:tcW w:w="1276" w:type="dxa"/>
            <w:tcBorders>
              <w:top w:val="nil"/>
              <w:left w:val="nil"/>
              <w:bottom w:val="nil"/>
              <w:right w:val="single" w:sz="4" w:space="0" w:color="auto"/>
            </w:tcBorders>
            <w:shd w:val="clear" w:color="000000" w:fill="FFFFFF"/>
            <w:noWrap/>
            <w:vAlign w:val="bottom"/>
            <w:hideMark/>
          </w:tcPr>
          <w:p w14:paraId="0B3689B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0.1</w:t>
            </w:r>
          </w:p>
        </w:tc>
        <w:tc>
          <w:tcPr>
            <w:tcW w:w="1275" w:type="dxa"/>
            <w:tcBorders>
              <w:top w:val="nil"/>
              <w:left w:val="nil"/>
              <w:bottom w:val="nil"/>
              <w:right w:val="single" w:sz="4" w:space="0" w:color="auto"/>
            </w:tcBorders>
            <w:shd w:val="clear" w:color="000000" w:fill="FFFFFF"/>
            <w:noWrap/>
            <w:vAlign w:val="bottom"/>
            <w:hideMark/>
          </w:tcPr>
          <w:p w14:paraId="464E932A"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0.0</w:t>
            </w:r>
          </w:p>
        </w:tc>
        <w:tc>
          <w:tcPr>
            <w:tcW w:w="1134" w:type="dxa"/>
            <w:tcBorders>
              <w:top w:val="nil"/>
              <w:left w:val="nil"/>
              <w:bottom w:val="nil"/>
              <w:right w:val="single" w:sz="8" w:space="0" w:color="auto"/>
            </w:tcBorders>
            <w:shd w:val="clear" w:color="000000" w:fill="FFFFFF"/>
            <w:noWrap/>
            <w:vAlign w:val="bottom"/>
            <w:hideMark/>
          </w:tcPr>
          <w:p w14:paraId="4F708FFE"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81.7%</w:t>
            </w:r>
          </w:p>
        </w:tc>
      </w:tr>
      <w:tr w:rsidR="005F2EE7" w:rsidRPr="008F78C5" w14:paraId="66168275"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369583D1"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Derechos Sobre Bienes Intangibles</w:t>
            </w:r>
          </w:p>
        </w:tc>
        <w:tc>
          <w:tcPr>
            <w:tcW w:w="1418" w:type="dxa"/>
            <w:tcBorders>
              <w:top w:val="nil"/>
              <w:left w:val="single" w:sz="4" w:space="0" w:color="auto"/>
              <w:bottom w:val="nil"/>
              <w:right w:val="single" w:sz="4" w:space="0" w:color="auto"/>
            </w:tcBorders>
            <w:shd w:val="clear" w:color="000000" w:fill="FFFFFF"/>
            <w:noWrap/>
            <w:vAlign w:val="bottom"/>
            <w:hideMark/>
          </w:tcPr>
          <w:p w14:paraId="20EECAA2"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21.9</w:t>
            </w:r>
          </w:p>
        </w:tc>
        <w:tc>
          <w:tcPr>
            <w:tcW w:w="1276" w:type="dxa"/>
            <w:tcBorders>
              <w:top w:val="nil"/>
              <w:left w:val="nil"/>
              <w:bottom w:val="nil"/>
              <w:right w:val="single" w:sz="4" w:space="0" w:color="auto"/>
            </w:tcBorders>
            <w:shd w:val="clear" w:color="000000" w:fill="FFFFFF"/>
            <w:noWrap/>
            <w:vAlign w:val="bottom"/>
            <w:hideMark/>
          </w:tcPr>
          <w:p w14:paraId="03E07D4D"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20.0</w:t>
            </w:r>
          </w:p>
        </w:tc>
        <w:tc>
          <w:tcPr>
            <w:tcW w:w="1275" w:type="dxa"/>
            <w:tcBorders>
              <w:top w:val="nil"/>
              <w:left w:val="nil"/>
              <w:bottom w:val="nil"/>
              <w:right w:val="single" w:sz="4" w:space="0" w:color="auto"/>
            </w:tcBorders>
            <w:shd w:val="clear" w:color="000000" w:fill="FFFFFF"/>
            <w:noWrap/>
            <w:vAlign w:val="bottom"/>
            <w:hideMark/>
          </w:tcPr>
          <w:p w14:paraId="56339B48"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-1.9</w:t>
            </w:r>
          </w:p>
        </w:tc>
        <w:tc>
          <w:tcPr>
            <w:tcW w:w="1134" w:type="dxa"/>
            <w:tcBorders>
              <w:top w:val="nil"/>
              <w:left w:val="nil"/>
              <w:bottom w:val="nil"/>
              <w:right w:val="single" w:sz="8" w:space="0" w:color="auto"/>
            </w:tcBorders>
            <w:shd w:val="clear" w:color="000000" w:fill="FFFFFF"/>
            <w:noWrap/>
            <w:vAlign w:val="bottom"/>
            <w:hideMark/>
          </w:tcPr>
          <w:p w14:paraId="14D90EB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-8.8%</w:t>
            </w:r>
          </w:p>
        </w:tc>
      </w:tr>
      <w:tr w:rsidR="005F2EE7" w:rsidRPr="008F78C5" w14:paraId="55E0BADF"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0897A5A3"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Transferencias</w:t>
            </w:r>
          </w:p>
        </w:tc>
        <w:tc>
          <w:tcPr>
            <w:tcW w:w="1418" w:type="dxa"/>
            <w:tcBorders>
              <w:top w:val="nil"/>
              <w:left w:val="single" w:sz="4" w:space="0" w:color="auto"/>
              <w:bottom w:val="nil"/>
              <w:right w:val="single" w:sz="4" w:space="0" w:color="auto"/>
            </w:tcBorders>
            <w:shd w:val="clear" w:color="000000" w:fill="FFFFFF"/>
            <w:noWrap/>
            <w:vAlign w:val="bottom"/>
            <w:hideMark/>
          </w:tcPr>
          <w:p w14:paraId="3CBA1D9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10,415.0</w:t>
            </w:r>
          </w:p>
        </w:tc>
        <w:tc>
          <w:tcPr>
            <w:tcW w:w="1276" w:type="dxa"/>
            <w:tcBorders>
              <w:top w:val="nil"/>
              <w:left w:val="nil"/>
              <w:bottom w:val="nil"/>
              <w:right w:val="single" w:sz="4" w:space="0" w:color="auto"/>
            </w:tcBorders>
            <w:shd w:val="clear" w:color="000000" w:fill="FFFFFF"/>
            <w:noWrap/>
            <w:vAlign w:val="bottom"/>
            <w:hideMark/>
          </w:tcPr>
          <w:p w14:paraId="4B0E906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11,026.8</w:t>
            </w:r>
          </w:p>
        </w:tc>
        <w:tc>
          <w:tcPr>
            <w:tcW w:w="1275" w:type="dxa"/>
            <w:tcBorders>
              <w:top w:val="nil"/>
              <w:left w:val="nil"/>
              <w:bottom w:val="nil"/>
              <w:right w:val="single" w:sz="4" w:space="0" w:color="auto"/>
            </w:tcBorders>
            <w:shd w:val="clear" w:color="000000" w:fill="FFFFFF"/>
            <w:noWrap/>
            <w:vAlign w:val="bottom"/>
            <w:hideMark/>
          </w:tcPr>
          <w:p w14:paraId="08C6E277"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611.8</w:t>
            </w:r>
          </w:p>
        </w:tc>
        <w:tc>
          <w:tcPr>
            <w:tcW w:w="1134" w:type="dxa"/>
            <w:tcBorders>
              <w:top w:val="nil"/>
              <w:left w:val="nil"/>
              <w:bottom w:val="nil"/>
              <w:right w:val="single" w:sz="8" w:space="0" w:color="auto"/>
            </w:tcBorders>
            <w:shd w:val="clear" w:color="000000" w:fill="FFFFFF"/>
            <w:noWrap/>
            <w:vAlign w:val="bottom"/>
            <w:hideMark/>
          </w:tcPr>
          <w:p w14:paraId="50EAAC4C"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5.9%</w:t>
            </w:r>
          </w:p>
        </w:tc>
      </w:tr>
      <w:tr w:rsidR="005F2EE7" w:rsidRPr="008F78C5" w14:paraId="3302414D"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296DDFFE" w14:textId="77777777" w:rsidR="005F2EE7" w:rsidRPr="008F78C5" w:rsidRDefault="005F2EE7" w:rsidP="0042480D">
            <w:pPr>
              <w:ind w:firstLineChars="300" w:firstLine="600"/>
              <w:rPr>
                <w:rFonts w:ascii="CG Times" w:hAnsi="CG Times"/>
                <w:sz w:val="20"/>
                <w:szCs w:val="20"/>
                <w:lang w:val="es-GT" w:eastAsia="es-GT"/>
              </w:rPr>
            </w:pPr>
            <w:r w:rsidRPr="008F78C5">
              <w:rPr>
                <w:rFonts w:ascii="CG Times" w:hAnsi="CG Times"/>
                <w:sz w:val="20"/>
                <w:szCs w:val="20"/>
                <w:lang w:val="es-GT" w:eastAsia="es-GT"/>
              </w:rPr>
              <w:t>Resto del Sector Público</w:t>
            </w:r>
          </w:p>
        </w:tc>
        <w:tc>
          <w:tcPr>
            <w:tcW w:w="1418" w:type="dxa"/>
            <w:tcBorders>
              <w:top w:val="nil"/>
              <w:left w:val="single" w:sz="4" w:space="0" w:color="auto"/>
              <w:bottom w:val="nil"/>
              <w:right w:val="single" w:sz="4" w:space="0" w:color="auto"/>
            </w:tcBorders>
            <w:shd w:val="clear" w:color="000000" w:fill="FFFFFF"/>
            <w:noWrap/>
            <w:vAlign w:val="bottom"/>
            <w:hideMark/>
          </w:tcPr>
          <w:p w14:paraId="7736EB1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6,028.5</w:t>
            </w:r>
          </w:p>
        </w:tc>
        <w:tc>
          <w:tcPr>
            <w:tcW w:w="1276" w:type="dxa"/>
            <w:tcBorders>
              <w:top w:val="nil"/>
              <w:left w:val="nil"/>
              <w:bottom w:val="nil"/>
              <w:right w:val="single" w:sz="4" w:space="0" w:color="auto"/>
            </w:tcBorders>
            <w:shd w:val="clear" w:color="000000" w:fill="FFFFFF"/>
            <w:noWrap/>
            <w:vAlign w:val="bottom"/>
            <w:hideMark/>
          </w:tcPr>
          <w:p w14:paraId="10E5A6B4"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7,073.6</w:t>
            </w:r>
          </w:p>
        </w:tc>
        <w:tc>
          <w:tcPr>
            <w:tcW w:w="1275" w:type="dxa"/>
            <w:tcBorders>
              <w:top w:val="nil"/>
              <w:left w:val="nil"/>
              <w:bottom w:val="nil"/>
              <w:right w:val="single" w:sz="4" w:space="0" w:color="auto"/>
            </w:tcBorders>
            <w:shd w:val="clear" w:color="000000" w:fill="FFFFFF"/>
            <w:noWrap/>
            <w:vAlign w:val="bottom"/>
            <w:hideMark/>
          </w:tcPr>
          <w:p w14:paraId="5538F6A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1,045.1</w:t>
            </w:r>
          </w:p>
        </w:tc>
        <w:tc>
          <w:tcPr>
            <w:tcW w:w="1134" w:type="dxa"/>
            <w:tcBorders>
              <w:top w:val="nil"/>
              <w:left w:val="nil"/>
              <w:bottom w:val="nil"/>
              <w:right w:val="single" w:sz="8" w:space="0" w:color="auto"/>
            </w:tcBorders>
            <w:shd w:val="clear" w:color="000000" w:fill="FFFFFF"/>
            <w:noWrap/>
            <w:vAlign w:val="bottom"/>
            <w:hideMark/>
          </w:tcPr>
          <w:p w14:paraId="055BEF91"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17.3%</w:t>
            </w:r>
          </w:p>
        </w:tc>
      </w:tr>
      <w:tr w:rsidR="005F2EE7" w:rsidRPr="008F78C5" w14:paraId="62B3E590"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78900694" w14:textId="29F67C28" w:rsidR="005F2EE7" w:rsidRPr="008F78C5" w:rsidRDefault="005F2EE7" w:rsidP="0042480D">
            <w:pPr>
              <w:ind w:firstLineChars="300" w:firstLine="600"/>
              <w:rPr>
                <w:rFonts w:ascii="CG Times" w:hAnsi="CG Times"/>
                <w:sz w:val="20"/>
                <w:szCs w:val="20"/>
                <w:lang w:val="es-GT" w:eastAsia="es-GT"/>
              </w:rPr>
            </w:pPr>
            <w:r w:rsidRPr="008F78C5">
              <w:rPr>
                <w:rFonts w:ascii="CG Times" w:hAnsi="CG Times"/>
                <w:sz w:val="20"/>
                <w:szCs w:val="20"/>
                <w:lang w:val="es-GT" w:eastAsia="es-GT"/>
              </w:rPr>
              <w:t xml:space="preserve">Sector </w:t>
            </w:r>
            <w:r w:rsidR="008F78C5">
              <w:rPr>
                <w:rFonts w:ascii="CG Times" w:hAnsi="CG Times"/>
                <w:sz w:val="20"/>
                <w:szCs w:val="20"/>
                <w:lang w:val="es-GT" w:eastAsia="es-GT"/>
              </w:rPr>
              <w:t>P</w:t>
            </w:r>
            <w:r w:rsidRPr="008F78C5">
              <w:rPr>
                <w:rFonts w:ascii="CG Times" w:hAnsi="CG Times"/>
                <w:sz w:val="20"/>
                <w:szCs w:val="20"/>
                <w:lang w:val="es-GT" w:eastAsia="es-GT"/>
              </w:rPr>
              <w:t>rivado</w:t>
            </w:r>
          </w:p>
        </w:tc>
        <w:tc>
          <w:tcPr>
            <w:tcW w:w="1418" w:type="dxa"/>
            <w:tcBorders>
              <w:top w:val="nil"/>
              <w:left w:val="single" w:sz="4" w:space="0" w:color="auto"/>
              <w:bottom w:val="nil"/>
              <w:right w:val="single" w:sz="4" w:space="0" w:color="auto"/>
            </w:tcBorders>
            <w:shd w:val="clear" w:color="000000" w:fill="FFFFFF"/>
            <w:noWrap/>
            <w:vAlign w:val="bottom"/>
            <w:hideMark/>
          </w:tcPr>
          <w:p w14:paraId="48595347"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4,346.4</w:t>
            </w:r>
          </w:p>
        </w:tc>
        <w:tc>
          <w:tcPr>
            <w:tcW w:w="1276" w:type="dxa"/>
            <w:tcBorders>
              <w:top w:val="nil"/>
              <w:left w:val="nil"/>
              <w:bottom w:val="nil"/>
              <w:right w:val="single" w:sz="4" w:space="0" w:color="auto"/>
            </w:tcBorders>
            <w:shd w:val="clear" w:color="000000" w:fill="FFFFFF"/>
            <w:noWrap/>
            <w:vAlign w:val="bottom"/>
            <w:hideMark/>
          </w:tcPr>
          <w:p w14:paraId="25DC99D8"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3,887.3</w:t>
            </w:r>
          </w:p>
        </w:tc>
        <w:tc>
          <w:tcPr>
            <w:tcW w:w="1275" w:type="dxa"/>
            <w:tcBorders>
              <w:top w:val="nil"/>
              <w:left w:val="nil"/>
              <w:bottom w:val="nil"/>
              <w:right w:val="single" w:sz="4" w:space="0" w:color="auto"/>
            </w:tcBorders>
            <w:shd w:val="clear" w:color="000000" w:fill="FFFFFF"/>
            <w:noWrap/>
            <w:vAlign w:val="bottom"/>
            <w:hideMark/>
          </w:tcPr>
          <w:p w14:paraId="1B06BF2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-459.1</w:t>
            </w:r>
          </w:p>
        </w:tc>
        <w:tc>
          <w:tcPr>
            <w:tcW w:w="1134" w:type="dxa"/>
            <w:tcBorders>
              <w:top w:val="nil"/>
              <w:left w:val="nil"/>
              <w:bottom w:val="nil"/>
              <w:right w:val="single" w:sz="8" w:space="0" w:color="auto"/>
            </w:tcBorders>
            <w:shd w:val="clear" w:color="000000" w:fill="FFFFFF"/>
            <w:noWrap/>
            <w:vAlign w:val="bottom"/>
            <w:hideMark/>
          </w:tcPr>
          <w:p w14:paraId="6CDFD9D0"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-10.6%</w:t>
            </w:r>
          </w:p>
        </w:tc>
      </w:tr>
      <w:tr w:rsidR="005F2EE7" w:rsidRPr="008F78C5" w14:paraId="1F6DE352" w14:textId="77777777" w:rsidTr="00412803">
        <w:trPr>
          <w:trHeight w:val="270"/>
          <w:jc w:val="center"/>
        </w:trPr>
        <w:tc>
          <w:tcPr>
            <w:tcW w:w="3959" w:type="dxa"/>
            <w:tcBorders>
              <w:top w:val="nil"/>
              <w:left w:val="single" w:sz="8" w:space="0" w:color="auto"/>
              <w:bottom w:val="nil"/>
              <w:right w:val="nil"/>
            </w:tcBorders>
            <w:shd w:val="clear" w:color="000000" w:fill="FFFFFF"/>
            <w:noWrap/>
            <w:vAlign w:val="bottom"/>
            <w:hideMark/>
          </w:tcPr>
          <w:p w14:paraId="2A7ABFD2" w14:textId="2893562D" w:rsidR="005F2EE7" w:rsidRPr="008F78C5" w:rsidRDefault="005F2EE7" w:rsidP="0042480D">
            <w:pPr>
              <w:ind w:firstLineChars="300" w:firstLine="600"/>
              <w:rPr>
                <w:rFonts w:ascii="CG Times" w:hAnsi="CG Times"/>
                <w:sz w:val="20"/>
                <w:szCs w:val="20"/>
                <w:lang w:val="es-GT" w:eastAsia="es-GT"/>
              </w:rPr>
            </w:pPr>
            <w:r w:rsidRPr="008F78C5">
              <w:rPr>
                <w:rFonts w:ascii="CG Times" w:hAnsi="CG Times"/>
                <w:sz w:val="20"/>
                <w:szCs w:val="20"/>
                <w:lang w:val="es-GT" w:eastAsia="es-GT"/>
              </w:rPr>
              <w:t xml:space="preserve">Sector </w:t>
            </w:r>
            <w:r w:rsidR="008F78C5">
              <w:rPr>
                <w:rFonts w:ascii="CG Times" w:hAnsi="CG Times"/>
                <w:sz w:val="20"/>
                <w:szCs w:val="20"/>
                <w:lang w:val="es-GT" w:eastAsia="es-GT"/>
              </w:rPr>
              <w:t>E</w:t>
            </w:r>
            <w:r w:rsidRPr="008F78C5">
              <w:rPr>
                <w:rFonts w:ascii="CG Times" w:hAnsi="CG Times"/>
                <w:sz w:val="20"/>
                <w:szCs w:val="20"/>
                <w:lang w:val="es-GT" w:eastAsia="es-GT"/>
              </w:rPr>
              <w:t>xterno</w:t>
            </w:r>
          </w:p>
        </w:tc>
        <w:tc>
          <w:tcPr>
            <w:tcW w:w="1418" w:type="dxa"/>
            <w:tcBorders>
              <w:top w:val="nil"/>
              <w:left w:val="single" w:sz="4" w:space="0" w:color="auto"/>
              <w:bottom w:val="nil"/>
              <w:right w:val="single" w:sz="4" w:space="0" w:color="auto"/>
            </w:tcBorders>
            <w:shd w:val="clear" w:color="000000" w:fill="FFFFFF"/>
            <w:noWrap/>
            <w:vAlign w:val="bottom"/>
            <w:hideMark/>
          </w:tcPr>
          <w:p w14:paraId="421DB474"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40.0</w:t>
            </w:r>
          </w:p>
        </w:tc>
        <w:tc>
          <w:tcPr>
            <w:tcW w:w="1276" w:type="dxa"/>
            <w:tcBorders>
              <w:top w:val="nil"/>
              <w:left w:val="nil"/>
              <w:bottom w:val="nil"/>
              <w:right w:val="single" w:sz="4" w:space="0" w:color="auto"/>
            </w:tcBorders>
            <w:shd w:val="clear" w:color="000000" w:fill="FFFFFF"/>
            <w:noWrap/>
            <w:vAlign w:val="bottom"/>
            <w:hideMark/>
          </w:tcPr>
          <w:p w14:paraId="08A0A5D4"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65.9</w:t>
            </w:r>
          </w:p>
        </w:tc>
        <w:tc>
          <w:tcPr>
            <w:tcW w:w="1275" w:type="dxa"/>
            <w:tcBorders>
              <w:top w:val="nil"/>
              <w:left w:val="nil"/>
              <w:bottom w:val="nil"/>
              <w:right w:val="single" w:sz="4" w:space="0" w:color="auto"/>
            </w:tcBorders>
            <w:shd w:val="clear" w:color="000000" w:fill="FFFFFF"/>
            <w:noWrap/>
            <w:vAlign w:val="bottom"/>
            <w:hideMark/>
          </w:tcPr>
          <w:p w14:paraId="160667C5"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25.9</w:t>
            </w:r>
          </w:p>
        </w:tc>
        <w:tc>
          <w:tcPr>
            <w:tcW w:w="1134" w:type="dxa"/>
            <w:tcBorders>
              <w:top w:val="nil"/>
              <w:left w:val="nil"/>
              <w:bottom w:val="nil"/>
              <w:right w:val="single" w:sz="8" w:space="0" w:color="auto"/>
            </w:tcBorders>
            <w:shd w:val="clear" w:color="000000" w:fill="FFFFFF"/>
            <w:noWrap/>
            <w:vAlign w:val="bottom"/>
            <w:hideMark/>
          </w:tcPr>
          <w:p w14:paraId="0EC7BB6C"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64.7%</w:t>
            </w:r>
          </w:p>
        </w:tc>
      </w:tr>
      <w:tr w:rsidR="005F2EE7" w:rsidRPr="008F78C5" w14:paraId="6F8AC750"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55B68665" w14:textId="77777777" w:rsidR="005F2EE7" w:rsidRPr="008F78C5" w:rsidRDefault="005F2EE7" w:rsidP="0042480D">
            <w:pPr>
              <w:ind w:firstLineChars="100" w:firstLine="201"/>
              <w:rPr>
                <w:rFonts w:ascii="CG Times" w:hAnsi="CG Times"/>
                <w:b/>
                <w:bCs/>
                <w:sz w:val="20"/>
                <w:szCs w:val="20"/>
                <w:lang w:val="es-GT" w:eastAsia="es-GT"/>
              </w:rPr>
            </w:pPr>
            <w:r w:rsidRPr="008F78C5">
              <w:rPr>
                <w:rFonts w:ascii="CG Times" w:hAnsi="CG Times"/>
                <w:b/>
                <w:bCs/>
                <w:sz w:val="20"/>
                <w:szCs w:val="20"/>
                <w:lang w:val="es-GT" w:eastAsia="es-GT"/>
              </w:rPr>
              <w:t>Gastos de Capital</w:t>
            </w:r>
          </w:p>
        </w:tc>
        <w:tc>
          <w:tcPr>
            <w:tcW w:w="1418" w:type="dxa"/>
            <w:tcBorders>
              <w:top w:val="nil"/>
              <w:left w:val="single" w:sz="4" w:space="0" w:color="auto"/>
              <w:bottom w:val="nil"/>
              <w:right w:val="single" w:sz="4" w:space="0" w:color="auto"/>
            </w:tcBorders>
            <w:shd w:val="clear" w:color="000000" w:fill="FFFFFF"/>
            <w:noWrap/>
            <w:vAlign w:val="bottom"/>
            <w:hideMark/>
          </w:tcPr>
          <w:p w14:paraId="564EC714"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7,795.2</w:t>
            </w:r>
          </w:p>
        </w:tc>
        <w:tc>
          <w:tcPr>
            <w:tcW w:w="1276" w:type="dxa"/>
            <w:tcBorders>
              <w:top w:val="nil"/>
              <w:left w:val="nil"/>
              <w:bottom w:val="nil"/>
              <w:right w:val="single" w:sz="4" w:space="0" w:color="auto"/>
            </w:tcBorders>
            <w:shd w:val="clear" w:color="000000" w:fill="FFFFFF"/>
            <w:noWrap/>
            <w:vAlign w:val="bottom"/>
            <w:hideMark/>
          </w:tcPr>
          <w:p w14:paraId="273823CF"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9,346.0</w:t>
            </w:r>
          </w:p>
        </w:tc>
        <w:tc>
          <w:tcPr>
            <w:tcW w:w="1275" w:type="dxa"/>
            <w:tcBorders>
              <w:top w:val="nil"/>
              <w:left w:val="nil"/>
              <w:bottom w:val="nil"/>
              <w:right w:val="single" w:sz="4" w:space="0" w:color="auto"/>
            </w:tcBorders>
            <w:shd w:val="clear" w:color="000000" w:fill="FFFFFF"/>
            <w:noWrap/>
            <w:vAlign w:val="bottom"/>
            <w:hideMark/>
          </w:tcPr>
          <w:p w14:paraId="2FC27200"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1,550.8</w:t>
            </w:r>
          </w:p>
        </w:tc>
        <w:tc>
          <w:tcPr>
            <w:tcW w:w="1134" w:type="dxa"/>
            <w:tcBorders>
              <w:top w:val="nil"/>
              <w:left w:val="nil"/>
              <w:bottom w:val="nil"/>
              <w:right w:val="single" w:sz="8" w:space="0" w:color="auto"/>
            </w:tcBorders>
            <w:shd w:val="clear" w:color="000000" w:fill="FFFFFF"/>
            <w:noWrap/>
            <w:vAlign w:val="bottom"/>
            <w:hideMark/>
          </w:tcPr>
          <w:p w14:paraId="519C2D82" w14:textId="77777777" w:rsidR="005F2EE7" w:rsidRPr="008F78C5" w:rsidRDefault="005F2EE7" w:rsidP="0042480D">
            <w:pPr>
              <w:jc w:val="right"/>
              <w:rPr>
                <w:rFonts w:ascii="CG Times" w:hAnsi="CG Times"/>
                <w:b/>
                <w:bCs/>
                <w:sz w:val="20"/>
                <w:szCs w:val="20"/>
                <w:lang w:val="es-GT" w:eastAsia="es-GT"/>
              </w:rPr>
            </w:pPr>
            <w:r w:rsidRPr="008F78C5">
              <w:rPr>
                <w:rFonts w:ascii="CG Times" w:hAnsi="CG Times"/>
                <w:b/>
                <w:bCs/>
                <w:sz w:val="20"/>
                <w:szCs w:val="20"/>
                <w:lang w:val="es-GT" w:eastAsia="es-GT"/>
              </w:rPr>
              <w:t>19.9%</w:t>
            </w:r>
          </w:p>
        </w:tc>
      </w:tr>
      <w:tr w:rsidR="005F2EE7" w:rsidRPr="008F78C5" w14:paraId="45958333"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3A0D4844"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Inversión Real Directa</w:t>
            </w:r>
          </w:p>
        </w:tc>
        <w:tc>
          <w:tcPr>
            <w:tcW w:w="1418" w:type="dxa"/>
            <w:tcBorders>
              <w:top w:val="nil"/>
              <w:left w:val="single" w:sz="4" w:space="0" w:color="auto"/>
              <w:bottom w:val="nil"/>
              <w:right w:val="single" w:sz="4" w:space="0" w:color="auto"/>
            </w:tcBorders>
            <w:shd w:val="clear" w:color="000000" w:fill="FFFFFF"/>
            <w:noWrap/>
            <w:vAlign w:val="bottom"/>
            <w:hideMark/>
          </w:tcPr>
          <w:p w14:paraId="2A9A2A74"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1,749.2</w:t>
            </w:r>
          </w:p>
        </w:tc>
        <w:tc>
          <w:tcPr>
            <w:tcW w:w="1276" w:type="dxa"/>
            <w:tcBorders>
              <w:top w:val="nil"/>
              <w:left w:val="nil"/>
              <w:bottom w:val="nil"/>
              <w:right w:val="single" w:sz="4" w:space="0" w:color="auto"/>
            </w:tcBorders>
            <w:shd w:val="clear" w:color="000000" w:fill="FFFFFF"/>
            <w:noWrap/>
            <w:vAlign w:val="bottom"/>
            <w:hideMark/>
          </w:tcPr>
          <w:p w14:paraId="775B5E22"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2,421.6</w:t>
            </w:r>
          </w:p>
        </w:tc>
        <w:tc>
          <w:tcPr>
            <w:tcW w:w="1275" w:type="dxa"/>
            <w:tcBorders>
              <w:top w:val="nil"/>
              <w:left w:val="nil"/>
              <w:bottom w:val="nil"/>
              <w:right w:val="single" w:sz="4" w:space="0" w:color="auto"/>
            </w:tcBorders>
            <w:shd w:val="clear" w:color="000000" w:fill="FFFFFF"/>
            <w:noWrap/>
            <w:vAlign w:val="bottom"/>
            <w:hideMark/>
          </w:tcPr>
          <w:p w14:paraId="07372ED3"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672.4</w:t>
            </w:r>
          </w:p>
        </w:tc>
        <w:tc>
          <w:tcPr>
            <w:tcW w:w="1134" w:type="dxa"/>
            <w:tcBorders>
              <w:top w:val="nil"/>
              <w:left w:val="nil"/>
              <w:bottom w:val="nil"/>
              <w:right w:val="single" w:sz="8" w:space="0" w:color="auto"/>
            </w:tcBorders>
            <w:shd w:val="clear" w:color="000000" w:fill="FFFFFF"/>
            <w:noWrap/>
            <w:vAlign w:val="bottom"/>
            <w:hideMark/>
          </w:tcPr>
          <w:p w14:paraId="6B0BFA7D"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38.4%</w:t>
            </w:r>
          </w:p>
        </w:tc>
      </w:tr>
      <w:tr w:rsidR="005F2EE7" w:rsidRPr="008F78C5" w14:paraId="54CA171B"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13D703B0"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Inversión Financiera</w:t>
            </w:r>
          </w:p>
        </w:tc>
        <w:tc>
          <w:tcPr>
            <w:tcW w:w="1418" w:type="dxa"/>
            <w:tcBorders>
              <w:top w:val="nil"/>
              <w:left w:val="single" w:sz="4" w:space="0" w:color="auto"/>
              <w:bottom w:val="nil"/>
              <w:right w:val="single" w:sz="4" w:space="0" w:color="auto"/>
            </w:tcBorders>
            <w:shd w:val="clear" w:color="000000" w:fill="FFFFFF"/>
            <w:noWrap/>
            <w:vAlign w:val="bottom"/>
            <w:hideMark/>
          </w:tcPr>
          <w:p w14:paraId="3AB52758"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10.0</w:t>
            </w:r>
          </w:p>
        </w:tc>
        <w:tc>
          <w:tcPr>
            <w:tcW w:w="1276" w:type="dxa"/>
            <w:tcBorders>
              <w:top w:val="nil"/>
              <w:left w:val="nil"/>
              <w:bottom w:val="nil"/>
              <w:right w:val="single" w:sz="4" w:space="0" w:color="auto"/>
            </w:tcBorders>
            <w:shd w:val="clear" w:color="000000" w:fill="FFFFFF"/>
            <w:noWrap/>
            <w:vAlign w:val="bottom"/>
            <w:hideMark/>
          </w:tcPr>
          <w:p w14:paraId="52B31B7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2.3</w:t>
            </w:r>
          </w:p>
        </w:tc>
        <w:tc>
          <w:tcPr>
            <w:tcW w:w="1275" w:type="dxa"/>
            <w:tcBorders>
              <w:top w:val="nil"/>
              <w:left w:val="nil"/>
              <w:bottom w:val="nil"/>
              <w:right w:val="single" w:sz="4" w:space="0" w:color="auto"/>
            </w:tcBorders>
            <w:shd w:val="clear" w:color="000000" w:fill="FFFFFF"/>
            <w:noWrap/>
            <w:vAlign w:val="bottom"/>
            <w:hideMark/>
          </w:tcPr>
          <w:p w14:paraId="3C322695"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-7.7</w:t>
            </w:r>
          </w:p>
        </w:tc>
        <w:tc>
          <w:tcPr>
            <w:tcW w:w="1134" w:type="dxa"/>
            <w:tcBorders>
              <w:top w:val="nil"/>
              <w:left w:val="nil"/>
              <w:bottom w:val="nil"/>
              <w:right w:val="single" w:sz="8" w:space="0" w:color="auto"/>
            </w:tcBorders>
            <w:shd w:val="clear" w:color="000000" w:fill="FFFFFF"/>
            <w:noWrap/>
            <w:vAlign w:val="bottom"/>
            <w:hideMark/>
          </w:tcPr>
          <w:p w14:paraId="6AFF075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-77.0%</w:t>
            </w:r>
          </w:p>
        </w:tc>
      </w:tr>
      <w:tr w:rsidR="005F2EE7" w:rsidRPr="008F78C5" w14:paraId="26B792E0"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67E55A1F"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Transferencias</w:t>
            </w:r>
          </w:p>
        </w:tc>
        <w:tc>
          <w:tcPr>
            <w:tcW w:w="1418" w:type="dxa"/>
            <w:tcBorders>
              <w:top w:val="nil"/>
              <w:left w:val="single" w:sz="4" w:space="0" w:color="auto"/>
              <w:bottom w:val="nil"/>
              <w:right w:val="single" w:sz="4" w:space="0" w:color="auto"/>
            </w:tcBorders>
            <w:shd w:val="clear" w:color="000000" w:fill="FFFFFF"/>
            <w:noWrap/>
            <w:vAlign w:val="bottom"/>
            <w:hideMark/>
          </w:tcPr>
          <w:p w14:paraId="64BF4601"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6,036.0</w:t>
            </w:r>
          </w:p>
        </w:tc>
        <w:tc>
          <w:tcPr>
            <w:tcW w:w="1276" w:type="dxa"/>
            <w:tcBorders>
              <w:top w:val="nil"/>
              <w:left w:val="nil"/>
              <w:bottom w:val="nil"/>
              <w:right w:val="single" w:sz="4" w:space="0" w:color="auto"/>
            </w:tcBorders>
            <w:shd w:val="clear" w:color="000000" w:fill="FFFFFF"/>
            <w:noWrap/>
            <w:vAlign w:val="bottom"/>
            <w:hideMark/>
          </w:tcPr>
          <w:p w14:paraId="18ED800A"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6,922.1</w:t>
            </w:r>
          </w:p>
        </w:tc>
        <w:tc>
          <w:tcPr>
            <w:tcW w:w="1275" w:type="dxa"/>
            <w:tcBorders>
              <w:top w:val="nil"/>
              <w:left w:val="nil"/>
              <w:bottom w:val="nil"/>
              <w:right w:val="single" w:sz="4" w:space="0" w:color="auto"/>
            </w:tcBorders>
            <w:shd w:val="clear" w:color="000000" w:fill="FFFFFF"/>
            <w:noWrap/>
            <w:vAlign w:val="bottom"/>
            <w:hideMark/>
          </w:tcPr>
          <w:p w14:paraId="6A55B3C8"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886.1</w:t>
            </w:r>
          </w:p>
        </w:tc>
        <w:tc>
          <w:tcPr>
            <w:tcW w:w="1134" w:type="dxa"/>
            <w:tcBorders>
              <w:top w:val="nil"/>
              <w:left w:val="nil"/>
              <w:bottom w:val="nil"/>
              <w:right w:val="single" w:sz="8" w:space="0" w:color="auto"/>
            </w:tcBorders>
            <w:shd w:val="clear" w:color="000000" w:fill="FFFFFF"/>
            <w:noWrap/>
            <w:vAlign w:val="bottom"/>
            <w:hideMark/>
          </w:tcPr>
          <w:p w14:paraId="74DEE9AD"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14.7%</w:t>
            </w:r>
          </w:p>
        </w:tc>
      </w:tr>
      <w:tr w:rsidR="005F2EE7" w:rsidRPr="008F78C5" w14:paraId="387B032D"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6B8A6D1F" w14:textId="77777777" w:rsidR="005F2EE7" w:rsidRPr="008F78C5" w:rsidRDefault="005F2EE7" w:rsidP="0042480D">
            <w:pPr>
              <w:ind w:firstLineChars="300" w:firstLine="600"/>
              <w:rPr>
                <w:rFonts w:ascii="CG Times" w:hAnsi="CG Times"/>
                <w:sz w:val="20"/>
                <w:szCs w:val="20"/>
                <w:lang w:val="es-GT" w:eastAsia="es-GT"/>
              </w:rPr>
            </w:pPr>
            <w:r w:rsidRPr="008F78C5">
              <w:rPr>
                <w:rFonts w:ascii="CG Times" w:hAnsi="CG Times"/>
                <w:sz w:val="20"/>
                <w:szCs w:val="20"/>
                <w:lang w:val="es-GT" w:eastAsia="es-GT"/>
              </w:rPr>
              <w:t xml:space="preserve">Resto del Sector Público </w:t>
            </w:r>
          </w:p>
        </w:tc>
        <w:tc>
          <w:tcPr>
            <w:tcW w:w="1418" w:type="dxa"/>
            <w:tcBorders>
              <w:top w:val="nil"/>
              <w:left w:val="single" w:sz="4" w:space="0" w:color="auto"/>
              <w:bottom w:val="nil"/>
              <w:right w:val="single" w:sz="4" w:space="0" w:color="auto"/>
            </w:tcBorders>
            <w:shd w:val="clear" w:color="000000" w:fill="FFFFFF"/>
            <w:noWrap/>
            <w:vAlign w:val="bottom"/>
            <w:hideMark/>
          </w:tcPr>
          <w:p w14:paraId="38891E9F"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5,488.6</w:t>
            </w:r>
          </w:p>
        </w:tc>
        <w:tc>
          <w:tcPr>
            <w:tcW w:w="1276" w:type="dxa"/>
            <w:tcBorders>
              <w:top w:val="nil"/>
              <w:left w:val="nil"/>
              <w:bottom w:val="nil"/>
              <w:right w:val="single" w:sz="4" w:space="0" w:color="auto"/>
            </w:tcBorders>
            <w:shd w:val="clear" w:color="000000" w:fill="FFFFFF"/>
            <w:noWrap/>
            <w:vAlign w:val="bottom"/>
            <w:hideMark/>
          </w:tcPr>
          <w:p w14:paraId="7F688403"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6,467.1</w:t>
            </w:r>
          </w:p>
        </w:tc>
        <w:tc>
          <w:tcPr>
            <w:tcW w:w="1275" w:type="dxa"/>
            <w:tcBorders>
              <w:top w:val="nil"/>
              <w:left w:val="nil"/>
              <w:bottom w:val="nil"/>
              <w:right w:val="single" w:sz="4" w:space="0" w:color="auto"/>
            </w:tcBorders>
            <w:shd w:val="clear" w:color="000000" w:fill="FFFFFF"/>
            <w:noWrap/>
            <w:vAlign w:val="bottom"/>
            <w:hideMark/>
          </w:tcPr>
          <w:p w14:paraId="679D6784"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978.5</w:t>
            </w:r>
          </w:p>
        </w:tc>
        <w:tc>
          <w:tcPr>
            <w:tcW w:w="1134" w:type="dxa"/>
            <w:tcBorders>
              <w:top w:val="nil"/>
              <w:left w:val="nil"/>
              <w:bottom w:val="nil"/>
              <w:right w:val="single" w:sz="8" w:space="0" w:color="auto"/>
            </w:tcBorders>
            <w:shd w:val="clear" w:color="000000" w:fill="FFFFFF"/>
            <w:noWrap/>
            <w:vAlign w:val="bottom"/>
            <w:hideMark/>
          </w:tcPr>
          <w:p w14:paraId="1C9919AF"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17.8%</w:t>
            </w:r>
          </w:p>
        </w:tc>
      </w:tr>
      <w:tr w:rsidR="005F2EE7" w:rsidRPr="008F78C5" w14:paraId="44790DD5"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62359C74" w14:textId="0D831491" w:rsidR="005F2EE7" w:rsidRPr="008F78C5" w:rsidRDefault="005F2EE7" w:rsidP="0042480D">
            <w:pPr>
              <w:ind w:firstLineChars="300" w:firstLine="600"/>
              <w:rPr>
                <w:rFonts w:ascii="CG Times" w:hAnsi="CG Times"/>
                <w:sz w:val="20"/>
                <w:szCs w:val="20"/>
                <w:lang w:val="es-GT" w:eastAsia="es-GT"/>
              </w:rPr>
            </w:pPr>
            <w:r w:rsidRPr="008F78C5">
              <w:rPr>
                <w:rFonts w:ascii="CG Times" w:hAnsi="CG Times"/>
                <w:sz w:val="20"/>
                <w:szCs w:val="20"/>
                <w:lang w:val="es-GT" w:eastAsia="es-GT"/>
              </w:rPr>
              <w:t xml:space="preserve">Sector </w:t>
            </w:r>
            <w:r w:rsidR="008F78C5">
              <w:rPr>
                <w:rFonts w:ascii="CG Times" w:hAnsi="CG Times"/>
                <w:sz w:val="20"/>
                <w:szCs w:val="20"/>
                <w:lang w:val="es-GT" w:eastAsia="es-GT"/>
              </w:rPr>
              <w:t>P</w:t>
            </w:r>
            <w:r w:rsidRPr="008F78C5">
              <w:rPr>
                <w:rFonts w:ascii="CG Times" w:hAnsi="CG Times"/>
                <w:sz w:val="20"/>
                <w:szCs w:val="20"/>
                <w:lang w:val="es-GT" w:eastAsia="es-GT"/>
              </w:rPr>
              <w:t xml:space="preserve">rivado y </w:t>
            </w:r>
            <w:r w:rsidR="008F78C5">
              <w:rPr>
                <w:rFonts w:ascii="CG Times" w:hAnsi="CG Times"/>
                <w:sz w:val="20"/>
                <w:szCs w:val="20"/>
                <w:lang w:val="es-GT" w:eastAsia="es-GT"/>
              </w:rPr>
              <w:t>E</w:t>
            </w:r>
            <w:r w:rsidRPr="008F78C5">
              <w:rPr>
                <w:rFonts w:ascii="CG Times" w:hAnsi="CG Times"/>
                <w:sz w:val="20"/>
                <w:szCs w:val="20"/>
                <w:lang w:val="es-GT" w:eastAsia="es-GT"/>
              </w:rPr>
              <w:t xml:space="preserve">xterno </w:t>
            </w:r>
          </w:p>
        </w:tc>
        <w:tc>
          <w:tcPr>
            <w:tcW w:w="1418" w:type="dxa"/>
            <w:tcBorders>
              <w:top w:val="nil"/>
              <w:left w:val="single" w:sz="4" w:space="0" w:color="auto"/>
              <w:bottom w:val="nil"/>
              <w:right w:val="single" w:sz="4" w:space="0" w:color="auto"/>
            </w:tcBorders>
            <w:shd w:val="clear" w:color="000000" w:fill="FFFFFF"/>
            <w:noWrap/>
            <w:vAlign w:val="bottom"/>
            <w:hideMark/>
          </w:tcPr>
          <w:p w14:paraId="3DBFF671"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547.4</w:t>
            </w:r>
          </w:p>
        </w:tc>
        <w:tc>
          <w:tcPr>
            <w:tcW w:w="1276" w:type="dxa"/>
            <w:tcBorders>
              <w:top w:val="nil"/>
              <w:left w:val="nil"/>
              <w:bottom w:val="nil"/>
              <w:right w:val="single" w:sz="4" w:space="0" w:color="auto"/>
            </w:tcBorders>
            <w:shd w:val="clear" w:color="000000" w:fill="FFFFFF"/>
            <w:noWrap/>
            <w:vAlign w:val="bottom"/>
            <w:hideMark/>
          </w:tcPr>
          <w:p w14:paraId="085E20E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455.0</w:t>
            </w:r>
          </w:p>
        </w:tc>
        <w:tc>
          <w:tcPr>
            <w:tcW w:w="1275" w:type="dxa"/>
            <w:tcBorders>
              <w:top w:val="nil"/>
              <w:left w:val="nil"/>
              <w:bottom w:val="nil"/>
              <w:right w:val="single" w:sz="4" w:space="0" w:color="auto"/>
            </w:tcBorders>
            <w:shd w:val="clear" w:color="000000" w:fill="FFFFFF"/>
            <w:noWrap/>
            <w:vAlign w:val="bottom"/>
            <w:hideMark/>
          </w:tcPr>
          <w:p w14:paraId="1E20D4D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-92.4</w:t>
            </w:r>
          </w:p>
        </w:tc>
        <w:tc>
          <w:tcPr>
            <w:tcW w:w="1134" w:type="dxa"/>
            <w:tcBorders>
              <w:top w:val="nil"/>
              <w:left w:val="nil"/>
              <w:bottom w:val="nil"/>
              <w:right w:val="single" w:sz="8" w:space="0" w:color="auto"/>
            </w:tcBorders>
            <w:shd w:val="clear" w:color="000000" w:fill="FFFFFF"/>
            <w:noWrap/>
            <w:vAlign w:val="bottom"/>
            <w:hideMark/>
          </w:tcPr>
          <w:p w14:paraId="6C9252A2"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-16.9%</w:t>
            </w:r>
          </w:p>
        </w:tc>
      </w:tr>
      <w:tr w:rsidR="005F2EE7" w:rsidRPr="008F78C5" w14:paraId="0629D645" w14:textId="77777777" w:rsidTr="00412803">
        <w:trPr>
          <w:trHeight w:val="270"/>
          <w:jc w:val="center"/>
        </w:trPr>
        <w:tc>
          <w:tcPr>
            <w:tcW w:w="3959" w:type="dxa"/>
            <w:tcBorders>
              <w:top w:val="nil"/>
              <w:left w:val="single" w:sz="8" w:space="0" w:color="auto"/>
              <w:bottom w:val="single" w:sz="8" w:space="0" w:color="auto"/>
              <w:right w:val="single" w:sz="4" w:space="0" w:color="auto"/>
            </w:tcBorders>
            <w:shd w:val="clear" w:color="000000" w:fill="FFFFFF"/>
            <w:noWrap/>
            <w:vAlign w:val="bottom"/>
            <w:hideMark/>
          </w:tcPr>
          <w:p w14:paraId="73147D51" w14:textId="77777777" w:rsidR="005F2EE7" w:rsidRPr="008F78C5" w:rsidRDefault="005F2EE7" w:rsidP="0042480D">
            <w:pPr>
              <w:rPr>
                <w:rFonts w:ascii="CG Times" w:hAnsi="CG Times"/>
                <w:b/>
                <w:bCs/>
                <w:sz w:val="20"/>
                <w:szCs w:val="20"/>
                <w:lang w:val="es-GT" w:eastAsia="es-GT"/>
              </w:rPr>
            </w:pPr>
            <w:r w:rsidRPr="008F78C5">
              <w:rPr>
                <w:rFonts w:ascii="CG Times" w:hAnsi="CG Times"/>
                <w:b/>
                <w:bCs/>
                <w:sz w:val="20"/>
                <w:szCs w:val="20"/>
                <w:lang w:val="es-GT" w:eastAsia="es-GT"/>
              </w:rPr>
              <w:t>Más pagos de Deuda Pública</w:t>
            </w:r>
          </w:p>
        </w:tc>
        <w:tc>
          <w:tcPr>
            <w:tcW w:w="1418" w:type="dxa"/>
            <w:tcBorders>
              <w:top w:val="nil"/>
              <w:left w:val="nil"/>
              <w:bottom w:val="nil"/>
              <w:right w:val="single" w:sz="4" w:space="0" w:color="auto"/>
            </w:tcBorders>
            <w:shd w:val="clear" w:color="000000" w:fill="FFFFFF"/>
            <w:noWrap/>
            <w:vAlign w:val="bottom"/>
            <w:hideMark/>
          </w:tcPr>
          <w:p w14:paraId="74187D91" w14:textId="77777777" w:rsidR="005F2EE7" w:rsidRPr="008F78C5" w:rsidRDefault="005F2EE7" w:rsidP="0042480D">
            <w:pPr>
              <w:rPr>
                <w:rFonts w:ascii="CG Times" w:hAnsi="CG Times"/>
                <w:b/>
                <w:bCs/>
                <w:sz w:val="20"/>
                <w:szCs w:val="20"/>
                <w:lang w:val="es-GT" w:eastAsia="es-GT"/>
              </w:rPr>
            </w:pPr>
            <w:r w:rsidRPr="008F78C5">
              <w:rPr>
                <w:rFonts w:ascii="CG Times" w:hAnsi="CG Times"/>
                <w:b/>
                <w:bCs/>
                <w:sz w:val="20"/>
                <w:szCs w:val="20"/>
                <w:lang w:val="es-GT" w:eastAsia="es-GT"/>
              </w:rPr>
              <w:t> </w:t>
            </w:r>
          </w:p>
        </w:tc>
        <w:tc>
          <w:tcPr>
            <w:tcW w:w="1276" w:type="dxa"/>
            <w:tcBorders>
              <w:top w:val="nil"/>
              <w:left w:val="nil"/>
              <w:bottom w:val="nil"/>
              <w:right w:val="single" w:sz="4" w:space="0" w:color="auto"/>
            </w:tcBorders>
            <w:shd w:val="clear" w:color="000000" w:fill="FFFFFF"/>
            <w:noWrap/>
            <w:vAlign w:val="bottom"/>
            <w:hideMark/>
          </w:tcPr>
          <w:p w14:paraId="6A96084D" w14:textId="77777777" w:rsidR="005F2EE7" w:rsidRPr="008F78C5" w:rsidRDefault="005F2EE7" w:rsidP="0042480D">
            <w:pPr>
              <w:rPr>
                <w:rFonts w:ascii="CG Times" w:hAnsi="CG Times"/>
                <w:b/>
                <w:bCs/>
                <w:sz w:val="20"/>
                <w:szCs w:val="20"/>
                <w:lang w:val="es-GT" w:eastAsia="es-GT"/>
              </w:rPr>
            </w:pPr>
            <w:r w:rsidRPr="008F78C5">
              <w:rPr>
                <w:rFonts w:ascii="CG Times" w:hAnsi="CG Times"/>
                <w:b/>
                <w:bCs/>
                <w:sz w:val="20"/>
                <w:szCs w:val="20"/>
                <w:lang w:val="es-GT" w:eastAsia="es-GT"/>
              </w:rPr>
              <w:t> </w:t>
            </w:r>
          </w:p>
        </w:tc>
        <w:tc>
          <w:tcPr>
            <w:tcW w:w="1275" w:type="dxa"/>
            <w:tcBorders>
              <w:top w:val="nil"/>
              <w:left w:val="nil"/>
              <w:bottom w:val="nil"/>
              <w:right w:val="single" w:sz="4" w:space="0" w:color="auto"/>
            </w:tcBorders>
            <w:shd w:val="clear" w:color="000000" w:fill="FFFFFF"/>
            <w:noWrap/>
            <w:vAlign w:val="bottom"/>
            <w:hideMark/>
          </w:tcPr>
          <w:p w14:paraId="18C97014" w14:textId="77777777" w:rsidR="005F2EE7" w:rsidRPr="008F78C5" w:rsidRDefault="005F2EE7" w:rsidP="0042480D">
            <w:pPr>
              <w:rPr>
                <w:rFonts w:ascii="CG Times" w:hAnsi="CG Times"/>
                <w:b/>
                <w:bCs/>
                <w:sz w:val="20"/>
                <w:szCs w:val="20"/>
                <w:lang w:val="es-GT" w:eastAsia="es-GT"/>
              </w:rPr>
            </w:pPr>
            <w:r w:rsidRPr="008F78C5">
              <w:rPr>
                <w:rFonts w:ascii="CG Times" w:hAnsi="CG Times"/>
                <w:b/>
                <w:bCs/>
                <w:sz w:val="20"/>
                <w:szCs w:val="20"/>
                <w:lang w:val="es-GT" w:eastAsia="es-GT"/>
              </w:rPr>
              <w:t> </w:t>
            </w:r>
          </w:p>
        </w:tc>
        <w:tc>
          <w:tcPr>
            <w:tcW w:w="1134" w:type="dxa"/>
            <w:tcBorders>
              <w:top w:val="nil"/>
              <w:left w:val="nil"/>
              <w:bottom w:val="nil"/>
              <w:right w:val="single" w:sz="8" w:space="0" w:color="auto"/>
            </w:tcBorders>
            <w:shd w:val="clear" w:color="000000" w:fill="FFFFFF"/>
            <w:noWrap/>
            <w:vAlign w:val="bottom"/>
            <w:hideMark/>
          </w:tcPr>
          <w:p w14:paraId="02DD7DA5" w14:textId="77777777" w:rsidR="005F2EE7" w:rsidRPr="008F78C5" w:rsidRDefault="005F2EE7" w:rsidP="0042480D">
            <w:pPr>
              <w:rPr>
                <w:rFonts w:ascii="CG Times" w:hAnsi="CG Times"/>
                <w:b/>
                <w:bCs/>
                <w:sz w:val="20"/>
                <w:szCs w:val="20"/>
                <w:lang w:val="es-GT" w:eastAsia="es-GT"/>
              </w:rPr>
            </w:pPr>
            <w:r w:rsidRPr="008F78C5">
              <w:rPr>
                <w:rFonts w:ascii="CG Times" w:hAnsi="CG Times"/>
                <w:b/>
                <w:bCs/>
                <w:sz w:val="20"/>
                <w:szCs w:val="20"/>
                <w:lang w:val="es-GT" w:eastAsia="es-GT"/>
              </w:rPr>
              <w:t> </w:t>
            </w:r>
          </w:p>
        </w:tc>
      </w:tr>
      <w:tr w:rsidR="005F2EE7" w:rsidRPr="008F78C5" w14:paraId="22E1E8D4" w14:textId="77777777" w:rsidTr="00412803">
        <w:trPr>
          <w:trHeight w:val="255"/>
          <w:jc w:val="center"/>
        </w:trPr>
        <w:tc>
          <w:tcPr>
            <w:tcW w:w="3959" w:type="dxa"/>
            <w:tcBorders>
              <w:top w:val="nil"/>
              <w:left w:val="single" w:sz="8" w:space="0" w:color="auto"/>
              <w:bottom w:val="nil"/>
              <w:right w:val="nil"/>
            </w:tcBorders>
            <w:shd w:val="clear" w:color="000000" w:fill="FFFFFF"/>
            <w:noWrap/>
            <w:vAlign w:val="bottom"/>
            <w:hideMark/>
          </w:tcPr>
          <w:p w14:paraId="0E0DD8CF" w14:textId="77777777" w:rsidR="005F2EE7" w:rsidRPr="008F78C5" w:rsidRDefault="005F2EE7" w:rsidP="0042480D">
            <w:pPr>
              <w:ind w:firstLineChars="200" w:firstLine="400"/>
              <w:rPr>
                <w:rFonts w:ascii="CG Times" w:hAnsi="CG Times"/>
                <w:sz w:val="20"/>
                <w:szCs w:val="20"/>
                <w:lang w:val="es-GT" w:eastAsia="es-GT"/>
              </w:rPr>
            </w:pPr>
            <w:r w:rsidRPr="008F78C5">
              <w:rPr>
                <w:rFonts w:ascii="CG Times" w:hAnsi="CG Times"/>
                <w:sz w:val="20"/>
                <w:szCs w:val="20"/>
                <w:lang w:val="es-GT" w:eastAsia="es-GT"/>
              </w:rPr>
              <w:t>Amortizaciones</w:t>
            </w:r>
          </w:p>
        </w:tc>
        <w:tc>
          <w:tcPr>
            <w:tcW w:w="1418" w:type="dxa"/>
            <w:tcBorders>
              <w:top w:val="nil"/>
              <w:left w:val="single" w:sz="4" w:space="0" w:color="auto"/>
              <w:bottom w:val="nil"/>
              <w:right w:val="single" w:sz="4" w:space="0" w:color="auto"/>
            </w:tcBorders>
            <w:shd w:val="clear" w:color="000000" w:fill="FFFFFF"/>
            <w:noWrap/>
            <w:vAlign w:val="bottom"/>
            <w:hideMark/>
          </w:tcPr>
          <w:p w14:paraId="44432919"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1,430.8</w:t>
            </w:r>
          </w:p>
        </w:tc>
        <w:tc>
          <w:tcPr>
            <w:tcW w:w="1276" w:type="dxa"/>
            <w:tcBorders>
              <w:top w:val="nil"/>
              <w:left w:val="nil"/>
              <w:bottom w:val="nil"/>
              <w:right w:val="single" w:sz="4" w:space="0" w:color="auto"/>
            </w:tcBorders>
            <w:shd w:val="clear" w:color="000000" w:fill="FFFFFF"/>
            <w:noWrap/>
            <w:vAlign w:val="bottom"/>
            <w:hideMark/>
          </w:tcPr>
          <w:p w14:paraId="5F8C7F9B"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1,412.5</w:t>
            </w:r>
          </w:p>
        </w:tc>
        <w:tc>
          <w:tcPr>
            <w:tcW w:w="1275" w:type="dxa"/>
            <w:tcBorders>
              <w:top w:val="nil"/>
              <w:left w:val="nil"/>
              <w:bottom w:val="nil"/>
              <w:right w:val="single" w:sz="4" w:space="0" w:color="auto"/>
            </w:tcBorders>
            <w:shd w:val="clear" w:color="000000" w:fill="FFFFFF"/>
            <w:noWrap/>
            <w:vAlign w:val="bottom"/>
            <w:hideMark/>
          </w:tcPr>
          <w:p w14:paraId="2C08457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-18.3</w:t>
            </w:r>
          </w:p>
        </w:tc>
        <w:tc>
          <w:tcPr>
            <w:tcW w:w="1134" w:type="dxa"/>
            <w:tcBorders>
              <w:top w:val="nil"/>
              <w:left w:val="nil"/>
              <w:bottom w:val="nil"/>
              <w:right w:val="single" w:sz="8" w:space="0" w:color="auto"/>
            </w:tcBorders>
            <w:shd w:val="clear" w:color="000000" w:fill="FFFFFF"/>
            <w:noWrap/>
            <w:vAlign w:val="bottom"/>
            <w:hideMark/>
          </w:tcPr>
          <w:p w14:paraId="545D85C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-1.3%</w:t>
            </w:r>
          </w:p>
        </w:tc>
      </w:tr>
      <w:tr w:rsidR="005F2EE7" w:rsidRPr="008F78C5" w14:paraId="0142F6B6" w14:textId="77777777" w:rsidTr="00412803">
        <w:trPr>
          <w:trHeight w:val="270"/>
          <w:jc w:val="center"/>
        </w:trPr>
        <w:tc>
          <w:tcPr>
            <w:tcW w:w="3959" w:type="dxa"/>
            <w:tcBorders>
              <w:top w:val="nil"/>
              <w:left w:val="single" w:sz="8" w:space="0" w:color="auto"/>
              <w:bottom w:val="single" w:sz="8" w:space="0" w:color="auto"/>
              <w:right w:val="nil"/>
            </w:tcBorders>
            <w:shd w:val="clear" w:color="000000" w:fill="FFFFFF"/>
            <w:noWrap/>
            <w:vAlign w:val="bottom"/>
            <w:hideMark/>
          </w:tcPr>
          <w:p w14:paraId="4FADD612" w14:textId="77777777" w:rsidR="005F2EE7" w:rsidRPr="008F78C5" w:rsidRDefault="005F2EE7" w:rsidP="0042480D">
            <w:pPr>
              <w:rPr>
                <w:rFonts w:ascii="CG Times" w:hAnsi="CG Times"/>
                <w:sz w:val="20"/>
                <w:szCs w:val="20"/>
                <w:lang w:val="es-GT" w:eastAsia="es-GT"/>
              </w:rPr>
            </w:pPr>
            <w:r w:rsidRPr="008F78C5">
              <w:rPr>
                <w:rFonts w:ascii="CG Times" w:hAnsi="CG Times"/>
                <w:sz w:val="20"/>
                <w:szCs w:val="20"/>
                <w:lang w:val="es-GT" w:eastAsia="es-GT"/>
              </w:rPr>
              <w:t>Total del Gasto Presupuestario</w:t>
            </w:r>
          </w:p>
        </w:tc>
        <w:tc>
          <w:tcPr>
            <w:tcW w:w="1418" w:type="dxa"/>
            <w:tcBorders>
              <w:top w:val="nil"/>
              <w:left w:val="single" w:sz="4" w:space="0" w:color="auto"/>
              <w:bottom w:val="single" w:sz="8" w:space="0" w:color="auto"/>
              <w:right w:val="single" w:sz="4" w:space="0" w:color="auto"/>
            </w:tcBorders>
            <w:shd w:val="clear" w:color="000000" w:fill="FFFFFF"/>
            <w:noWrap/>
            <w:vAlign w:val="bottom"/>
            <w:hideMark/>
          </w:tcPr>
          <w:p w14:paraId="5AFA4E33"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47,518.8</w:t>
            </w:r>
          </w:p>
        </w:tc>
        <w:tc>
          <w:tcPr>
            <w:tcW w:w="1276" w:type="dxa"/>
            <w:tcBorders>
              <w:top w:val="nil"/>
              <w:left w:val="nil"/>
              <w:bottom w:val="single" w:sz="8" w:space="0" w:color="auto"/>
              <w:right w:val="single" w:sz="4" w:space="0" w:color="auto"/>
            </w:tcBorders>
            <w:shd w:val="clear" w:color="000000" w:fill="FFFFFF"/>
            <w:noWrap/>
            <w:vAlign w:val="bottom"/>
            <w:hideMark/>
          </w:tcPr>
          <w:p w14:paraId="4F96D650"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54,863.3</w:t>
            </w:r>
          </w:p>
        </w:tc>
        <w:tc>
          <w:tcPr>
            <w:tcW w:w="1275" w:type="dxa"/>
            <w:tcBorders>
              <w:top w:val="nil"/>
              <w:left w:val="nil"/>
              <w:bottom w:val="single" w:sz="8" w:space="0" w:color="auto"/>
              <w:right w:val="single" w:sz="4" w:space="0" w:color="auto"/>
            </w:tcBorders>
            <w:shd w:val="clear" w:color="000000" w:fill="FFFFFF"/>
            <w:noWrap/>
            <w:vAlign w:val="bottom"/>
            <w:hideMark/>
          </w:tcPr>
          <w:p w14:paraId="68A8A875"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7,344.5</w:t>
            </w:r>
          </w:p>
        </w:tc>
        <w:tc>
          <w:tcPr>
            <w:tcW w:w="1134" w:type="dxa"/>
            <w:tcBorders>
              <w:top w:val="nil"/>
              <w:left w:val="nil"/>
              <w:bottom w:val="single" w:sz="8" w:space="0" w:color="auto"/>
              <w:right w:val="single" w:sz="8" w:space="0" w:color="auto"/>
            </w:tcBorders>
            <w:shd w:val="clear" w:color="000000" w:fill="FFFFFF"/>
            <w:noWrap/>
            <w:vAlign w:val="bottom"/>
            <w:hideMark/>
          </w:tcPr>
          <w:p w14:paraId="295371D6" w14:textId="77777777" w:rsidR="005F2EE7" w:rsidRPr="008F78C5" w:rsidRDefault="005F2EE7" w:rsidP="0042480D">
            <w:pPr>
              <w:jc w:val="right"/>
              <w:rPr>
                <w:rFonts w:ascii="CG Times" w:hAnsi="CG Times"/>
                <w:sz w:val="20"/>
                <w:szCs w:val="20"/>
                <w:lang w:val="es-GT" w:eastAsia="es-GT"/>
              </w:rPr>
            </w:pPr>
            <w:r w:rsidRPr="008F78C5">
              <w:rPr>
                <w:rFonts w:ascii="CG Times" w:hAnsi="CG Times"/>
                <w:sz w:val="20"/>
                <w:szCs w:val="20"/>
                <w:lang w:val="es-GT" w:eastAsia="es-GT"/>
              </w:rPr>
              <w:t>15.5%</w:t>
            </w:r>
          </w:p>
        </w:tc>
      </w:tr>
    </w:tbl>
    <w:p w14:paraId="00FF610A" w14:textId="6A3A3AA4" w:rsidR="005F2EE7" w:rsidRDefault="008F78C5" w:rsidP="008F78C5">
      <w:pPr>
        <w:rPr>
          <w:sz w:val="18"/>
          <w:lang w:val="es-MX"/>
        </w:rPr>
      </w:pPr>
      <w:r>
        <w:rPr>
          <w:sz w:val="18"/>
          <w:lang w:val="es-MX"/>
        </w:rPr>
        <w:t xml:space="preserve">   </w:t>
      </w:r>
      <w:r w:rsidR="005F2EE7" w:rsidRPr="004B1436">
        <w:rPr>
          <w:sz w:val="18"/>
          <w:lang w:val="es-MX"/>
        </w:rPr>
        <w:t>* Cifras preliminares</w:t>
      </w:r>
    </w:p>
    <w:p w14:paraId="603A6398" w14:textId="04170E29" w:rsidR="005F2EE7" w:rsidRPr="004B1436" w:rsidRDefault="005F2EE7" w:rsidP="005F2EE7">
      <w:pPr>
        <w:rPr>
          <w:sz w:val="18"/>
          <w:lang w:val="es-MX"/>
        </w:rPr>
      </w:pPr>
      <w:r>
        <w:rPr>
          <w:sz w:val="18"/>
          <w:lang w:val="es-MX"/>
        </w:rPr>
        <w:t xml:space="preserve">   </w:t>
      </w:r>
      <w:r w:rsidR="008F78C5">
        <w:rPr>
          <w:sz w:val="18"/>
          <w:lang w:val="es-MX"/>
        </w:rPr>
        <w:t xml:space="preserve">   </w:t>
      </w:r>
      <w:r w:rsidRPr="004B1436">
        <w:rPr>
          <w:sz w:val="18"/>
          <w:lang w:val="es-MX"/>
        </w:rPr>
        <w:t>Fuente: Ministerio de Finanzas Públicas con base al SICOIN.</w:t>
      </w:r>
    </w:p>
    <w:p w14:paraId="3B0BB4F1" w14:textId="77777777" w:rsidR="005F2EE7" w:rsidRDefault="005F2EE7" w:rsidP="005F2EE7">
      <w:pPr>
        <w:rPr>
          <w:sz w:val="18"/>
          <w:lang w:val="es-MX"/>
        </w:rPr>
      </w:pPr>
    </w:p>
    <w:p w14:paraId="4B29504D" w14:textId="77777777" w:rsidR="005F2EE7" w:rsidRPr="005E55DE" w:rsidRDefault="005F2EE7" w:rsidP="00FC0361">
      <w:pPr>
        <w:pStyle w:val="Ttulo3"/>
        <w:numPr>
          <w:ilvl w:val="0"/>
          <w:numId w:val="5"/>
        </w:numPr>
        <w:ind w:left="426"/>
        <w:rPr>
          <w:rFonts w:ascii="Times New Roman" w:hAnsi="Times New Roman"/>
          <w:color w:val="auto"/>
          <w:lang w:val="es-MX"/>
        </w:rPr>
      </w:pPr>
      <w:bookmarkStart w:id="18" w:name="_Toc114732535"/>
      <w:bookmarkStart w:id="19" w:name="_Toc142920539"/>
      <w:r w:rsidRPr="005E55DE">
        <w:rPr>
          <w:rFonts w:ascii="Times New Roman" w:hAnsi="Times New Roman"/>
          <w:color w:val="auto"/>
          <w:lang w:val="es-MX"/>
        </w:rPr>
        <w:t>Ejecución Presupuestaria Institucional</w:t>
      </w:r>
      <w:bookmarkEnd w:id="18"/>
      <w:bookmarkEnd w:id="19"/>
    </w:p>
    <w:p w14:paraId="0AFA7025" w14:textId="77777777" w:rsidR="005F2EE7" w:rsidRPr="00FB641E" w:rsidRDefault="005F2EE7" w:rsidP="005F2EE7">
      <w:pPr>
        <w:jc w:val="both"/>
        <w:rPr>
          <w:sz w:val="18"/>
          <w:lang w:val="es-MX"/>
        </w:rPr>
      </w:pPr>
    </w:p>
    <w:p w14:paraId="44ACEA92" w14:textId="6A7432B4" w:rsidR="005F2EE7" w:rsidRDefault="005F2EE7" w:rsidP="005F2EE7">
      <w:pPr>
        <w:jc w:val="both"/>
        <w:rPr>
          <w:lang w:val="es-MX"/>
        </w:rPr>
      </w:pPr>
      <w:r>
        <w:rPr>
          <w:lang w:val="es-MX"/>
        </w:rPr>
        <w:t xml:space="preserve">Al 30 de junio de 2023, según la estructura </w:t>
      </w:r>
      <w:r w:rsidR="00D222FF">
        <w:rPr>
          <w:lang w:val="es-MX"/>
        </w:rPr>
        <w:t xml:space="preserve">porcentual </w:t>
      </w:r>
      <w:r>
        <w:rPr>
          <w:lang w:val="es-MX"/>
        </w:rPr>
        <w:t>de</w:t>
      </w:r>
      <w:r w:rsidR="00BF2E89">
        <w:rPr>
          <w:lang w:val="es-MX"/>
        </w:rPr>
        <w:t>l</w:t>
      </w:r>
      <w:r>
        <w:rPr>
          <w:lang w:val="es-MX"/>
        </w:rPr>
        <w:t xml:space="preserve"> gasto, son</w:t>
      </w:r>
      <w:r w:rsidR="00BF2E89">
        <w:rPr>
          <w:lang w:val="es-MX"/>
        </w:rPr>
        <w:t xml:space="preserve"> siete</w:t>
      </w:r>
      <w:r>
        <w:rPr>
          <w:lang w:val="es-MX"/>
        </w:rPr>
        <w:t xml:space="preserve"> las entidades que</w:t>
      </w:r>
      <w:r w:rsidR="00BF2E89">
        <w:rPr>
          <w:lang w:val="es-MX"/>
        </w:rPr>
        <w:t xml:space="preserve"> conjuntamente</w:t>
      </w:r>
      <w:r>
        <w:rPr>
          <w:lang w:val="es-MX"/>
        </w:rPr>
        <w:t xml:space="preserve"> ejecutan el 92.2%, en tanto que para el 2022, estas mismas entidades ejecutaron el 90.5%, siendo estas: las Obligaciones del Estado a Cargo del Tesoro c</w:t>
      </w:r>
      <w:r w:rsidR="00D222FF">
        <w:rPr>
          <w:lang w:val="es-MX"/>
        </w:rPr>
        <w:t>uya</w:t>
      </w:r>
      <w:r>
        <w:rPr>
          <w:lang w:val="es-MX"/>
        </w:rPr>
        <w:t xml:space="preserve"> ejecución</w:t>
      </w:r>
      <w:r w:rsidR="00D222FF">
        <w:rPr>
          <w:lang w:val="es-MX"/>
        </w:rPr>
        <w:t xml:space="preserve"> representa el </w:t>
      </w:r>
      <w:r>
        <w:rPr>
          <w:lang w:val="es-MX"/>
        </w:rPr>
        <w:t>3</w:t>
      </w:r>
      <w:r w:rsidR="00D222FF">
        <w:rPr>
          <w:lang w:val="es-MX"/>
        </w:rPr>
        <w:t>2</w:t>
      </w:r>
      <w:r>
        <w:rPr>
          <w:lang w:val="es-MX"/>
        </w:rPr>
        <w:t xml:space="preserve">.0%; el Ministerio de Educación con una ejecución </w:t>
      </w:r>
      <w:r w:rsidR="00D222FF">
        <w:rPr>
          <w:lang w:val="es-MX"/>
        </w:rPr>
        <w:t xml:space="preserve">que representa el </w:t>
      </w:r>
      <w:r>
        <w:rPr>
          <w:lang w:val="es-MX"/>
        </w:rPr>
        <w:t>19.</w:t>
      </w:r>
      <w:r w:rsidR="00D222FF">
        <w:rPr>
          <w:lang w:val="es-MX"/>
        </w:rPr>
        <w:t>2</w:t>
      </w:r>
      <w:r>
        <w:rPr>
          <w:lang w:val="es-MX"/>
        </w:rPr>
        <w:t xml:space="preserve">%; </w:t>
      </w:r>
      <w:r w:rsidR="00D222FF">
        <w:rPr>
          <w:lang w:val="es-MX"/>
        </w:rPr>
        <w:t>los</w:t>
      </w:r>
      <w:r>
        <w:rPr>
          <w:lang w:val="es-MX"/>
        </w:rPr>
        <w:t xml:space="preserve"> Servicios de la Deuda Pública reporta una ejecución</w:t>
      </w:r>
      <w:r w:rsidR="00D222FF">
        <w:rPr>
          <w:lang w:val="es-MX"/>
        </w:rPr>
        <w:t xml:space="preserve"> que corresponde al 14.3%</w:t>
      </w:r>
      <w:r>
        <w:rPr>
          <w:lang w:val="es-MX"/>
        </w:rPr>
        <w:t>; el Ministerio de Comunicaciones</w:t>
      </w:r>
      <w:r w:rsidR="00D222FF">
        <w:rPr>
          <w:lang w:val="es-MX"/>
        </w:rPr>
        <w:t>, Infraestructura y Vivienda su ejecución representa el 9.6%;</w:t>
      </w:r>
      <w:r>
        <w:rPr>
          <w:lang w:val="es-MX"/>
        </w:rPr>
        <w:t xml:space="preserve"> </w:t>
      </w:r>
      <w:r w:rsidR="00D222FF">
        <w:rPr>
          <w:lang w:val="es-MX"/>
        </w:rPr>
        <w:t>la ejecución d</w:t>
      </w:r>
      <w:r>
        <w:rPr>
          <w:lang w:val="es-MX"/>
        </w:rPr>
        <w:t>el Ministerio de Salud Pública y Asistencia Social</w:t>
      </w:r>
      <w:r w:rsidR="00D222FF">
        <w:rPr>
          <w:lang w:val="es-MX"/>
        </w:rPr>
        <w:t xml:space="preserve"> representa el 9.0</w:t>
      </w:r>
      <w:r>
        <w:rPr>
          <w:lang w:val="es-MX"/>
        </w:rPr>
        <w:t xml:space="preserve">%; </w:t>
      </w:r>
      <w:r w:rsidR="00D222FF">
        <w:rPr>
          <w:lang w:val="es-MX"/>
        </w:rPr>
        <w:t>la del</w:t>
      </w:r>
      <w:r>
        <w:rPr>
          <w:lang w:val="es-MX"/>
        </w:rPr>
        <w:t xml:space="preserve"> Ministerio de Gobernación </w:t>
      </w:r>
      <w:r w:rsidR="00D222FF">
        <w:rPr>
          <w:lang w:val="es-MX"/>
        </w:rPr>
        <w:t>corresponde al 5.7%</w:t>
      </w:r>
      <w:r>
        <w:rPr>
          <w:lang w:val="es-MX"/>
        </w:rPr>
        <w:t xml:space="preserve">; mientras que </w:t>
      </w:r>
      <w:r w:rsidR="00D222FF">
        <w:rPr>
          <w:lang w:val="es-MX"/>
        </w:rPr>
        <w:t>la d</w:t>
      </w:r>
      <w:r>
        <w:rPr>
          <w:lang w:val="es-MX"/>
        </w:rPr>
        <w:t xml:space="preserve">el Ministerio de la Defensa Nacional </w:t>
      </w:r>
      <w:r w:rsidR="00D222FF">
        <w:rPr>
          <w:lang w:val="es-MX"/>
        </w:rPr>
        <w:t>corresponde al 2.5%</w:t>
      </w:r>
      <w:r>
        <w:rPr>
          <w:lang w:val="es-MX"/>
        </w:rPr>
        <w:t>.</w:t>
      </w:r>
    </w:p>
    <w:p w14:paraId="38AFC68B" w14:textId="77777777" w:rsidR="005F2EE7" w:rsidRDefault="005F2EE7" w:rsidP="005F2EE7">
      <w:pPr>
        <w:jc w:val="both"/>
        <w:rPr>
          <w:lang w:val="es-MX"/>
        </w:rPr>
      </w:pPr>
    </w:p>
    <w:p w14:paraId="4A60A4BA" w14:textId="4EA3E96B" w:rsidR="005F2EE7" w:rsidRDefault="005F2EE7" w:rsidP="005F2EE7">
      <w:pPr>
        <w:jc w:val="both"/>
        <w:rPr>
          <w:lang w:val="es-MX"/>
        </w:rPr>
      </w:pPr>
      <w:r>
        <w:rPr>
          <w:lang w:val="es-MX"/>
        </w:rPr>
        <w:t xml:space="preserve">Los principales aumentos </w:t>
      </w:r>
      <w:r w:rsidR="006E7D03">
        <w:rPr>
          <w:lang w:val="es-MX"/>
        </w:rPr>
        <w:t xml:space="preserve">de la ejecución </w:t>
      </w:r>
      <w:r w:rsidR="0063339F">
        <w:rPr>
          <w:lang w:val="es-MX"/>
        </w:rPr>
        <w:t xml:space="preserve">presupuestaria con relación al 2022 </w:t>
      </w:r>
      <w:r>
        <w:rPr>
          <w:lang w:val="es-MX"/>
        </w:rPr>
        <w:t>se observan en el Ministerio de Comunicaciones</w:t>
      </w:r>
      <w:r w:rsidR="0063339F">
        <w:rPr>
          <w:lang w:val="es-MX"/>
        </w:rPr>
        <w:t>, Infraestructura y Vivienda</w:t>
      </w:r>
      <w:r>
        <w:rPr>
          <w:lang w:val="es-MX"/>
        </w:rPr>
        <w:t xml:space="preserve"> con Q</w:t>
      </w:r>
      <w:r w:rsidR="0063339F">
        <w:rPr>
          <w:lang w:val="es-MX"/>
        </w:rPr>
        <w:t>.</w:t>
      </w:r>
      <w:r>
        <w:rPr>
          <w:lang w:val="es-MX"/>
        </w:rPr>
        <w:t xml:space="preserve">2,783.9 millones, los cuales </w:t>
      </w:r>
      <w:r w:rsidR="0063339F">
        <w:rPr>
          <w:lang w:val="es-MX"/>
        </w:rPr>
        <w:t>corresponden principalmente a</w:t>
      </w:r>
      <w:r>
        <w:rPr>
          <w:lang w:val="es-MX"/>
        </w:rPr>
        <w:t xml:space="preserve"> </w:t>
      </w:r>
      <w:r w:rsidRPr="00696F37">
        <w:rPr>
          <w:lang w:val="es-MX"/>
        </w:rPr>
        <w:t>mantenimiento y reparación de bienes nacionales de uso común</w:t>
      </w:r>
      <w:r w:rsidR="0063339F">
        <w:rPr>
          <w:lang w:val="es-MX"/>
        </w:rPr>
        <w:t xml:space="preserve">; </w:t>
      </w:r>
      <w:r w:rsidRPr="00696F37">
        <w:rPr>
          <w:lang w:val="es-MX"/>
        </w:rPr>
        <w:t>construcciones de bienes nacionales de uso</w:t>
      </w:r>
      <w:r w:rsidR="0063339F">
        <w:rPr>
          <w:lang w:val="es-MX"/>
        </w:rPr>
        <w:t xml:space="preserve"> común y</w:t>
      </w:r>
      <w:r w:rsidRPr="00696F37">
        <w:rPr>
          <w:lang w:val="es-MX"/>
        </w:rPr>
        <w:t xml:space="preserve"> no común</w:t>
      </w:r>
      <w:r w:rsidR="0063339F">
        <w:rPr>
          <w:lang w:val="es-MX"/>
        </w:rPr>
        <w:t xml:space="preserve">; </w:t>
      </w:r>
      <w:r w:rsidRPr="00696F37">
        <w:rPr>
          <w:lang w:val="es-MX"/>
        </w:rPr>
        <w:t>transferencias a personas individuales y unidades familiares</w:t>
      </w:r>
      <w:r w:rsidR="0063339F">
        <w:rPr>
          <w:lang w:val="es-MX"/>
        </w:rPr>
        <w:t xml:space="preserve">; </w:t>
      </w:r>
      <w:r w:rsidRPr="00696F37">
        <w:rPr>
          <w:lang w:val="es-MX"/>
        </w:rPr>
        <w:t>servicios de ingeniería, arquitectura y supervisión de obras</w:t>
      </w:r>
      <w:r w:rsidR="0063339F">
        <w:rPr>
          <w:lang w:val="es-MX"/>
        </w:rPr>
        <w:t>;</w:t>
      </w:r>
      <w:r>
        <w:rPr>
          <w:lang w:val="es-MX"/>
        </w:rPr>
        <w:t xml:space="preserve"> </w:t>
      </w:r>
      <w:r w:rsidRPr="00730ACE">
        <w:rPr>
          <w:lang w:val="es-MX"/>
        </w:rPr>
        <w:t>accesorios y repuestos en general</w:t>
      </w:r>
      <w:r w:rsidR="0063339F">
        <w:rPr>
          <w:lang w:val="es-MX"/>
        </w:rPr>
        <w:t>, entre otros.</w:t>
      </w:r>
    </w:p>
    <w:p w14:paraId="789C526D" w14:textId="77777777" w:rsidR="005F2EE7" w:rsidRDefault="005F2EE7" w:rsidP="005F2EE7">
      <w:pPr>
        <w:jc w:val="both"/>
        <w:rPr>
          <w:lang w:val="es-MX"/>
        </w:rPr>
      </w:pPr>
    </w:p>
    <w:p w14:paraId="20131E27" w14:textId="6CB90714" w:rsidR="005F2EE7" w:rsidRDefault="005F2EE7" w:rsidP="005F2EE7">
      <w:pPr>
        <w:jc w:val="both"/>
        <w:rPr>
          <w:lang w:val="es-MX"/>
        </w:rPr>
      </w:pPr>
      <w:r>
        <w:rPr>
          <w:lang w:val="es-MX"/>
        </w:rPr>
        <w:t xml:space="preserve">Las Obligaciones del Estado </w:t>
      </w:r>
      <w:r w:rsidR="0063339F">
        <w:rPr>
          <w:lang w:val="es-MX"/>
        </w:rPr>
        <w:t xml:space="preserve">a Cargo del Tesoro </w:t>
      </w:r>
      <w:r w:rsidR="00253907">
        <w:rPr>
          <w:lang w:val="es-MX"/>
        </w:rPr>
        <w:t>presentan</w:t>
      </w:r>
      <w:r>
        <w:rPr>
          <w:lang w:val="es-MX"/>
        </w:rPr>
        <w:t xml:space="preserve"> una ejecución mayor a la observada en el mismo período de 2022 </w:t>
      </w:r>
      <w:r w:rsidR="0063339F">
        <w:rPr>
          <w:lang w:val="es-MX"/>
        </w:rPr>
        <w:t>por</w:t>
      </w:r>
      <w:r>
        <w:rPr>
          <w:lang w:val="es-MX"/>
        </w:rPr>
        <w:t xml:space="preserve"> Q.2,549.5 millones</w:t>
      </w:r>
      <w:r w:rsidR="0063339F">
        <w:rPr>
          <w:lang w:val="es-MX"/>
        </w:rPr>
        <w:t>, los que corresponden a</w:t>
      </w:r>
      <w:r>
        <w:rPr>
          <w:lang w:val="es-MX"/>
        </w:rPr>
        <w:t xml:space="preserve"> transferencias a las </w:t>
      </w:r>
      <w:r w:rsidR="00AF2BF1">
        <w:rPr>
          <w:lang w:val="es-MX"/>
        </w:rPr>
        <w:t>M</w:t>
      </w:r>
      <w:r>
        <w:rPr>
          <w:lang w:val="es-MX"/>
        </w:rPr>
        <w:t xml:space="preserve">unicipalidades, a los Consejos de Desarrollo, a </w:t>
      </w:r>
      <w:r w:rsidR="00AF2BF1">
        <w:rPr>
          <w:lang w:val="es-MX"/>
        </w:rPr>
        <w:t>Clases Pasivas</w:t>
      </w:r>
      <w:r w:rsidR="0000207C">
        <w:rPr>
          <w:lang w:val="es-MX"/>
        </w:rPr>
        <w:t xml:space="preserve"> del Estado</w:t>
      </w:r>
      <w:r>
        <w:rPr>
          <w:lang w:val="es-MX"/>
        </w:rPr>
        <w:t>, a entidades de la Administración Central, como el caso del Tribunal Supremo Electoral</w:t>
      </w:r>
      <w:r w:rsidR="00AF2BF1">
        <w:rPr>
          <w:lang w:val="es-MX"/>
        </w:rPr>
        <w:t xml:space="preserve">, </w:t>
      </w:r>
      <w:r>
        <w:rPr>
          <w:lang w:val="es-MX"/>
        </w:rPr>
        <w:t>Congreso de la República</w:t>
      </w:r>
      <w:r w:rsidR="00AF2BF1">
        <w:rPr>
          <w:lang w:val="es-MX"/>
        </w:rPr>
        <w:t xml:space="preserve">, </w:t>
      </w:r>
      <w:r>
        <w:rPr>
          <w:lang w:val="es-MX"/>
        </w:rPr>
        <w:t>Universidad de San Carlos de Guatemala</w:t>
      </w:r>
      <w:r w:rsidR="00AF2BF1">
        <w:rPr>
          <w:lang w:val="es-MX"/>
        </w:rPr>
        <w:t xml:space="preserve">, </w:t>
      </w:r>
      <w:r>
        <w:rPr>
          <w:lang w:val="es-MX"/>
        </w:rPr>
        <w:t>Instituto Guatemalteco de Seguridad Social</w:t>
      </w:r>
      <w:r w:rsidR="00AF2BF1">
        <w:rPr>
          <w:lang w:val="es-MX"/>
        </w:rPr>
        <w:t xml:space="preserve">, </w:t>
      </w:r>
      <w:r>
        <w:rPr>
          <w:lang w:val="es-MX"/>
        </w:rPr>
        <w:t>Organismo Judicial</w:t>
      </w:r>
      <w:r w:rsidR="00AF2BF1">
        <w:rPr>
          <w:lang w:val="es-MX"/>
        </w:rPr>
        <w:t xml:space="preserve">, </w:t>
      </w:r>
      <w:r>
        <w:rPr>
          <w:lang w:val="es-MX"/>
        </w:rPr>
        <w:t>Instituto Nacional de Electrificación</w:t>
      </w:r>
      <w:r w:rsidR="00AF2BF1">
        <w:rPr>
          <w:lang w:val="es-MX"/>
        </w:rPr>
        <w:t>,</w:t>
      </w:r>
      <w:r w:rsidR="002A0EEF">
        <w:rPr>
          <w:lang w:val="es-MX"/>
        </w:rPr>
        <w:t xml:space="preserve"> Contraloría General de Cuentas,</w:t>
      </w:r>
      <w:r w:rsidR="00AF2BF1">
        <w:rPr>
          <w:lang w:val="es-MX"/>
        </w:rPr>
        <w:t xml:space="preserve"> principalmente.</w:t>
      </w:r>
    </w:p>
    <w:p w14:paraId="18789011" w14:textId="77777777" w:rsidR="005F2EE7" w:rsidRDefault="005F2EE7" w:rsidP="005F2EE7">
      <w:pPr>
        <w:jc w:val="both"/>
        <w:rPr>
          <w:lang w:val="es-MX"/>
        </w:rPr>
      </w:pPr>
    </w:p>
    <w:p w14:paraId="643BA41B" w14:textId="4454A583" w:rsidR="005F2EE7" w:rsidRDefault="005F2EE7" w:rsidP="005F2EE7">
      <w:pPr>
        <w:jc w:val="both"/>
        <w:rPr>
          <w:lang w:val="es-MX"/>
        </w:rPr>
      </w:pPr>
      <w:r>
        <w:rPr>
          <w:lang w:val="es-MX"/>
        </w:rPr>
        <w:t>El Ministerio de Educación tuvo una ejecución mayor en Q</w:t>
      </w:r>
      <w:r w:rsidR="005D59D7">
        <w:rPr>
          <w:lang w:val="es-MX"/>
        </w:rPr>
        <w:t>.</w:t>
      </w:r>
      <w:r>
        <w:rPr>
          <w:lang w:val="es-MX"/>
        </w:rPr>
        <w:t xml:space="preserve">1,101.6 millones </w:t>
      </w:r>
      <w:r w:rsidR="00725468">
        <w:rPr>
          <w:lang w:val="es-MX"/>
        </w:rPr>
        <w:t xml:space="preserve">con relación al 2022, los que se </w:t>
      </w:r>
      <w:r>
        <w:rPr>
          <w:lang w:val="es-MX"/>
        </w:rPr>
        <w:t>concentraron en las transferencias a las juntas escolares</w:t>
      </w:r>
      <w:r w:rsidR="00725468">
        <w:rPr>
          <w:lang w:val="es-MX"/>
        </w:rPr>
        <w:t xml:space="preserve">, </w:t>
      </w:r>
      <w:r>
        <w:rPr>
          <w:lang w:val="es-MX"/>
        </w:rPr>
        <w:t>remuneraciones</w:t>
      </w:r>
      <w:r w:rsidR="005D59D7">
        <w:rPr>
          <w:lang w:val="es-MX"/>
        </w:rPr>
        <w:t xml:space="preserve"> del personal</w:t>
      </w:r>
      <w:r w:rsidR="00725468">
        <w:rPr>
          <w:lang w:val="es-MX"/>
        </w:rPr>
        <w:t xml:space="preserve">, </w:t>
      </w:r>
      <w:r>
        <w:rPr>
          <w:lang w:val="es-MX"/>
        </w:rPr>
        <w:t>compra de bienes y servicios</w:t>
      </w:r>
      <w:r w:rsidR="00725468">
        <w:rPr>
          <w:lang w:val="es-MX"/>
        </w:rPr>
        <w:t>, entre otros.</w:t>
      </w:r>
    </w:p>
    <w:p w14:paraId="5F138808" w14:textId="77777777" w:rsidR="005F2EE7" w:rsidRDefault="005F2EE7" w:rsidP="005F2EE7">
      <w:pPr>
        <w:jc w:val="both"/>
        <w:rPr>
          <w:lang w:val="es-MX"/>
        </w:rPr>
      </w:pPr>
    </w:p>
    <w:p w14:paraId="0B568E26" w14:textId="2C7ADFE4" w:rsidR="005F2EE7" w:rsidRDefault="005F2EE7" w:rsidP="005F2EE7">
      <w:pPr>
        <w:jc w:val="both"/>
        <w:rPr>
          <w:lang w:val="es-MX"/>
        </w:rPr>
      </w:pPr>
      <w:r>
        <w:rPr>
          <w:lang w:val="es-MX"/>
        </w:rPr>
        <w:t xml:space="preserve">El Ministerio de Gobernación </w:t>
      </w:r>
      <w:r w:rsidR="0047761E">
        <w:rPr>
          <w:lang w:val="es-MX"/>
        </w:rPr>
        <w:t>ejecutó</w:t>
      </w:r>
      <w:r>
        <w:rPr>
          <w:lang w:val="es-MX"/>
        </w:rPr>
        <w:t xml:space="preserve"> Q</w:t>
      </w:r>
      <w:r w:rsidR="0047761E">
        <w:rPr>
          <w:lang w:val="es-MX"/>
        </w:rPr>
        <w:t>.</w:t>
      </w:r>
      <w:r>
        <w:rPr>
          <w:lang w:val="es-MX"/>
        </w:rPr>
        <w:t>634.4 millones</w:t>
      </w:r>
      <w:r w:rsidR="0047761E">
        <w:rPr>
          <w:lang w:val="es-MX"/>
        </w:rPr>
        <w:t xml:space="preserve"> adicionales a lo observado en 2022, </w:t>
      </w:r>
      <w:r>
        <w:rPr>
          <w:lang w:val="es-MX"/>
        </w:rPr>
        <w:t>que se concentra</w:t>
      </w:r>
      <w:r w:rsidR="005D59D7">
        <w:rPr>
          <w:lang w:val="es-MX"/>
        </w:rPr>
        <w:t>n  básicamente</w:t>
      </w:r>
      <w:r>
        <w:rPr>
          <w:lang w:val="es-MX"/>
        </w:rPr>
        <w:t xml:space="preserve"> en la compra de bienes y servicios</w:t>
      </w:r>
      <w:r w:rsidR="005D59D7">
        <w:rPr>
          <w:lang w:val="es-MX"/>
        </w:rPr>
        <w:t xml:space="preserve">, </w:t>
      </w:r>
      <w:r>
        <w:rPr>
          <w:lang w:val="es-MX"/>
        </w:rPr>
        <w:t>remuneraciones</w:t>
      </w:r>
      <w:r w:rsidR="005D59D7">
        <w:rPr>
          <w:lang w:val="es-MX"/>
        </w:rPr>
        <w:t xml:space="preserve"> al personal, f</w:t>
      </w:r>
      <w:r>
        <w:rPr>
          <w:lang w:val="es-MX"/>
        </w:rPr>
        <w:t xml:space="preserve">ormación </w:t>
      </w:r>
      <w:r w:rsidR="005D59D7">
        <w:rPr>
          <w:lang w:val="es-MX"/>
        </w:rPr>
        <w:t>b</w:t>
      </w:r>
      <w:r>
        <w:rPr>
          <w:lang w:val="es-MX"/>
        </w:rPr>
        <w:t xml:space="preserve">ruta de </w:t>
      </w:r>
      <w:r w:rsidR="005D59D7">
        <w:rPr>
          <w:lang w:val="es-MX"/>
        </w:rPr>
        <w:t>c</w:t>
      </w:r>
      <w:r>
        <w:rPr>
          <w:lang w:val="es-MX"/>
        </w:rPr>
        <w:t xml:space="preserve">apital </w:t>
      </w:r>
      <w:r w:rsidR="005D59D7">
        <w:rPr>
          <w:lang w:val="es-MX"/>
        </w:rPr>
        <w:t>f</w:t>
      </w:r>
      <w:r>
        <w:rPr>
          <w:lang w:val="es-MX"/>
        </w:rPr>
        <w:t>ijo</w:t>
      </w:r>
      <w:r w:rsidR="005D59D7">
        <w:rPr>
          <w:lang w:val="es-MX"/>
        </w:rPr>
        <w:t>, entre otros.</w:t>
      </w:r>
    </w:p>
    <w:p w14:paraId="12980938" w14:textId="77777777" w:rsidR="005F2EE7" w:rsidRDefault="005F2EE7" w:rsidP="005F2EE7">
      <w:pPr>
        <w:jc w:val="both"/>
        <w:rPr>
          <w:lang w:val="es-MX"/>
        </w:rPr>
      </w:pPr>
    </w:p>
    <w:p w14:paraId="6DA672C5" w14:textId="2F12D966" w:rsidR="005F2EE7" w:rsidRDefault="002210C1" w:rsidP="005F2EE7">
      <w:pPr>
        <w:jc w:val="both"/>
        <w:rPr>
          <w:lang w:val="es-MX"/>
        </w:rPr>
      </w:pPr>
      <w:r>
        <w:rPr>
          <w:lang w:val="es-MX"/>
        </w:rPr>
        <w:t>Los</w:t>
      </w:r>
      <w:r w:rsidR="005F2EE7">
        <w:rPr>
          <w:lang w:val="es-MX"/>
        </w:rPr>
        <w:t xml:space="preserve"> Servicio</w:t>
      </w:r>
      <w:r>
        <w:rPr>
          <w:lang w:val="es-MX"/>
        </w:rPr>
        <w:t>s</w:t>
      </w:r>
      <w:r w:rsidR="005F2EE7">
        <w:rPr>
          <w:lang w:val="es-MX"/>
        </w:rPr>
        <w:t xml:space="preserve"> de la Deuda</w:t>
      </w:r>
      <w:r>
        <w:rPr>
          <w:lang w:val="es-MX"/>
        </w:rPr>
        <w:t xml:space="preserve"> Pública tuvieron un incremento en su ejecución en </w:t>
      </w:r>
      <w:r w:rsidR="005F2EE7">
        <w:rPr>
          <w:lang w:val="es-MX"/>
        </w:rPr>
        <w:t>Q</w:t>
      </w:r>
      <w:r>
        <w:rPr>
          <w:lang w:val="es-MX"/>
        </w:rPr>
        <w:t>.</w:t>
      </w:r>
      <w:r w:rsidR="005F2EE7">
        <w:rPr>
          <w:lang w:val="es-MX"/>
        </w:rPr>
        <w:t>525.4 millones</w:t>
      </w:r>
      <w:r>
        <w:rPr>
          <w:lang w:val="es-MX"/>
        </w:rPr>
        <w:t xml:space="preserve">, principalmente por </w:t>
      </w:r>
      <w:r w:rsidR="005F2EE7">
        <w:rPr>
          <w:lang w:val="es-MX"/>
        </w:rPr>
        <w:t>aumento de intereses y comisiones</w:t>
      </w:r>
      <w:r>
        <w:rPr>
          <w:lang w:val="es-MX"/>
        </w:rPr>
        <w:t xml:space="preserve">, </w:t>
      </w:r>
      <w:r w:rsidR="005F2EE7">
        <w:rPr>
          <w:lang w:val="es-MX"/>
        </w:rPr>
        <w:t>amortizaciones de deuda interna de largo plazo</w:t>
      </w:r>
      <w:r>
        <w:rPr>
          <w:lang w:val="es-MX"/>
        </w:rPr>
        <w:t xml:space="preserve">, </w:t>
      </w:r>
      <w:r w:rsidR="005F2EE7">
        <w:rPr>
          <w:lang w:val="es-MX"/>
        </w:rPr>
        <w:t>amortizaciones de préstamos</w:t>
      </w:r>
      <w:r>
        <w:rPr>
          <w:lang w:val="es-MX"/>
        </w:rPr>
        <w:t xml:space="preserve"> externos, entre otros.</w:t>
      </w:r>
    </w:p>
    <w:p w14:paraId="258DF012" w14:textId="77777777" w:rsidR="005F2EE7" w:rsidRDefault="005F2EE7" w:rsidP="005F2EE7">
      <w:pPr>
        <w:jc w:val="both"/>
        <w:rPr>
          <w:lang w:val="es-MX"/>
        </w:rPr>
      </w:pPr>
    </w:p>
    <w:p w14:paraId="513FA9CC" w14:textId="6A8C39AD" w:rsidR="005F2EE7" w:rsidRDefault="002210C1" w:rsidP="005F2EE7">
      <w:pPr>
        <w:jc w:val="both"/>
        <w:rPr>
          <w:lang w:val="es-MX"/>
        </w:rPr>
      </w:pPr>
      <w:r>
        <w:rPr>
          <w:lang w:val="es-MX"/>
        </w:rPr>
        <w:t>P</w:t>
      </w:r>
      <w:r w:rsidR="005F2EE7">
        <w:rPr>
          <w:lang w:val="es-MX"/>
        </w:rPr>
        <w:t>or su parte, el Ministerio de Salud</w:t>
      </w:r>
      <w:r>
        <w:rPr>
          <w:lang w:val="es-MX"/>
        </w:rPr>
        <w:t xml:space="preserve"> Pública y Asistencia Social</w:t>
      </w:r>
      <w:r w:rsidR="005F2EE7">
        <w:rPr>
          <w:lang w:val="es-MX"/>
        </w:rPr>
        <w:t xml:space="preserve"> y el</w:t>
      </w:r>
      <w:r>
        <w:rPr>
          <w:lang w:val="es-MX"/>
        </w:rPr>
        <w:t xml:space="preserve"> Ministerio </w:t>
      </w:r>
      <w:r w:rsidR="005F2EE7">
        <w:rPr>
          <w:lang w:val="es-MX"/>
        </w:rPr>
        <w:t>de la Defensa</w:t>
      </w:r>
      <w:r>
        <w:rPr>
          <w:lang w:val="es-MX"/>
        </w:rPr>
        <w:t xml:space="preserve"> Nacional </w:t>
      </w:r>
      <w:r w:rsidR="005F2EE7">
        <w:rPr>
          <w:lang w:val="es-MX"/>
        </w:rPr>
        <w:t>tuvieron una ejecución</w:t>
      </w:r>
      <w:r>
        <w:rPr>
          <w:lang w:val="es-MX"/>
        </w:rPr>
        <w:t xml:space="preserve"> a junio de 2023,</w:t>
      </w:r>
      <w:r w:rsidR="005F2EE7">
        <w:rPr>
          <w:lang w:val="es-MX"/>
        </w:rPr>
        <w:t xml:space="preserve"> menor a lo observado al mismo período de 2022.</w:t>
      </w:r>
    </w:p>
    <w:p w14:paraId="1261C6FC" w14:textId="77777777" w:rsidR="005F2EE7" w:rsidRDefault="005F2EE7" w:rsidP="005F2EE7">
      <w:pPr>
        <w:jc w:val="both"/>
        <w:rPr>
          <w:lang w:val="es-MX"/>
        </w:rPr>
      </w:pPr>
    </w:p>
    <w:p w14:paraId="559CFF35" w14:textId="77777777" w:rsidR="005F2EE7" w:rsidRPr="00451BC5" w:rsidRDefault="005F2EE7" w:rsidP="005F2EE7">
      <w:pPr>
        <w:jc w:val="center"/>
        <w:rPr>
          <w:b/>
          <w:szCs w:val="22"/>
          <w:lang w:val="es-MX"/>
        </w:rPr>
      </w:pPr>
      <w:r w:rsidRPr="00451BC5">
        <w:rPr>
          <w:b/>
          <w:szCs w:val="22"/>
          <w:lang w:val="es-MX"/>
        </w:rPr>
        <w:t>Gráfica 1</w:t>
      </w:r>
      <w:r>
        <w:rPr>
          <w:b/>
          <w:szCs w:val="22"/>
          <w:lang w:val="es-MX"/>
        </w:rPr>
        <w:t>2</w:t>
      </w:r>
    </w:p>
    <w:p w14:paraId="02F77D62" w14:textId="77777777" w:rsidR="005F2EE7" w:rsidRPr="00451BC5" w:rsidRDefault="005F2EE7" w:rsidP="005F2EE7">
      <w:pPr>
        <w:jc w:val="center"/>
        <w:rPr>
          <w:b/>
          <w:szCs w:val="22"/>
          <w:lang w:val="es-MX"/>
        </w:rPr>
      </w:pPr>
      <w:r w:rsidRPr="00451BC5">
        <w:rPr>
          <w:b/>
          <w:szCs w:val="22"/>
          <w:lang w:val="es-MX"/>
        </w:rPr>
        <w:t>Ejecución Presupuestaria por Grupo de Entidades</w:t>
      </w:r>
    </w:p>
    <w:p w14:paraId="6B91C601" w14:textId="4C4EBE0A" w:rsidR="005F2EE7" w:rsidRPr="00451BC5" w:rsidRDefault="005F2EE7" w:rsidP="005F2EE7">
      <w:pPr>
        <w:jc w:val="center"/>
        <w:rPr>
          <w:b/>
          <w:szCs w:val="22"/>
          <w:lang w:val="es-MX"/>
        </w:rPr>
      </w:pPr>
      <w:r w:rsidRPr="00451BC5">
        <w:rPr>
          <w:b/>
          <w:szCs w:val="22"/>
          <w:lang w:val="es-MX"/>
        </w:rPr>
        <w:t>Comparativo al 30 de junio de 20</w:t>
      </w:r>
      <w:r>
        <w:rPr>
          <w:b/>
          <w:szCs w:val="22"/>
          <w:lang w:val="es-MX"/>
        </w:rPr>
        <w:t>2</w:t>
      </w:r>
      <w:r w:rsidR="003244B1">
        <w:rPr>
          <w:b/>
          <w:szCs w:val="22"/>
          <w:lang w:val="es-MX"/>
        </w:rPr>
        <w:t>2</w:t>
      </w:r>
      <w:r w:rsidRPr="00451BC5">
        <w:rPr>
          <w:b/>
          <w:szCs w:val="22"/>
          <w:lang w:val="es-MX"/>
        </w:rPr>
        <w:t xml:space="preserve"> y 202</w:t>
      </w:r>
      <w:r w:rsidR="003244B1">
        <w:rPr>
          <w:b/>
          <w:szCs w:val="22"/>
          <w:lang w:val="es-MX"/>
        </w:rPr>
        <w:t>3</w:t>
      </w:r>
      <w:r w:rsidRPr="00451BC5">
        <w:rPr>
          <w:b/>
          <w:szCs w:val="22"/>
          <w:lang w:val="es-MX"/>
        </w:rPr>
        <w:t>*</w:t>
      </w:r>
    </w:p>
    <w:p w14:paraId="5266176A" w14:textId="77777777" w:rsidR="005F2EE7" w:rsidRPr="00451BC5" w:rsidRDefault="005F2EE7" w:rsidP="005F2EE7">
      <w:pPr>
        <w:jc w:val="center"/>
        <w:rPr>
          <w:b/>
          <w:szCs w:val="22"/>
          <w:lang w:val="es-MX"/>
        </w:rPr>
      </w:pPr>
      <w:r w:rsidRPr="00451BC5">
        <w:rPr>
          <w:b/>
          <w:szCs w:val="22"/>
          <w:lang w:val="es-MX"/>
        </w:rPr>
        <w:t>(</w:t>
      </w:r>
      <w:r>
        <w:rPr>
          <w:b/>
          <w:szCs w:val="22"/>
          <w:lang w:val="es-MX"/>
        </w:rPr>
        <w:t xml:space="preserve">Estructura </w:t>
      </w:r>
      <w:r w:rsidRPr="00451BC5">
        <w:rPr>
          <w:b/>
          <w:szCs w:val="22"/>
          <w:lang w:val="es-MX"/>
        </w:rPr>
        <w:t>Porcent</w:t>
      </w:r>
      <w:r>
        <w:rPr>
          <w:b/>
          <w:szCs w:val="22"/>
          <w:lang w:val="es-MX"/>
        </w:rPr>
        <w:t>ual</w:t>
      </w:r>
      <w:r w:rsidRPr="00451BC5">
        <w:rPr>
          <w:b/>
          <w:szCs w:val="22"/>
          <w:lang w:val="es-MX"/>
        </w:rPr>
        <w:t xml:space="preserve"> de Ejecución)</w:t>
      </w:r>
    </w:p>
    <w:p w14:paraId="319D2270" w14:textId="77777777" w:rsidR="005F2EE7" w:rsidRDefault="005F2EE7" w:rsidP="005F2EE7">
      <w:pPr>
        <w:jc w:val="center"/>
        <w:rPr>
          <w:i/>
          <w:sz w:val="22"/>
          <w:lang w:val="es-MX"/>
        </w:rPr>
      </w:pPr>
      <w:r>
        <w:rPr>
          <w:noProof/>
        </w:rPr>
        <w:drawing>
          <wp:inline distT="0" distB="0" distL="0" distR="0" wp14:anchorId="589E5E51" wp14:editId="2321AF2D">
            <wp:extent cx="2268187" cy="1858010"/>
            <wp:effectExtent l="0" t="0" r="0" b="0"/>
            <wp:docPr id="13" name="Gráfico 13">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noProof/>
          <w:lang w:val="es-GT" w:eastAsia="es-GT"/>
        </w:rPr>
        <w:t xml:space="preserve">      </w:t>
      </w:r>
      <w:r>
        <w:rPr>
          <w:noProof/>
        </w:rPr>
        <w:drawing>
          <wp:inline distT="0" distB="0" distL="0" distR="0" wp14:anchorId="49E9DFB6" wp14:editId="70036678">
            <wp:extent cx="2368492" cy="1781299"/>
            <wp:effectExtent l="0" t="0" r="0" b="0"/>
            <wp:docPr id="23" name="Gráfico 23">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43EEFDC" w14:textId="77777777" w:rsidR="005F2EE7" w:rsidRDefault="005F2EE7" w:rsidP="005F2EE7">
      <w:pPr>
        <w:ind w:left="142"/>
        <w:rPr>
          <w:sz w:val="18"/>
          <w:lang w:val="es-MX"/>
        </w:rPr>
      </w:pPr>
      <w:r w:rsidRPr="004B1436">
        <w:rPr>
          <w:sz w:val="18"/>
          <w:lang w:val="es-MX"/>
        </w:rPr>
        <w:t>* Cifras preliminares</w:t>
      </w:r>
    </w:p>
    <w:p w14:paraId="2D84CE93" w14:textId="77777777" w:rsidR="005F2EE7" w:rsidRPr="004B1436" w:rsidRDefault="005F2EE7" w:rsidP="005F2EE7">
      <w:pPr>
        <w:rPr>
          <w:sz w:val="20"/>
          <w:lang w:val="es-MX"/>
        </w:rPr>
      </w:pPr>
      <w:r w:rsidRPr="004B1436">
        <w:rPr>
          <w:i/>
          <w:sz w:val="28"/>
          <w:lang w:val="es-MX"/>
        </w:rPr>
        <w:t xml:space="preserve"> </w:t>
      </w:r>
      <w:r>
        <w:rPr>
          <w:i/>
          <w:sz w:val="28"/>
          <w:lang w:val="es-MX"/>
        </w:rPr>
        <w:t xml:space="preserve">  </w:t>
      </w:r>
      <w:r w:rsidRPr="004B1436">
        <w:rPr>
          <w:i/>
          <w:sz w:val="28"/>
          <w:lang w:val="es-MX"/>
        </w:rPr>
        <w:t xml:space="preserve"> </w:t>
      </w:r>
      <w:r w:rsidRPr="004B1436">
        <w:rPr>
          <w:sz w:val="18"/>
          <w:lang w:val="es-MX"/>
        </w:rPr>
        <w:t>Fuente: Ministerio de Finanzas Públicas con base al SICOIN.</w:t>
      </w:r>
    </w:p>
    <w:p w14:paraId="1A988FD8" w14:textId="77777777" w:rsidR="005F2EE7" w:rsidRDefault="005F2EE7" w:rsidP="005F2EE7">
      <w:pPr>
        <w:jc w:val="both"/>
        <w:rPr>
          <w:lang w:val="es-MX"/>
        </w:rPr>
      </w:pPr>
    </w:p>
    <w:p w14:paraId="69D30671" w14:textId="284D84F6" w:rsidR="005F2EE7" w:rsidRDefault="005F2EE7" w:rsidP="005F2EE7">
      <w:pPr>
        <w:jc w:val="both"/>
        <w:rPr>
          <w:lang w:val="es-MX"/>
        </w:rPr>
      </w:pPr>
      <w:r>
        <w:rPr>
          <w:lang w:val="es-MX"/>
        </w:rPr>
        <w:t>En lo que se refiere a la disminución de la ejecución</w:t>
      </w:r>
      <w:r w:rsidR="008A0ED0">
        <w:rPr>
          <w:lang w:val="es-MX"/>
        </w:rPr>
        <w:t xml:space="preserve"> a junio de 2023,</w:t>
      </w:r>
      <w:r>
        <w:rPr>
          <w:lang w:val="es-MX"/>
        </w:rPr>
        <w:t xml:space="preserve"> respecto del año anterior, fueron pocas las entidades que ejecutaron</w:t>
      </w:r>
      <w:r w:rsidR="008A0ED0">
        <w:rPr>
          <w:lang w:val="es-MX"/>
        </w:rPr>
        <w:t xml:space="preserve"> un monto menor, entre las que destaca</w:t>
      </w:r>
      <w:r>
        <w:rPr>
          <w:lang w:val="es-MX"/>
        </w:rPr>
        <w:t xml:space="preserve"> el Ministerio de Energía y Minas </w:t>
      </w:r>
      <w:r w:rsidR="008A0ED0">
        <w:rPr>
          <w:lang w:val="es-MX"/>
        </w:rPr>
        <w:t>con</w:t>
      </w:r>
      <w:r>
        <w:rPr>
          <w:lang w:val="es-MX"/>
        </w:rPr>
        <w:t xml:space="preserve"> un monto menor de Q</w:t>
      </w:r>
      <w:r w:rsidR="008A0ED0">
        <w:rPr>
          <w:lang w:val="es-MX"/>
        </w:rPr>
        <w:t>.</w:t>
      </w:r>
      <w:r>
        <w:rPr>
          <w:lang w:val="es-MX"/>
        </w:rPr>
        <w:t xml:space="preserve">1,197.1 millones, que </w:t>
      </w:r>
      <w:r w:rsidR="008A0ED0">
        <w:rPr>
          <w:lang w:val="es-MX"/>
        </w:rPr>
        <w:t>corresponde</w:t>
      </w:r>
      <w:r>
        <w:rPr>
          <w:lang w:val="es-MX"/>
        </w:rPr>
        <w:t xml:space="preserve"> al subsidio a los combustibles y al gas propano que se</w:t>
      </w:r>
      <w:r w:rsidR="008A0ED0">
        <w:rPr>
          <w:lang w:val="es-MX"/>
        </w:rPr>
        <w:t xml:space="preserve"> autorizó en</w:t>
      </w:r>
      <w:r>
        <w:rPr>
          <w:lang w:val="es-MX"/>
        </w:rPr>
        <w:t xml:space="preserve"> 2022.</w:t>
      </w:r>
    </w:p>
    <w:p w14:paraId="5FAB06FF" w14:textId="77777777" w:rsidR="005F2EE7" w:rsidRDefault="005F2EE7" w:rsidP="005F2EE7">
      <w:pPr>
        <w:jc w:val="both"/>
        <w:rPr>
          <w:lang w:val="es-MX"/>
        </w:rPr>
      </w:pPr>
    </w:p>
    <w:p w14:paraId="54F83C3B" w14:textId="77777777" w:rsidR="005F2EE7" w:rsidRDefault="005F2EE7" w:rsidP="005F2EE7">
      <w:pPr>
        <w:jc w:val="both"/>
        <w:rPr>
          <w:lang w:val="es-MX"/>
        </w:rPr>
      </w:pPr>
    </w:p>
    <w:p w14:paraId="522B812B" w14:textId="77777777" w:rsidR="005F2EE7" w:rsidRPr="00451BC5" w:rsidRDefault="005F2EE7" w:rsidP="005F2EE7">
      <w:pPr>
        <w:jc w:val="center"/>
        <w:rPr>
          <w:b/>
          <w:szCs w:val="22"/>
          <w:lang w:val="es-MX"/>
        </w:rPr>
      </w:pPr>
      <w:r w:rsidRPr="00451BC5">
        <w:rPr>
          <w:b/>
          <w:szCs w:val="22"/>
          <w:lang w:val="es-MX"/>
        </w:rPr>
        <w:t>Cuadro 5</w:t>
      </w:r>
    </w:p>
    <w:p w14:paraId="6A073160" w14:textId="77777777" w:rsidR="005F2EE7" w:rsidRPr="00451BC5" w:rsidRDefault="005F2EE7" w:rsidP="005F2EE7">
      <w:pPr>
        <w:jc w:val="center"/>
        <w:rPr>
          <w:b/>
          <w:szCs w:val="22"/>
          <w:lang w:val="es-MX"/>
        </w:rPr>
      </w:pPr>
      <w:r w:rsidRPr="00451BC5">
        <w:rPr>
          <w:b/>
          <w:szCs w:val="22"/>
          <w:lang w:val="es-MX"/>
        </w:rPr>
        <w:t>Ejecución Presupuestaria por Entidad</w:t>
      </w:r>
    </w:p>
    <w:p w14:paraId="30FE1927" w14:textId="3D78F7E9" w:rsidR="005F2EE7" w:rsidRPr="00451BC5" w:rsidRDefault="005F2EE7" w:rsidP="005F2EE7">
      <w:pPr>
        <w:jc w:val="center"/>
        <w:rPr>
          <w:b/>
          <w:szCs w:val="22"/>
          <w:lang w:val="es-MX"/>
        </w:rPr>
      </w:pPr>
      <w:r w:rsidRPr="00451BC5">
        <w:rPr>
          <w:b/>
          <w:szCs w:val="22"/>
          <w:lang w:val="es-MX"/>
        </w:rPr>
        <w:t>Al 30 de junio de 20</w:t>
      </w:r>
      <w:r>
        <w:rPr>
          <w:b/>
          <w:szCs w:val="22"/>
          <w:lang w:val="es-MX"/>
        </w:rPr>
        <w:t>22</w:t>
      </w:r>
      <w:r w:rsidRPr="00451BC5">
        <w:rPr>
          <w:b/>
          <w:szCs w:val="22"/>
          <w:lang w:val="es-MX"/>
        </w:rPr>
        <w:t xml:space="preserve"> </w:t>
      </w:r>
      <w:r w:rsidR="00400B3E">
        <w:rPr>
          <w:b/>
          <w:szCs w:val="22"/>
          <w:lang w:val="es-MX"/>
        </w:rPr>
        <w:t>y</w:t>
      </w:r>
      <w:r w:rsidRPr="00451BC5">
        <w:rPr>
          <w:b/>
          <w:szCs w:val="22"/>
          <w:lang w:val="es-MX"/>
        </w:rPr>
        <w:t xml:space="preserve"> 202</w:t>
      </w:r>
      <w:r>
        <w:rPr>
          <w:b/>
          <w:szCs w:val="22"/>
          <w:lang w:val="es-MX"/>
        </w:rPr>
        <w:t>3*</w:t>
      </w:r>
    </w:p>
    <w:p w14:paraId="1F17A883" w14:textId="77777777" w:rsidR="005F2EE7" w:rsidRDefault="005F2EE7" w:rsidP="005F2EE7">
      <w:pPr>
        <w:jc w:val="center"/>
        <w:rPr>
          <w:rFonts w:ascii="Calibri" w:eastAsia="Calibri" w:hAnsi="Calibri"/>
          <w:sz w:val="20"/>
          <w:szCs w:val="20"/>
          <w:lang w:val="es-MX" w:eastAsia="es-MX"/>
        </w:rPr>
      </w:pPr>
      <w:r w:rsidRPr="00451BC5">
        <w:rPr>
          <w:b/>
          <w:szCs w:val="22"/>
          <w:lang w:val="es-MX"/>
        </w:rPr>
        <w:t>(Cifras en Millones de Quetzales)</w:t>
      </w:r>
      <w:r>
        <w:rPr>
          <w:sz w:val="18"/>
          <w:lang w:val="es-MX"/>
        </w:rPr>
        <w:fldChar w:fldCharType="begin"/>
      </w:r>
      <w:r>
        <w:rPr>
          <w:sz w:val="18"/>
          <w:lang w:val="es-MX"/>
        </w:rPr>
        <w:instrText xml:space="preserve"> LINK Excel.Sheet.12 "C:\\Users\\deefoper12\\Documents\\Mis Documentos\\2022\\DTF 2022\\Informe fin de año 2021\\Cuadros para Informe de Medio Año 21 Y 22.xlsx" "X Entidad!F3C2:F24C10" \a \f 4 \h  \* MERGEFORMAT </w:instrText>
      </w:r>
      <w:r>
        <w:rPr>
          <w:sz w:val="18"/>
          <w:lang w:val="es-MX"/>
        </w:rPr>
        <w:fldChar w:fldCharType="separate"/>
      </w:r>
    </w:p>
    <w:p w14:paraId="69A87E08" w14:textId="77777777" w:rsidR="005F2EE7" w:rsidRPr="00B55626" w:rsidRDefault="005F2EE7" w:rsidP="005F2EE7">
      <w:pPr>
        <w:rPr>
          <w:sz w:val="18"/>
          <w:lang w:val="es-MX"/>
        </w:rPr>
      </w:pPr>
      <w:r>
        <w:rPr>
          <w:sz w:val="18"/>
          <w:lang w:val="es-MX"/>
        </w:rPr>
        <w:fldChar w:fldCharType="end"/>
      </w:r>
    </w:p>
    <w:tbl>
      <w:tblPr>
        <w:tblW w:w="9062" w:type="dxa"/>
        <w:jc w:val="center"/>
        <w:tblLayout w:type="fixed"/>
        <w:tblCellMar>
          <w:left w:w="70" w:type="dxa"/>
          <w:right w:w="70" w:type="dxa"/>
        </w:tblCellMar>
        <w:tblLook w:val="04A0" w:firstRow="1" w:lastRow="0" w:firstColumn="1" w:lastColumn="0" w:noHBand="0" w:noVBand="1"/>
      </w:tblPr>
      <w:tblGrid>
        <w:gridCol w:w="2127"/>
        <w:gridCol w:w="851"/>
        <w:gridCol w:w="850"/>
        <w:gridCol w:w="982"/>
        <w:gridCol w:w="992"/>
        <w:gridCol w:w="851"/>
        <w:gridCol w:w="850"/>
        <w:gridCol w:w="709"/>
        <w:gridCol w:w="850"/>
      </w:tblGrid>
      <w:tr w:rsidR="005F2EE7" w:rsidRPr="008F7BCB" w14:paraId="448A1C56" w14:textId="77777777" w:rsidTr="00400B3E">
        <w:trPr>
          <w:trHeight w:val="180"/>
          <w:jc w:val="center"/>
        </w:trPr>
        <w:tc>
          <w:tcPr>
            <w:tcW w:w="2127" w:type="dxa"/>
            <w:vMerge w:val="restart"/>
            <w:tcBorders>
              <w:top w:val="single" w:sz="8" w:space="0" w:color="auto"/>
              <w:left w:val="single" w:sz="8" w:space="0" w:color="auto"/>
              <w:bottom w:val="single" w:sz="4" w:space="0" w:color="000000"/>
              <w:right w:val="nil"/>
            </w:tcBorders>
            <w:shd w:val="clear" w:color="auto" w:fill="00B0F0"/>
            <w:vAlign w:val="center"/>
            <w:hideMark/>
          </w:tcPr>
          <w:p w14:paraId="7FF7EDF1"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Devengado por Entidad</w:t>
            </w:r>
          </w:p>
        </w:tc>
        <w:tc>
          <w:tcPr>
            <w:tcW w:w="851"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65702C1C"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2022</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1B592E3A"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2023</w:t>
            </w:r>
          </w:p>
        </w:tc>
        <w:tc>
          <w:tcPr>
            <w:tcW w:w="1974" w:type="dxa"/>
            <w:gridSpan w:val="2"/>
            <w:tcBorders>
              <w:top w:val="single" w:sz="8" w:space="0" w:color="auto"/>
              <w:left w:val="single" w:sz="4" w:space="0" w:color="auto"/>
              <w:bottom w:val="single" w:sz="4" w:space="0" w:color="auto"/>
              <w:right w:val="single" w:sz="8" w:space="0" w:color="000000"/>
            </w:tcBorders>
            <w:shd w:val="clear" w:color="auto" w:fill="00B0F0"/>
            <w:noWrap/>
            <w:vAlign w:val="center"/>
            <w:hideMark/>
          </w:tcPr>
          <w:p w14:paraId="474F2ACE"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Diferencias</w:t>
            </w:r>
          </w:p>
        </w:tc>
        <w:tc>
          <w:tcPr>
            <w:tcW w:w="1701" w:type="dxa"/>
            <w:gridSpan w:val="2"/>
            <w:tcBorders>
              <w:top w:val="single" w:sz="8" w:space="0" w:color="auto"/>
              <w:left w:val="nil"/>
              <w:bottom w:val="single" w:sz="4" w:space="0" w:color="auto"/>
              <w:right w:val="single" w:sz="8" w:space="0" w:color="000000"/>
            </w:tcBorders>
            <w:shd w:val="clear" w:color="auto" w:fill="00B0F0"/>
            <w:vAlign w:val="center"/>
            <w:hideMark/>
          </w:tcPr>
          <w:p w14:paraId="432A0278"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Estructura Porcentual</w:t>
            </w:r>
          </w:p>
        </w:tc>
        <w:tc>
          <w:tcPr>
            <w:tcW w:w="1559" w:type="dxa"/>
            <w:gridSpan w:val="2"/>
            <w:tcBorders>
              <w:top w:val="single" w:sz="8" w:space="0" w:color="auto"/>
              <w:left w:val="nil"/>
              <w:bottom w:val="single" w:sz="4" w:space="0" w:color="auto"/>
              <w:right w:val="single" w:sz="8" w:space="0" w:color="000000"/>
            </w:tcBorders>
            <w:shd w:val="clear" w:color="auto" w:fill="00B0F0"/>
            <w:vAlign w:val="center"/>
            <w:hideMark/>
          </w:tcPr>
          <w:p w14:paraId="3DAD8312"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Estructura por grupo</w:t>
            </w:r>
          </w:p>
        </w:tc>
      </w:tr>
      <w:tr w:rsidR="005F2EE7" w:rsidRPr="008F7BCB" w14:paraId="00E84C5B" w14:textId="77777777" w:rsidTr="00400B3E">
        <w:trPr>
          <w:trHeight w:val="180"/>
          <w:jc w:val="center"/>
        </w:trPr>
        <w:tc>
          <w:tcPr>
            <w:tcW w:w="2127" w:type="dxa"/>
            <w:vMerge/>
            <w:tcBorders>
              <w:top w:val="single" w:sz="8" w:space="0" w:color="auto"/>
              <w:left w:val="single" w:sz="8" w:space="0" w:color="auto"/>
              <w:bottom w:val="single" w:sz="4" w:space="0" w:color="000000"/>
              <w:right w:val="nil"/>
            </w:tcBorders>
            <w:vAlign w:val="center"/>
            <w:hideMark/>
          </w:tcPr>
          <w:p w14:paraId="016DDE12" w14:textId="77777777" w:rsidR="005F2EE7" w:rsidRPr="008F7BCB" w:rsidRDefault="005F2EE7" w:rsidP="0042480D">
            <w:pPr>
              <w:rPr>
                <w:b/>
                <w:bCs/>
                <w:color w:val="000000"/>
                <w:sz w:val="16"/>
                <w:szCs w:val="22"/>
                <w:lang w:val="es-GT" w:eastAsia="es-GT"/>
              </w:rPr>
            </w:pPr>
          </w:p>
        </w:tc>
        <w:tc>
          <w:tcPr>
            <w:tcW w:w="851" w:type="dxa"/>
            <w:vMerge/>
            <w:tcBorders>
              <w:top w:val="single" w:sz="8" w:space="0" w:color="auto"/>
              <w:left w:val="single" w:sz="4" w:space="0" w:color="auto"/>
              <w:bottom w:val="single" w:sz="4" w:space="0" w:color="000000"/>
              <w:right w:val="single" w:sz="4" w:space="0" w:color="auto"/>
            </w:tcBorders>
            <w:vAlign w:val="center"/>
            <w:hideMark/>
          </w:tcPr>
          <w:p w14:paraId="6EED0F4F" w14:textId="77777777" w:rsidR="005F2EE7" w:rsidRPr="008F7BCB" w:rsidRDefault="005F2EE7" w:rsidP="0042480D">
            <w:pPr>
              <w:rPr>
                <w:b/>
                <w:bCs/>
                <w:color w:val="000000"/>
                <w:sz w:val="16"/>
                <w:szCs w:val="22"/>
                <w:lang w:val="es-GT" w:eastAsia="es-GT"/>
              </w:rPr>
            </w:pPr>
          </w:p>
        </w:tc>
        <w:tc>
          <w:tcPr>
            <w:tcW w:w="850" w:type="dxa"/>
            <w:vMerge/>
            <w:tcBorders>
              <w:top w:val="single" w:sz="8" w:space="0" w:color="auto"/>
              <w:left w:val="single" w:sz="4" w:space="0" w:color="auto"/>
              <w:bottom w:val="single" w:sz="4" w:space="0" w:color="000000"/>
              <w:right w:val="single" w:sz="4" w:space="0" w:color="auto"/>
            </w:tcBorders>
            <w:vAlign w:val="center"/>
            <w:hideMark/>
          </w:tcPr>
          <w:p w14:paraId="17714170" w14:textId="77777777" w:rsidR="005F2EE7" w:rsidRPr="008F7BCB" w:rsidRDefault="005F2EE7" w:rsidP="0042480D">
            <w:pPr>
              <w:rPr>
                <w:b/>
                <w:bCs/>
                <w:color w:val="000000"/>
                <w:sz w:val="16"/>
                <w:szCs w:val="22"/>
                <w:lang w:val="es-GT" w:eastAsia="es-GT"/>
              </w:rPr>
            </w:pPr>
          </w:p>
        </w:tc>
        <w:tc>
          <w:tcPr>
            <w:tcW w:w="982" w:type="dxa"/>
            <w:tcBorders>
              <w:top w:val="nil"/>
              <w:left w:val="nil"/>
              <w:bottom w:val="single" w:sz="4" w:space="0" w:color="auto"/>
              <w:right w:val="single" w:sz="4" w:space="0" w:color="auto"/>
            </w:tcBorders>
            <w:shd w:val="clear" w:color="auto" w:fill="00B0F0"/>
            <w:noWrap/>
            <w:vAlign w:val="bottom"/>
            <w:hideMark/>
          </w:tcPr>
          <w:p w14:paraId="6EE82EBD"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Absolutas</w:t>
            </w:r>
          </w:p>
        </w:tc>
        <w:tc>
          <w:tcPr>
            <w:tcW w:w="992" w:type="dxa"/>
            <w:tcBorders>
              <w:top w:val="single" w:sz="4" w:space="0" w:color="auto"/>
              <w:left w:val="nil"/>
              <w:bottom w:val="single" w:sz="4" w:space="0" w:color="auto"/>
              <w:right w:val="single" w:sz="8" w:space="0" w:color="auto"/>
            </w:tcBorders>
            <w:shd w:val="clear" w:color="auto" w:fill="00B0F0"/>
            <w:noWrap/>
            <w:vAlign w:val="bottom"/>
            <w:hideMark/>
          </w:tcPr>
          <w:p w14:paraId="5C560CAF"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Relativas</w:t>
            </w:r>
          </w:p>
        </w:tc>
        <w:tc>
          <w:tcPr>
            <w:tcW w:w="851" w:type="dxa"/>
            <w:tcBorders>
              <w:top w:val="nil"/>
              <w:left w:val="nil"/>
              <w:bottom w:val="single" w:sz="4" w:space="0" w:color="auto"/>
              <w:right w:val="single" w:sz="4" w:space="0" w:color="auto"/>
            </w:tcBorders>
            <w:shd w:val="clear" w:color="auto" w:fill="00B0F0"/>
            <w:noWrap/>
            <w:vAlign w:val="bottom"/>
            <w:hideMark/>
          </w:tcPr>
          <w:p w14:paraId="6C317182"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2022</w:t>
            </w:r>
          </w:p>
        </w:tc>
        <w:tc>
          <w:tcPr>
            <w:tcW w:w="850" w:type="dxa"/>
            <w:tcBorders>
              <w:top w:val="nil"/>
              <w:left w:val="nil"/>
              <w:bottom w:val="single" w:sz="4" w:space="0" w:color="auto"/>
              <w:right w:val="single" w:sz="8" w:space="0" w:color="auto"/>
            </w:tcBorders>
            <w:shd w:val="clear" w:color="auto" w:fill="00B0F0"/>
            <w:noWrap/>
            <w:vAlign w:val="bottom"/>
            <w:hideMark/>
          </w:tcPr>
          <w:p w14:paraId="3FDC838F"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2023</w:t>
            </w:r>
          </w:p>
        </w:tc>
        <w:tc>
          <w:tcPr>
            <w:tcW w:w="709" w:type="dxa"/>
            <w:tcBorders>
              <w:top w:val="nil"/>
              <w:left w:val="nil"/>
              <w:bottom w:val="single" w:sz="4" w:space="0" w:color="auto"/>
              <w:right w:val="single" w:sz="4" w:space="0" w:color="auto"/>
            </w:tcBorders>
            <w:shd w:val="clear" w:color="auto" w:fill="00B0F0"/>
            <w:noWrap/>
            <w:vAlign w:val="bottom"/>
            <w:hideMark/>
          </w:tcPr>
          <w:p w14:paraId="09AFDE31"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2022</w:t>
            </w:r>
          </w:p>
        </w:tc>
        <w:tc>
          <w:tcPr>
            <w:tcW w:w="850" w:type="dxa"/>
            <w:tcBorders>
              <w:top w:val="nil"/>
              <w:left w:val="nil"/>
              <w:bottom w:val="single" w:sz="4" w:space="0" w:color="auto"/>
              <w:right w:val="single" w:sz="8" w:space="0" w:color="auto"/>
            </w:tcBorders>
            <w:shd w:val="clear" w:color="auto" w:fill="00B0F0"/>
            <w:noWrap/>
            <w:vAlign w:val="bottom"/>
            <w:hideMark/>
          </w:tcPr>
          <w:p w14:paraId="3AEBBE17"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2023</w:t>
            </w:r>
          </w:p>
        </w:tc>
      </w:tr>
      <w:tr w:rsidR="005F2EE7" w:rsidRPr="008F7BCB" w14:paraId="4E7B0BF2" w14:textId="77777777" w:rsidTr="008A0ED0">
        <w:trPr>
          <w:trHeight w:val="180"/>
          <w:jc w:val="center"/>
        </w:trPr>
        <w:tc>
          <w:tcPr>
            <w:tcW w:w="2127" w:type="dxa"/>
            <w:tcBorders>
              <w:top w:val="nil"/>
              <w:left w:val="single" w:sz="8" w:space="0" w:color="auto"/>
              <w:bottom w:val="nil"/>
              <w:right w:val="nil"/>
            </w:tcBorders>
            <w:shd w:val="clear" w:color="000000" w:fill="FFFFFF"/>
            <w:noWrap/>
            <w:vAlign w:val="bottom"/>
            <w:hideMark/>
          </w:tcPr>
          <w:p w14:paraId="6AC5E3EC" w14:textId="77777777" w:rsidR="005F2EE7" w:rsidRPr="008F7BCB" w:rsidRDefault="005F2EE7" w:rsidP="0042480D">
            <w:pPr>
              <w:jc w:val="center"/>
              <w:rPr>
                <w:b/>
                <w:bCs/>
                <w:color w:val="000000"/>
                <w:sz w:val="16"/>
                <w:szCs w:val="20"/>
                <w:lang w:val="es-GT" w:eastAsia="es-GT"/>
              </w:rPr>
            </w:pPr>
            <w:r w:rsidRPr="008F7BCB">
              <w:rPr>
                <w:b/>
                <w:bCs/>
                <w:color w:val="000000"/>
                <w:sz w:val="16"/>
                <w:szCs w:val="20"/>
                <w:lang w:val="es-GT" w:eastAsia="es-GT"/>
              </w:rPr>
              <w:t>Total</w:t>
            </w:r>
          </w:p>
        </w:tc>
        <w:tc>
          <w:tcPr>
            <w:tcW w:w="851" w:type="dxa"/>
            <w:tcBorders>
              <w:top w:val="nil"/>
              <w:left w:val="single" w:sz="4" w:space="0" w:color="auto"/>
              <w:bottom w:val="nil"/>
              <w:right w:val="single" w:sz="4" w:space="0" w:color="auto"/>
            </w:tcBorders>
            <w:shd w:val="clear" w:color="000000" w:fill="FFFFFF"/>
            <w:noWrap/>
            <w:vAlign w:val="bottom"/>
            <w:hideMark/>
          </w:tcPr>
          <w:p w14:paraId="44C5BCA9" w14:textId="77777777" w:rsidR="005F2EE7" w:rsidRPr="008F7BCB" w:rsidRDefault="005F2EE7" w:rsidP="0042480D">
            <w:pPr>
              <w:jc w:val="right"/>
              <w:rPr>
                <w:b/>
                <w:bCs/>
                <w:color w:val="000000"/>
                <w:sz w:val="16"/>
                <w:szCs w:val="20"/>
                <w:lang w:val="es-GT" w:eastAsia="es-GT"/>
              </w:rPr>
            </w:pPr>
            <w:r w:rsidRPr="008F7BCB">
              <w:rPr>
                <w:b/>
                <w:bCs/>
                <w:color w:val="000000"/>
                <w:sz w:val="16"/>
                <w:szCs w:val="20"/>
                <w:lang w:val="es-GT" w:eastAsia="es-GT"/>
              </w:rPr>
              <w:t xml:space="preserve">  47,518.8 </w:t>
            </w:r>
          </w:p>
        </w:tc>
        <w:tc>
          <w:tcPr>
            <w:tcW w:w="850" w:type="dxa"/>
            <w:tcBorders>
              <w:top w:val="nil"/>
              <w:left w:val="nil"/>
              <w:bottom w:val="nil"/>
              <w:right w:val="single" w:sz="4" w:space="0" w:color="auto"/>
            </w:tcBorders>
            <w:shd w:val="clear" w:color="000000" w:fill="FFFFFF"/>
            <w:noWrap/>
            <w:vAlign w:val="bottom"/>
            <w:hideMark/>
          </w:tcPr>
          <w:p w14:paraId="70E3825F" w14:textId="77777777" w:rsidR="005F2EE7" w:rsidRPr="008F7BCB" w:rsidRDefault="005F2EE7" w:rsidP="0042480D">
            <w:pPr>
              <w:jc w:val="right"/>
              <w:rPr>
                <w:b/>
                <w:bCs/>
                <w:color w:val="000000"/>
                <w:sz w:val="16"/>
                <w:szCs w:val="20"/>
                <w:lang w:val="es-GT" w:eastAsia="es-GT"/>
              </w:rPr>
            </w:pPr>
            <w:r w:rsidRPr="008F7BCB">
              <w:rPr>
                <w:b/>
                <w:bCs/>
                <w:color w:val="000000"/>
                <w:sz w:val="16"/>
                <w:szCs w:val="20"/>
                <w:lang w:val="es-GT" w:eastAsia="es-GT"/>
              </w:rPr>
              <w:t xml:space="preserve">  54,863.3 </w:t>
            </w:r>
          </w:p>
        </w:tc>
        <w:tc>
          <w:tcPr>
            <w:tcW w:w="982" w:type="dxa"/>
            <w:tcBorders>
              <w:top w:val="single" w:sz="4" w:space="0" w:color="auto"/>
              <w:left w:val="nil"/>
              <w:bottom w:val="nil"/>
              <w:right w:val="single" w:sz="4" w:space="0" w:color="auto"/>
            </w:tcBorders>
            <w:shd w:val="clear" w:color="000000" w:fill="FFFFFF"/>
            <w:noWrap/>
            <w:vAlign w:val="bottom"/>
            <w:hideMark/>
          </w:tcPr>
          <w:p w14:paraId="630D74B0" w14:textId="77777777" w:rsidR="005F2EE7" w:rsidRPr="008F7BCB" w:rsidRDefault="005F2EE7" w:rsidP="0042480D">
            <w:pPr>
              <w:jc w:val="right"/>
              <w:rPr>
                <w:b/>
                <w:bCs/>
                <w:color w:val="000000"/>
                <w:sz w:val="16"/>
                <w:szCs w:val="20"/>
                <w:lang w:val="es-GT" w:eastAsia="es-GT"/>
              </w:rPr>
            </w:pPr>
            <w:r w:rsidRPr="008F7BCB">
              <w:rPr>
                <w:b/>
                <w:bCs/>
                <w:color w:val="000000"/>
                <w:sz w:val="16"/>
                <w:szCs w:val="20"/>
                <w:lang w:val="es-GT" w:eastAsia="es-GT"/>
              </w:rPr>
              <w:t xml:space="preserve">  7,344.5 </w:t>
            </w:r>
          </w:p>
        </w:tc>
        <w:tc>
          <w:tcPr>
            <w:tcW w:w="992" w:type="dxa"/>
            <w:tcBorders>
              <w:top w:val="nil"/>
              <w:left w:val="single" w:sz="4" w:space="0" w:color="auto"/>
              <w:bottom w:val="nil"/>
              <w:right w:val="single" w:sz="8" w:space="0" w:color="auto"/>
            </w:tcBorders>
            <w:shd w:val="clear" w:color="000000" w:fill="FFFFFF"/>
            <w:noWrap/>
            <w:vAlign w:val="bottom"/>
            <w:hideMark/>
          </w:tcPr>
          <w:p w14:paraId="16427FA6" w14:textId="77777777" w:rsidR="005F2EE7" w:rsidRPr="008F7BCB" w:rsidRDefault="005F2EE7" w:rsidP="0042480D">
            <w:pPr>
              <w:jc w:val="right"/>
              <w:rPr>
                <w:b/>
                <w:bCs/>
                <w:color w:val="000000"/>
                <w:sz w:val="16"/>
                <w:szCs w:val="22"/>
                <w:lang w:val="es-GT" w:eastAsia="es-GT"/>
              </w:rPr>
            </w:pPr>
            <w:r w:rsidRPr="008F7BCB">
              <w:rPr>
                <w:b/>
                <w:bCs/>
                <w:color w:val="000000"/>
                <w:sz w:val="16"/>
                <w:szCs w:val="22"/>
                <w:lang w:val="es-GT" w:eastAsia="es-GT"/>
              </w:rPr>
              <w:t>16.6%</w:t>
            </w:r>
          </w:p>
        </w:tc>
        <w:tc>
          <w:tcPr>
            <w:tcW w:w="851" w:type="dxa"/>
            <w:tcBorders>
              <w:top w:val="nil"/>
              <w:left w:val="nil"/>
              <w:bottom w:val="nil"/>
              <w:right w:val="single" w:sz="4" w:space="0" w:color="auto"/>
            </w:tcBorders>
            <w:shd w:val="clear" w:color="000000" w:fill="FFFFFF"/>
            <w:noWrap/>
            <w:vAlign w:val="bottom"/>
            <w:hideMark/>
          </w:tcPr>
          <w:p w14:paraId="1027B283"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100.0%</w:t>
            </w:r>
          </w:p>
        </w:tc>
        <w:tc>
          <w:tcPr>
            <w:tcW w:w="850" w:type="dxa"/>
            <w:tcBorders>
              <w:top w:val="nil"/>
              <w:left w:val="nil"/>
              <w:bottom w:val="nil"/>
              <w:right w:val="single" w:sz="8" w:space="0" w:color="auto"/>
            </w:tcBorders>
            <w:shd w:val="clear" w:color="000000" w:fill="FFFFFF"/>
            <w:noWrap/>
            <w:vAlign w:val="bottom"/>
            <w:hideMark/>
          </w:tcPr>
          <w:p w14:paraId="5DF80FB3"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100.0%</w:t>
            </w:r>
          </w:p>
        </w:tc>
        <w:tc>
          <w:tcPr>
            <w:tcW w:w="709" w:type="dxa"/>
            <w:tcBorders>
              <w:top w:val="nil"/>
              <w:left w:val="nil"/>
              <w:bottom w:val="nil"/>
              <w:right w:val="single" w:sz="4" w:space="0" w:color="auto"/>
            </w:tcBorders>
            <w:shd w:val="clear" w:color="000000" w:fill="FFFFFF"/>
            <w:noWrap/>
            <w:vAlign w:val="bottom"/>
            <w:hideMark/>
          </w:tcPr>
          <w:p w14:paraId="107F2424"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100.0%</w:t>
            </w:r>
          </w:p>
        </w:tc>
        <w:tc>
          <w:tcPr>
            <w:tcW w:w="850" w:type="dxa"/>
            <w:tcBorders>
              <w:top w:val="nil"/>
              <w:left w:val="nil"/>
              <w:bottom w:val="nil"/>
              <w:right w:val="single" w:sz="8" w:space="0" w:color="auto"/>
            </w:tcBorders>
            <w:shd w:val="clear" w:color="000000" w:fill="FFFFFF"/>
            <w:noWrap/>
            <w:vAlign w:val="bottom"/>
            <w:hideMark/>
          </w:tcPr>
          <w:p w14:paraId="789A31F2" w14:textId="77777777" w:rsidR="005F2EE7" w:rsidRPr="008F7BCB" w:rsidRDefault="005F2EE7" w:rsidP="0042480D">
            <w:pPr>
              <w:jc w:val="center"/>
              <w:rPr>
                <w:b/>
                <w:bCs/>
                <w:color w:val="000000"/>
                <w:sz w:val="16"/>
                <w:szCs w:val="22"/>
                <w:lang w:val="es-GT" w:eastAsia="es-GT"/>
              </w:rPr>
            </w:pPr>
            <w:r w:rsidRPr="008F7BCB">
              <w:rPr>
                <w:b/>
                <w:bCs/>
                <w:color w:val="000000"/>
                <w:sz w:val="16"/>
                <w:szCs w:val="22"/>
                <w:lang w:val="es-GT" w:eastAsia="es-GT"/>
              </w:rPr>
              <w:t>100.0%</w:t>
            </w:r>
          </w:p>
        </w:tc>
      </w:tr>
      <w:tr w:rsidR="005F2EE7" w:rsidRPr="008F7BCB" w14:paraId="28E3B4A6"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618626A4"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Obligaciones</w:t>
            </w:r>
          </w:p>
        </w:tc>
        <w:tc>
          <w:tcPr>
            <w:tcW w:w="851" w:type="dxa"/>
            <w:tcBorders>
              <w:top w:val="nil"/>
              <w:left w:val="single" w:sz="4" w:space="0" w:color="auto"/>
              <w:bottom w:val="nil"/>
              <w:right w:val="single" w:sz="4" w:space="0" w:color="auto"/>
            </w:tcBorders>
            <w:shd w:val="clear" w:color="000000" w:fill="FFFFFF"/>
            <w:noWrap/>
            <w:vAlign w:val="bottom"/>
            <w:hideMark/>
          </w:tcPr>
          <w:p w14:paraId="728558B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14,985.5</w:t>
            </w:r>
          </w:p>
        </w:tc>
        <w:tc>
          <w:tcPr>
            <w:tcW w:w="850" w:type="dxa"/>
            <w:tcBorders>
              <w:top w:val="nil"/>
              <w:left w:val="nil"/>
              <w:bottom w:val="nil"/>
              <w:right w:val="single" w:sz="4" w:space="0" w:color="auto"/>
            </w:tcBorders>
            <w:shd w:val="clear" w:color="000000" w:fill="FFFFFF"/>
            <w:noWrap/>
            <w:vAlign w:val="bottom"/>
            <w:hideMark/>
          </w:tcPr>
          <w:p w14:paraId="00A936FB"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17,535.0</w:t>
            </w:r>
          </w:p>
        </w:tc>
        <w:tc>
          <w:tcPr>
            <w:tcW w:w="982" w:type="dxa"/>
            <w:tcBorders>
              <w:top w:val="nil"/>
              <w:left w:val="nil"/>
              <w:bottom w:val="nil"/>
              <w:right w:val="single" w:sz="4" w:space="0" w:color="auto"/>
            </w:tcBorders>
            <w:shd w:val="clear" w:color="000000" w:fill="FFFFFF"/>
            <w:noWrap/>
            <w:vAlign w:val="bottom"/>
            <w:hideMark/>
          </w:tcPr>
          <w:p w14:paraId="76AEEE35"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2,549.5</w:t>
            </w:r>
          </w:p>
        </w:tc>
        <w:tc>
          <w:tcPr>
            <w:tcW w:w="992" w:type="dxa"/>
            <w:tcBorders>
              <w:top w:val="nil"/>
              <w:left w:val="single" w:sz="4" w:space="0" w:color="auto"/>
              <w:bottom w:val="nil"/>
              <w:right w:val="single" w:sz="8" w:space="0" w:color="auto"/>
            </w:tcBorders>
            <w:shd w:val="clear" w:color="000000" w:fill="FFFFFF"/>
            <w:noWrap/>
            <w:vAlign w:val="bottom"/>
            <w:hideMark/>
          </w:tcPr>
          <w:p w14:paraId="2FF55BD8"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17.0%</w:t>
            </w:r>
          </w:p>
        </w:tc>
        <w:tc>
          <w:tcPr>
            <w:tcW w:w="851" w:type="dxa"/>
            <w:tcBorders>
              <w:top w:val="nil"/>
              <w:left w:val="nil"/>
              <w:bottom w:val="nil"/>
              <w:right w:val="single" w:sz="4" w:space="0" w:color="auto"/>
            </w:tcBorders>
            <w:shd w:val="clear" w:color="000000" w:fill="FFFFFF"/>
            <w:noWrap/>
            <w:vAlign w:val="bottom"/>
            <w:hideMark/>
          </w:tcPr>
          <w:p w14:paraId="72D144C2"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31.5%</w:t>
            </w:r>
          </w:p>
        </w:tc>
        <w:tc>
          <w:tcPr>
            <w:tcW w:w="850" w:type="dxa"/>
            <w:tcBorders>
              <w:top w:val="nil"/>
              <w:left w:val="nil"/>
              <w:bottom w:val="nil"/>
              <w:right w:val="single" w:sz="8" w:space="0" w:color="auto"/>
            </w:tcBorders>
            <w:shd w:val="clear" w:color="000000" w:fill="FFFFFF"/>
            <w:noWrap/>
            <w:vAlign w:val="bottom"/>
            <w:hideMark/>
          </w:tcPr>
          <w:p w14:paraId="6147B7C4"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32.0%</w:t>
            </w:r>
          </w:p>
        </w:tc>
        <w:tc>
          <w:tcPr>
            <w:tcW w:w="709" w:type="dxa"/>
            <w:vMerge w:val="restart"/>
            <w:tcBorders>
              <w:top w:val="nil"/>
              <w:left w:val="single" w:sz="8" w:space="0" w:color="auto"/>
              <w:bottom w:val="single" w:sz="4" w:space="0" w:color="000000"/>
              <w:right w:val="single" w:sz="4" w:space="0" w:color="auto"/>
            </w:tcBorders>
            <w:shd w:val="clear" w:color="auto" w:fill="auto"/>
            <w:vAlign w:val="center"/>
            <w:hideMark/>
          </w:tcPr>
          <w:p w14:paraId="1761CC9F"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90.5%</w:t>
            </w:r>
          </w:p>
        </w:tc>
        <w:tc>
          <w:tcPr>
            <w:tcW w:w="850" w:type="dxa"/>
            <w:vMerge w:val="restart"/>
            <w:tcBorders>
              <w:top w:val="nil"/>
              <w:left w:val="single" w:sz="4" w:space="0" w:color="auto"/>
              <w:bottom w:val="single" w:sz="4" w:space="0" w:color="000000"/>
              <w:right w:val="single" w:sz="8" w:space="0" w:color="auto"/>
            </w:tcBorders>
            <w:shd w:val="clear" w:color="auto" w:fill="auto"/>
            <w:vAlign w:val="center"/>
            <w:hideMark/>
          </w:tcPr>
          <w:p w14:paraId="1DF3B140"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92.2%</w:t>
            </w:r>
          </w:p>
        </w:tc>
      </w:tr>
      <w:tr w:rsidR="005F2EE7" w:rsidRPr="008F7BCB" w14:paraId="52DE487F"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42961A53"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Educación</w:t>
            </w:r>
          </w:p>
        </w:tc>
        <w:tc>
          <w:tcPr>
            <w:tcW w:w="851" w:type="dxa"/>
            <w:tcBorders>
              <w:top w:val="nil"/>
              <w:left w:val="single" w:sz="4" w:space="0" w:color="auto"/>
              <w:bottom w:val="nil"/>
              <w:right w:val="single" w:sz="4" w:space="0" w:color="auto"/>
            </w:tcBorders>
            <w:shd w:val="clear" w:color="000000" w:fill="FFFFFF"/>
            <w:noWrap/>
            <w:vAlign w:val="bottom"/>
            <w:hideMark/>
          </w:tcPr>
          <w:p w14:paraId="137CA9B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9,412.9</w:t>
            </w:r>
          </w:p>
        </w:tc>
        <w:tc>
          <w:tcPr>
            <w:tcW w:w="850" w:type="dxa"/>
            <w:tcBorders>
              <w:top w:val="nil"/>
              <w:left w:val="nil"/>
              <w:bottom w:val="nil"/>
              <w:right w:val="single" w:sz="4" w:space="0" w:color="auto"/>
            </w:tcBorders>
            <w:shd w:val="clear" w:color="000000" w:fill="FFFFFF"/>
            <w:noWrap/>
            <w:vAlign w:val="bottom"/>
            <w:hideMark/>
          </w:tcPr>
          <w:p w14:paraId="30877081"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10,514.6</w:t>
            </w:r>
          </w:p>
        </w:tc>
        <w:tc>
          <w:tcPr>
            <w:tcW w:w="982" w:type="dxa"/>
            <w:tcBorders>
              <w:top w:val="nil"/>
              <w:left w:val="nil"/>
              <w:bottom w:val="nil"/>
              <w:right w:val="single" w:sz="4" w:space="0" w:color="auto"/>
            </w:tcBorders>
            <w:shd w:val="clear" w:color="000000" w:fill="FFFFFF"/>
            <w:noWrap/>
            <w:vAlign w:val="bottom"/>
            <w:hideMark/>
          </w:tcPr>
          <w:p w14:paraId="56F3BFFB"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1,101.6</w:t>
            </w:r>
          </w:p>
        </w:tc>
        <w:tc>
          <w:tcPr>
            <w:tcW w:w="992" w:type="dxa"/>
            <w:tcBorders>
              <w:top w:val="nil"/>
              <w:left w:val="single" w:sz="4" w:space="0" w:color="auto"/>
              <w:bottom w:val="nil"/>
              <w:right w:val="single" w:sz="8" w:space="0" w:color="auto"/>
            </w:tcBorders>
            <w:shd w:val="clear" w:color="000000" w:fill="FFFFFF"/>
            <w:noWrap/>
            <w:vAlign w:val="bottom"/>
            <w:hideMark/>
          </w:tcPr>
          <w:p w14:paraId="6018E61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11.7%</w:t>
            </w:r>
          </w:p>
        </w:tc>
        <w:tc>
          <w:tcPr>
            <w:tcW w:w="851" w:type="dxa"/>
            <w:tcBorders>
              <w:top w:val="nil"/>
              <w:left w:val="nil"/>
              <w:bottom w:val="nil"/>
              <w:right w:val="single" w:sz="4" w:space="0" w:color="auto"/>
            </w:tcBorders>
            <w:shd w:val="clear" w:color="000000" w:fill="FFFFFF"/>
            <w:noWrap/>
            <w:vAlign w:val="bottom"/>
            <w:hideMark/>
          </w:tcPr>
          <w:p w14:paraId="363FB508"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19.8%</w:t>
            </w:r>
          </w:p>
        </w:tc>
        <w:tc>
          <w:tcPr>
            <w:tcW w:w="850" w:type="dxa"/>
            <w:tcBorders>
              <w:top w:val="nil"/>
              <w:left w:val="nil"/>
              <w:bottom w:val="nil"/>
              <w:right w:val="single" w:sz="8" w:space="0" w:color="auto"/>
            </w:tcBorders>
            <w:shd w:val="clear" w:color="000000" w:fill="FFFFFF"/>
            <w:noWrap/>
            <w:vAlign w:val="bottom"/>
            <w:hideMark/>
          </w:tcPr>
          <w:p w14:paraId="4510C1FB"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19.2%</w:t>
            </w:r>
          </w:p>
        </w:tc>
        <w:tc>
          <w:tcPr>
            <w:tcW w:w="709" w:type="dxa"/>
            <w:vMerge/>
            <w:tcBorders>
              <w:top w:val="nil"/>
              <w:left w:val="single" w:sz="8" w:space="0" w:color="auto"/>
              <w:bottom w:val="single" w:sz="4" w:space="0" w:color="000000"/>
              <w:right w:val="single" w:sz="4" w:space="0" w:color="auto"/>
            </w:tcBorders>
            <w:vAlign w:val="center"/>
            <w:hideMark/>
          </w:tcPr>
          <w:p w14:paraId="2EEE9E5D" w14:textId="77777777" w:rsidR="005F2EE7" w:rsidRPr="008F7BCB" w:rsidRDefault="005F2EE7" w:rsidP="0042480D">
            <w:pPr>
              <w:rPr>
                <w:color w:val="000000"/>
                <w:sz w:val="16"/>
                <w:szCs w:val="22"/>
                <w:lang w:val="es-GT" w:eastAsia="es-GT"/>
              </w:rPr>
            </w:pPr>
          </w:p>
        </w:tc>
        <w:tc>
          <w:tcPr>
            <w:tcW w:w="850" w:type="dxa"/>
            <w:vMerge/>
            <w:tcBorders>
              <w:top w:val="nil"/>
              <w:left w:val="single" w:sz="4" w:space="0" w:color="auto"/>
              <w:bottom w:val="single" w:sz="4" w:space="0" w:color="000000"/>
              <w:right w:val="single" w:sz="8" w:space="0" w:color="auto"/>
            </w:tcBorders>
            <w:vAlign w:val="center"/>
            <w:hideMark/>
          </w:tcPr>
          <w:p w14:paraId="133E2A02" w14:textId="77777777" w:rsidR="005F2EE7" w:rsidRPr="008F7BCB" w:rsidRDefault="005F2EE7" w:rsidP="0042480D">
            <w:pPr>
              <w:rPr>
                <w:color w:val="000000"/>
                <w:sz w:val="16"/>
                <w:szCs w:val="22"/>
                <w:lang w:val="es-GT" w:eastAsia="es-GT"/>
              </w:rPr>
            </w:pPr>
          </w:p>
        </w:tc>
      </w:tr>
      <w:tr w:rsidR="005F2EE7" w:rsidRPr="008F7BCB" w14:paraId="2A5D02AF"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34900BB3" w14:textId="46217505" w:rsidR="005F2EE7" w:rsidRPr="008F7BCB" w:rsidRDefault="005F2EE7" w:rsidP="0042480D">
            <w:pPr>
              <w:rPr>
                <w:color w:val="000000"/>
                <w:sz w:val="16"/>
                <w:szCs w:val="20"/>
                <w:lang w:val="es-GT" w:eastAsia="es-GT"/>
              </w:rPr>
            </w:pPr>
            <w:r w:rsidRPr="008F7BCB">
              <w:rPr>
                <w:color w:val="000000"/>
                <w:sz w:val="16"/>
                <w:szCs w:val="20"/>
                <w:lang w:val="es-GT" w:eastAsia="es-GT"/>
              </w:rPr>
              <w:t>Deuda</w:t>
            </w:r>
            <w:r w:rsidR="008A0ED0">
              <w:rPr>
                <w:color w:val="000000"/>
                <w:sz w:val="16"/>
                <w:szCs w:val="20"/>
                <w:lang w:val="es-GT" w:eastAsia="es-GT"/>
              </w:rPr>
              <w:t xml:space="preserve"> Pública</w:t>
            </w:r>
          </w:p>
        </w:tc>
        <w:tc>
          <w:tcPr>
            <w:tcW w:w="851" w:type="dxa"/>
            <w:tcBorders>
              <w:top w:val="nil"/>
              <w:left w:val="single" w:sz="4" w:space="0" w:color="auto"/>
              <w:bottom w:val="nil"/>
              <w:right w:val="single" w:sz="4" w:space="0" w:color="auto"/>
            </w:tcBorders>
            <w:shd w:val="clear" w:color="000000" w:fill="FFFFFF"/>
            <w:noWrap/>
            <w:vAlign w:val="bottom"/>
            <w:hideMark/>
          </w:tcPr>
          <w:p w14:paraId="151DAA85"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7,308.8</w:t>
            </w:r>
          </w:p>
        </w:tc>
        <w:tc>
          <w:tcPr>
            <w:tcW w:w="850" w:type="dxa"/>
            <w:tcBorders>
              <w:top w:val="nil"/>
              <w:left w:val="nil"/>
              <w:bottom w:val="nil"/>
              <w:right w:val="single" w:sz="4" w:space="0" w:color="auto"/>
            </w:tcBorders>
            <w:shd w:val="clear" w:color="000000" w:fill="FFFFFF"/>
            <w:noWrap/>
            <w:vAlign w:val="bottom"/>
            <w:hideMark/>
          </w:tcPr>
          <w:p w14:paraId="2E2377A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7,834.2</w:t>
            </w:r>
          </w:p>
        </w:tc>
        <w:tc>
          <w:tcPr>
            <w:tcW w:w="982" w:type="dxa"/>
            <w:tcBorders>
              <w:top w:val="nil"/>
              <w:left w:val="nil"/>
              <w:bottom w:val="nil"/>
              <w:right w:val="single" w:sz="4" w:space="0" w:color="auto"/>
            </w:tcBorders>
            <w:shd w:val="clear" w:color="000000" w:fill="FFFFFF"/>
            <w:noWrap/>
            <w:vAlign w:val="bottom"/>
            <w:hideMark/>
          </w:tcPr>
          <w:p w14:paraId="21B1F22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525.4</w:t>
            </w:r>
          </w:p>
        </w:tc>
        <w:tc>
          <w:tcPr>
            <w:tcW w:w="992" w:type="dxa"/>
            <w:tcBorders>
              <w:top w:val="nil"/>
              <w:left w:val="single" w:sz="4" w:space="0" w:color="auto"/>
              <w:bottom w:val="nil"/>
              <w:right w:val="single" w:sz="8" w:space="0" w:color="auto"/>
            </w:tcBorders>
            <w:shd w:val="clear" w:color="000000" w:fill="FFFFFF"/>
            <w:noWrap/>
            <w:vAlign w:val="bottom"/>
            <w:hideMark/>
          </w:tcPr>
          <w:p w14:paraId="42A36349"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7.2%</w:t>
            </w:r>
          </w:p>
        </w:tc>
        <w:tc>
          <w:tcPr>
            <w:tcW w:w="851" w:type="dxa"/>
            <w:tcBorders>
              <w:top w:val="nil"/>
              <w:left w:val="nil"/>
              <w:bottom w:val="nil"/>
              <w:right w:val="single" w:sz="4" w:space="0" w:color="auto"/>
            </w:tcBorders>
            <w:shd w:val="clear" w:color="000000" w:fill="FFFFFF"/>
            <w:noWrap/>
            <w:vAlign w:val="bottom"/>
            <w:hideMark/>
          </w:tcPr>
          <w:p w14:paraId="1124CC4D"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15.4%</w:t>
            </w:r>
          </w:p>
        </w:tc>
        <w:tc>
          <w:tcPr>
            <w:tcW w:w="850" w:type="dxa"/>
            <w:tcBorders>
              <w:top w:val="nil"/>
              <w:left w:val="nil"/>
              <w:bottom w:val="nil"/>
              <w:right w:val="single" w:sz="8" w:space="0" w:color="auto"/>
            </w:tcBorders>
            <w:shd w:val="clear" w:color="000000" w:fill="FFFFFF"/>
            <w:noWrap/>
            <w:vAlign w:val="bottom"/>
            <w:hideMark/>
          </w:tcPr>
          <w:p w14:paraId="4BBE6536"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14.3%</w:t>
            </w:r>
          </w:p>
        </w:tc>
        <w:tc>
          <w:tcPr>
            <w:tcW w:w="709" w:type="dxa"/>
            <w:vMerge/>
            <w:tcBorders>
              <w:top w:val="nil"/>
              <w:left w:val="single" w:sz="8" w:space="0" w:color="auto"/>
              <w:bottom w:val="single" w:sz="4" w:space="0" w:color="000000"/>
              <w:right w:val="single" w:sz="4" w:space="0" w:color="auto"/>
            </w:tcBorders>
            <w:vAlign w:val="center"/>
            <w:hideMark/>
          </w:tcPr>
          <w:p w14:paraId="623DAE25" w14:textId="77777777" w:rsidR="005F2EE7" w:rsidRPr="008F7BCB" w:rsidRDefault="005F2EE7" w:rsidP="0042480D">
            <w:pPr>
              <w:rPr>
                <w:color w:val="000000"/>
                <w:sz w:val="16"/>
                <w:szCs w:val="22"/>
                <w:lang w:val="es-GT" w:eastAsia="es-GT"/>
              </w:rPr>
            </w:pPr>
          </w:p>
        </w:tc>
        <w:tc>
          <w:tcPr>
            <w:tcW w:w="850" w:type="dxa"/>
            <w:vMerge/>
            <w:tcBorders>
              <w:top w:val="nil"/>
              <w:left w:val="single" w:sz="4" w:space="0" w:color="auto"/>
              <w:bottom w:val="single" w:sz="4" w:space="0" w:color="000000"/>
              <w:right w:val="single" w:sz="8" w:space="0" w:color="auto"/>
            </w:tcBorders>
            <w:vAlign w:val="center"/>
            <w:hideMark/>
          </w:tcPr>
          <w:p w14:paraId="734EA000" w14:textId="77777777" w:rsidR="005F2EE7" w:rsidRPr="008F7BCB" w:rsidRDefault="005F2EE7" w:rsidP="0042480D">
            <w:pPr>
              <w:rPr>
                <w:color w:val="000000"/>
                <w:sz w:val="16"/>
                <w:szCs w:val="22"/>
                <w:lang w:val="es-GT" w:eastAsia="es-GT"/>
              </w:rPr>
            </w:pPr>
          </w:p>
        </w:tc>
      </w:tr>
      <w:tr w:rsidR="005F2EE7" w:rsidRPr="008F7BCB" w14:paraId="42BF6376" w14:textId="77777777" w:rsidTr="008A0ED0">
        <w:trPr>
          <w:trHeight w:val="180"/>
          <w:jc w:val="center"/>
        </w:trPr>
        <w:tc>
          <w:tcPr>
            <w:tcW w:w="2127" w:type="dxa"/>
            <w:tcBorders>
              <w:top w:val="nil"/>
              <w:left w:val="single" w:sz="8" w:space="0" w:color="auto"/>
              <w:bottom w:val="nil"/>
              <w:right w:val="single" w:sz="4" w:space="0" w:color="auto"/>
            </w:tcBorders>
            <w:shd w:val="clear" w:color="000000" w:fill="FFFFFF"/>
            <w:noWrap/>
            <w:vAlign w:val="center"/>
            <w:hideMark/>
          </w:tcPr>
          <w:p w14:paraId="4D3CAF97"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Comunicaciones</w:t>
            </w:r>
          </w:p>
        </w:tc>
        <w:tc>
          <w:tcPr>
            <w:tcW w:w="851" w:type="dxa"/>
            <w:tcBorders>
              <w:top w:val="nil"/>
              <w:left w:val="nil"/>
              <w:bottom w:val="nil"/>
              <w:right w:val="single" w:sz="4" w:space="0" w:color="auto"/>
            </w:tcBorders>
            <w:shd w:val="clear" w:color="000000" w:fill="FFFFFF"/>
            <w:noWrap/>
            <w:vAlign w:val="bottom"/>
            <w:hideMark/>
          </w:tcPr>
          <w:p w14:paraId="2C2920A7"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2,456.4</w:t>
            </w:r>
          </w:p>
        </w:tc>
        <w:tc>
          <w:tcPr>
            <w:tcW w:w="850" w:type="dxa"/>
            <w:tcBorders>
              <w:top w:val="nil"/>
              <w:left w:val="nil"/>
              <w:bottom w:val="nil"/>
              <w:right w:val="single" w:sz="4" w:space="0" w:color="auto"/>
            </w:tcBorders>
            <w:shd w:val="clear" w:color="000000" w:fill="FFFFFF"/>
            <w:noWrap/>
            <w:vAlign w:val="bottom"/>
            <w:hideMark/>
          </w:tcPr>
          <w:p w14:paraId="40D6769E"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5,240.3</w:t>
            </w:r>
          </w:p>
        </w:tc>
        <w:tc>
          <w:tcPr>
            <w:tcW w:w="982" w:type="dxa"/>
            <w:tcBorders>
              <w:top w:val="nil"/>
              <w:left w:val="nil"/>
              <w:bottom w:val="nil"/>
              <w:right w:val="single" w:sz="4" w:space="0" w:color="auto"/>
            </w:tcBorders>
            <w:shd w:val="clear" w:color="000000" w:fill="FFFFFF"/>
            <w:noWrap/>
            <w:vAlign w:val="bottom"/>
            <w:hideMark/>
          </w:tcPr>
          <w:p w14:paraId="7E915DF7"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2,783.9</w:t>
            </w:r>
          </w:p>
        </w:tc>
        <w:tc>
          <w:tcPr>
            <w:tcW w:w="992" w:type="dxa"/>
            <w:tcBorders>
              <w:top w:val="nil"/>
              <w:left w:val="single" w:sz="4" w:space="0" w:color="auto"/>
              <w:bottom w:val="nil"/>
              <w:right w:val="single" w:sz="8" w:space="0" w:color="auto"/>
            </w:tcBorders>
            <w:shd w:val="clear" w:color="000000" w:fill="FFFFFF"/>
            <w:noWrap/>
            <w:vAlign w:val="bottom"/>
            <w:hideMark/>
          </w:tcPr>
          <w:p w14:paraId="29CED361"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113.3%</w:t>
            </w:r>
          </w:p>
        </w:tc>
        <w:tc>
          <w:tcPr>
            <w:tcW w:w="851" w:type="dxa"/>
            <w:tcBorders>
              <w:top w:val="nil"/>
              <w:left w:val="nil"/>
              <w:bottom w:val="nil"/>
              <w:right w:val="single" w:sz="4" w:space="0" w:color="auto"/>
            </w:tcBorders>
            <w:shd w:val="clear" w:color="000000" w:fill="FFFFFF"/>
            <w:noWrap/>
            <w:vAlign w:val="bottom"/>
            <w:hideMark/>
          </w:tcPr>
          <w:p w14:paraId="7E8FF372"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5.2%</w:t>
            </w:r>
          </w:p>
        </w:tc>
        <w:tc>
          <w:tcPr>
            <w:tcW w:w="850" w:type="dxa"/>
            <w:tcBorders>
              <w:top w:val="nil"/>
              <w:left w:val="nil"/>
              <w:bottom w:val="nil"/>
              <w:right w:val="single" w:sz="8" w:space="0" w:color="auto"/>
            </w:tcBorders>
            <w:shd w:val="clear" w:color="000000" w:fill="FFFFFF"/>
            <w:noWrap/>
            <w:vAlign w:val="bottom"/>
            <w:hideMark/>
          </w:tcPr>
          <w:p w14:paraId="737B59FE"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9.6%</w:t>
            </w:r>
          </w:p>
        </w:tc>
        <w:tc>
          <w:tcPr>
            <w:tcW w:w="709" w:type="dxa"/>
            <w:vMerge/>
            <w:tcBorders>
              <w:top w:val="nil"/>
              <w:left w:val="single" w:sz="8" w:space="0" w:color="auto"/>
              <w:bottom w:val="single" w:sz="4" w:space="0" w:color="000000"/>
              <w:right w:val="single" w:sz="4" w:space="0" w:color="auto"/>
            </w:tcBorders>
            <w:vAlign w:val="center"/>
            <w:hideMark/>
          </w:tcPr>
          <w:p w14:paraId="5E384F98" w14:textId="77777777" w:rsidR="005F2EE7" w:rsidRPr="008F7BCB" w:rsidRDefault="005F2EE7" w:rsidP="0042480D">
            <w:pPr>
              <w:rPr>
                <w:color w:val="000000"/>
                <w:sz w:val="16"/>
                <w:szCs w:val="22"/>
                <w:lang w:val="es-GT" w:eastAsia="es-GT"/>
              </w:rPr>
            </w:pPr>
          </w:p>
        </w:tc>
        <w:tc>
          <w:tcPr>
            <w:tcW w:w="850" w:type="dxa"/>
            <w:vMerge/>
            <w:tcBorders>
              <w:top w:val="nil"/>
              <w:left w:val="single" w:sz="4" w:space="0" w:color="auto"/>
              <w:bottom w:val="single" w:sz="4" w:space="0" w:color="000000"/>
              <w:right w:val="single" w:sz="8" w:space="0" w:color="auto"/>
            </w:tcBorders>
            <w:vAlign w:val="center"/>
            <w:hideMark/>
          </w:tcPr>
          <w:p w14:paraId="315270D5" w14:textId="77777777" w:rsidR="005F2EE7" w:rsidRPr="008F7BCB" w:rsidRDefault="005F2EE7" w:rsidP="0042480D">
            <w:pPr>
              <w:rPr>
                <w:color w:val="000000"/>
                <w:sz w:val="16"/>
                <w:szCs w:val="22"/>
                <w:lang w:val="es-GT" w:eastAsia="es-GT"/>
              </w:rPr>
            </w:pPr>
          </w:p>
        </w:tc>
      </w:tr>
      <w:tr w:rsidR="005F2EE7" w:rsidRPr="008F7BCB" w14:paraId="502AE02A" w14:textId="77777777" w:rsidTr="008A0ED0">
        <w:trPr>
          <w:trHeight w:val="180"/>
          <w:jc w:val="center"/>
        </w:trPr>
        <w:tc>
          <w:tcPr>
            <w:tcW w:w="2127" w:type="dxa"/>
            <w:tcBorders>
              <w:top w:val="nil"/>
              <w:left w:val="single" w:sz="8" w:space="0" w:color="auto"/>
              <w:bottom w:val="nil"/>
              <w:right w:val="single" w:sz="4" w:space="0" w:color="auto"/>
            </w:tcBorders>
            <w:shd w:val="clear" w:color="000000" w:fill="FFFFFF"/>
            <w:noWrap/>
            <w:vAlign w:val="center"/>
            <w:hideMark/>
          </w:tcPr>
          <w:p w14:paraId="435775AA"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Salud Pública</w:t>
            </w:r>
          </w:p>
        </w:tc>
        <w:tc>
          <w:tcPr>
            <w:tcW w:w="851" w:type="dxa"/>
            <w:tcBorders>
              <w:top w:val="nil"/>
              <w:left w:val="nil"/>
              <w:bottom w:val="nil"/>
              <w:right w:val="single" w:sz="4" w:space="0" w:color="auto"/>
            </w:tcBorders>
            <w:shd w:val="clear" w:color="000000" w:fill="FFFFFF"/>
            <w:noWrap/>
            <w:vAlign w:val="bottom"/>
            <w:hideMark/>
          </w:tcPr>
          <w:p w14:paraId="0D49E5C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4,959.2</w:t>
            </w:r>
          </w:p>
        </w:tc>
        <w:tc>
          <w:tcPr>
            <w:tcW w:w="850" w:type="dxa"/>
            <w:tcBorders>
              <w:top w:val="nil"/>
              <w:left w:val="nil"/>
              <w:bottom w:val="nil"/>
              <w:right w:val="single" w:sz="4" w:space="0" w:color="auto"/>
            </w:tcBorders>
            <w:shd w:val="clear" w:color="000000" w:fill="FFFFFF"/>
            <w:noWrap/>
            <w:vAlign w:val="bottom"/>
            <w:hideMark/>
          </w:tcPr>
          <w:p w14:paraId="670005A3"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4,933.0</w:t>
            </w:r>
          </w:p>
        </w:tc>
        <w:tc>
          <w:tcPr>
            <w:tcW w:w="982" w:type="dxa"/>
            <w:tcBorders>
              <w:top w:val="nil"/>
              <w:left w:val="nil"/>
              <w:bottom w:val="nil"/>
              <w:right w:val="single" w:sz="4" w:space="0" w:color="auto"/>
            </w:tcBorders>
            <w:shd w:val="clear" w:color="000000" w:fill="FFFFFF"/>
            <w:noWrap/>
            <w:vAlign w:val="bottom"/>
            <w:hideMark/>
          </w:tcPr>
          <w:p w14:paraId="06E526F8"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-26.2</w:t>
            </w:r>
          </w:p>
        </w:tc>
        <w:tc>
          <w:tcPr>
            <w:tcW w:w="992" w:type="dxa"/>
            <w:tcBorders>
              <w:top w:val="nil"/>
              <w:left w:val="single" w:sz="4" w:space="0" w:color="auto"/>
              <w:bottom w:val="nil"/>
              <w:right w:val="single" w:sz="8" w:space="0" w:color="auto"/>
            </w:tcBorders>
            <w:shd w:val="clear" w:color="000000" w:fill="FFFFFF"/>
            <w:noWrap/>
            <w:vAlign w:val="bottom"/>
            <w:hideMark/>
          </w:tcPr>
          <w:p w14:paraId="2014A90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-0.5%</w:t>
            </w:r>
          </w:p>
        </w:tc>
        <w:tc>
          <w:tcPr>
            <w:tcW w:w="851" w:type="dxa"/>
            <w:tcBorders>
              <w:top w:val="nil"/>
              <w:left w:val="nil"/>
              <w:bottom w:val="nil"/>
              <w:right w:val="single" w:sz="4" w:space="0" w:color="auto"/>
            </w:tcBorders>
            <w:shd w:val="clear" w:color="000000" w:fill="FFFFFF"/>
            <w:noWrap/>
            <w:vAlign w:val="bottom"/>
            <w:hideMark/>
          </w:tcPr>
          <w:p w14:paraId="53A5161B"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10.4%</w:t>
            </w:r>
          </w:p>
        </w:tc>
        <w:tc>
          <w:tcPr>
            <w:tcW w:w="850" w:type="dxa"/>
            <w:tcBorders>
              <w:top w:val="nil"/>
              <w:left w:val="nil"/>
              <w:bottom w:val="nil"/>
              <w:right w:val="single" w:sz="8" w:space="0" w:color="auto"/>
            </w:tcBorders>
            <w:shd w:val="clear" w:color="000000" w:fill="FFFFFF"/>
            <w:noWrap/>
            <w:vAlign w:val="bottom"/>
            <w:hideMark/>
          </w:tcPr>
          <w:p w14:paraId="7F4DFC38"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9.0%</w:t>
            </w:r>
          </w:p>
        </w:tc>
        <w:tc>
          <w:tcPr>
            <w:tcW w:w="709" w:type="dxa"/>
            <w:vMerge/>
            <w:tcBorders>
              <w:top w:val="nil"/>
              <w:left w:val="single" w:sz="8" w:space="0" w:color="auto"/>
              <w:bottom w:val="single" w:sz="4" w:space="0" w:color="000000"/>
              <w:right w:val="single" w:sz="4" w:space="0" w:color="auto"/>
            </w:tcBorders>
            <w:vAlign w:val="center"/>
            <w:hideMark/>
          </w:tcPr>
          <w:p w14:paraId="6DD1FE8E" w14:textId="77777777" w:rsidR="005F2EE7" w:rsidRPr="008F7BCB" w:rsidRDefault="005F2EE7" w:rsidP="0042480D">
            <w:pPr>
              <w:rPr>
                <w:color w:val="000000"/>
                <w:sz w:val="16"/>
                <w:szCs w:val="22"/>
                <w:lang w:val="es-GT" w:eastAsia="es-GT"/>
              </w:rPr>
            </w:pPr>
          </w:p>
        </w:tc>
        <w:tc>
          <w:tcPr>
            <w:tcW w:w="850" w:type="dxa"/>
            <w:vMerge/>
            <w:tcBorders>
              <w:top w:val="nil"/>
              <w:left w:val="single" w:sz="4" w:space="0" w:color="auto"/>
              <w:bottom w:val="single" w:sz="4" w:space="0" w:color="000000"/>
              <w:right w:val="single" w:sz="8" w:space="0" w:color="auto"/>
            </w:tcBorders>
            <w:vAlign w:val="center"/>
            <w:hideMark/>
          </w:tcPr>
          <w:p w14:paraId="2C1F8480" w14:textId="77777777" w:rsidR="005F2EE7" w:rsidRPr="008F7BCB" w:rsidRDefault="005F2EE7" w:rsidP="0042480D">
            <w:pPr>
              <w:rPr>
                <w:color w:val="000000"/>
                <w:sz w:val="16"/>
                <w:szCs w:val="22"/>
                <w:lang w:val="es-GT" w:eastAsia="es-GT"/>
              </w:rPr>
            </w:pPr>
          </w:p>
        </w:tc>
      </w:tr>
      <w:tr w:rsidR="005F2EE7" w:rsidRPr="008F7BCB" w14:paraId="75A4943B" w14:textId="77777777" w:rsidTr="008A0ED0">
        <w:trPr>
          <w:trHeight w:val="180"/>
          <w:jc w:val="center"/>
        </w:trPr>
        <w:tc>
          <w:tcPr>
            <w:tcW w:w="2127" w:type="dxa"/>
            <w:tcBorders>
              <w:top w:val="nil"/>
              <w:left w:val="single" w:sz="8" w:space="0" w:color="auto"/>
              <w:bottom w:val="nil"/>
              <w:right w:val="single" w:sz="4" w:space="0" w:color="auto"/>
            </w:tcBorders>
            <w:shd w:val="clear" w:color="000000" w:fill="FFFFFF"/>
            <w:noWrap/>
            <w:vAlign w:val="center"/>
            <w:hideMark/>
          </w:tcPr>
          <w:p w14:paraId="17E697E8"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Gobernación</w:t>
            </w:r>
          </w:p>
        </w:tc>
        <w:tc>
          <w:tcPr>
            <w:tcW w:w="851" w:type="dxa"/>
            <w:tcBorders>
              <w:top w:val="nil"/>
              <w:left w:val="nil"/>
              <w:bottom w:val="nil"/>
              <w:right w:val="single" w:sz="4" w:space="0" w:color="auto"/>
            </w:tcBorders>
            <w:shd w:val="clear" w:color="000000" w:fill="FFFFFF"/>
            <w:noWrap/>
            <w:vAlign w:val="bottom"/>
            <w:hideMark/>
          </w:tcPr>
          <w:p w14:paraId="045E614C"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2,504.6</w:t>
            </w:r>
          </w:p>
        </w:tc>
        <w:tc>
          <w:tcPr>
            <w:tcW w:w="850" w:type="dxa"/>
            <w:tcBorders>
              <w:top w:val="nil"/>
              <w:left w:val="nil"/>
              <w:bottom w:val="nil"/>
              <w:right w:val="single" w:sz="4" w:space="0" w:color="auto"/>
            </w:tcBorders>
            <w:shd w:val="clear" w:color="000000" w:fill="FFFFFF"/>
            <w:noWrap/>
            <w:vAlign w:val="bottom"/>
            <w:hideMark/>
          </w:tcPr>
          <w:p w14:paraId="33C7550F"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3,139.0</w:t>
            </w:r>
          </w:p>
        </w:tc>
        <w:tc>
          <w:tcPr>
            <w:tcW w:w="982" w:type="dxa"/>
            <w:tcBorders>
              <w:top w:val="nil"/>
              <w:left w:val="nil"/>
              <w:bottom w:val="nil"/>
              <w:right w:val="single" w:sz="4" w:space="0" w:color="auto"/>
            </w:tcBorders>
            <w:shd w:val="clear" w:color="000000" w:fill="FFFFFF"/>
            <w:noWrap/>
            <w:vAlign w:val="bottom"/>
            <w:hideMark/>
          </w:tcPr>
          <w:p w14:paraId="0116FFFD"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634.4</w:t>
            </w:r>
          </w:p>
        </w:tc>
        <w:tc>
          <w:tcPr>
            <w:tcW w:w="992" w:type="dxa"/>
            <w:tcBorders>
              <w:top w:val="nil"/>
              <w:left w:val="single" w:sz="4" w:space="0" w:color="auto"/>
              <w:bottom w:val="nil"/>
              <w:right w:val="single" w:sz="8" w:space="0" w:color="auto"/>
            </w:tcBorders>
            <w:shd w:val="clear" w:color="000000" w:fill="FFFFFF"/>
            <w:noWrap/>
            <w:vAlign w:val="bottom"/>
            <w:hideMark/>
          </w:tcPr>
          <w:p w14:paraId="6A6730B9"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25.3%</w:t>
            </w:r>
          </w:p>
        </w:tc>
        <w:tc>
          <w:tcPr>
            <w:tcW w:w="851" w:type="dxa"/>
            <w:tcBorders>
              <w:top w:val="nil"/>
              <w:left w:val="nil"/>
              <w:bottom w:val="nil"/>
              <w:right w:val="single" w:sz="4" w:space="0" w:color="auto"/>
            </w:tcBorders>
            <w:shd w:val="clear" w:color="000000" w:fill="FFFFFF"/>
            <w:noWrap/>
            <w:vAlign w:val="bottom"/>
            <w:hideMark/>
          </w:tcPr>
          <w:p w14:paraId="13C522AC"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5.3%</w:t>
            </w:r>
          </w:p>
        </w:tc>
        <w:tc>
          <w:tcPr>
            <w:tcW w:w="850" w:type="dxa"/>
            <w:tcBorders>
              <w:top w:val="nil"/>
              <w:left w:val="nil"/>
              <w:bottom w:val="nil"/>
              <w:right w:val="single" w:sz="8" w:space="0" w:color="auto"/>
            </w:tcBorders>
            <w:shd w:val="clear" w:color="000000" w:fill="FFFFFF"/>
            <w:noWrap/>
            <w:vAlign w:val="bottom"/>
            <w:hideMark/>
          </w:tcPr>
          <w:p w14:paraId="0CCFC9EC"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5.7%</w:t>
            </w:r>
          </w:p>
        </w:tc>
        <w:tc>
          <w:tcPr>
            <w:tcW w:w="709" w:type="dxa"/>
            <w:vMerge/>
            <w:tcBorders>
              <w:top w:val="nil"/>
              <w:left w:val="single" w:sz="8" w:space="0" w:color="auto"/>
              <w:bottom w:val="single" w:sz="4" w:space="0" w:color="000000"/>
              <w:right w:val="single" w:sz="4" w:space="0" w:color="auto"/>
            </w:tcBorders>
            <w:vAlign w:val="center"/>
            <w:hideMark/>
          </w:tcPr>
          <w:p w14:paraId="1A82275F" w14:textId="77777777" w:rsidR="005F2EE7" w:rsidRPr="008F7BCB" w:rsidRDefault="005F2EE7" w:rsidP="0042480D">
            <w:pPr>
              <w:rPr>
                <w:color w:val="000000"/>
                <w:sz w:val="16"/>
                <w:szCs w:val="22"/>
                <w:lang w:val="es-GT" w:eastAsia="es-GT"/>
              </w:rPr>
            </w:pPr>
          </w:p>
        </w:tc>
        <w:tc>
          <w:tcPr>
            <w:tcW w:w="850" w:type="dxa"/>
            <w:vMerge/>
            <w:tcBorders>
              <w:top w:val="nil"/>
              <w:left w:val="single" w:sz="4" w:space="0" w:color="auto"/>
              <w:bottom w:val="single" w:sz="4" w:space="0" w:color="000000"/>
              <w:right w:val="single" w:sz="8" w:space="0" w:color="auto"/>
            </w:tcBorders>
            <w:vAlign w:val="center"/>
            <w:hideMark/>
          </w:tcPr>
          <w:p w14:paraId="0E2D29AD" w14:textId="77777777" w:rsidR="005F2EE7" w:rsidRPr="008F7BCB" w:rsidRDefault="005F2EE7" w:rsidP="0042480D">
            <w:pPr>
              <w:rPr>
                <w:color w:val="000000"/>
                <w:sz w:val="16"/>
                <w:szCs w:val="22"/>
                <w:lang w:val="es-GT" w:eastAsia="es-GT"/>
              </w:rPr>
            </w:pPr>
          </w:p>
        </w:tc>
      </w:tr>
      <w:tr w:rsidR="005F2EE7" w:rsidRPr="008F7BCB" w14:paraId="38638913" w14:textId="77777777" w:rsidTr="008A0ED0">
        <w:trPr>
          <w:trHeight w:val="180"/>
          <w:jc w:val="center"/>
        </w:trPr>
        <w:tc>
          <w:tcPr>
            <w:tcW w:w="2127" w:type="dxa"/>
            <w:tcBorders>
              <w:top w:val="nil"/>
              <w:left w:val="single" w:sz="8" w:space="0" w:color="auto"/>
              <w:bottom w:val="single" w:sz="4" w:space="0" w:color="auto"/>
              <w:right w:val="single" w:sz="4" w:space="0" w:color="auto"/>
            </w:tcBorders>
            <w:shd w:val="clear" w:color="000000" w:fill="FFFFFF"/>
            <w:noWrap/>
            <w:vAlign w:val="center"/>
            <w:hideMark/>
          </w:tcPr>
          <w:p w14:paraId="45D79917" w14:textId="6C0B2076" w:rsidR="005F2EE7" w:rsidRPr="008F7BCB" w:rsidRDefault="005F2EE7" w:rsidP="0042480D">
            <w:pPr>
              <w:rPr>
                <w:color w:val="000000"/>
                <w:sz w:val="16"/>
                <w:szCs w:val="20"/>
                <w:lang w:val="es-GT" w:eastAsia="es-GT"/>
              </w:rPr>
            </w:pPr>
            <w:r w:rsidRPr="008F7BCB">
              <w:rPr>
                <w:color w:val="000000"/>
                <w:sz w:val="16"/>
                <w:szCs w:val="20"/>
                <w:lang w:val="es-GT" w:eastAsia="es-GT"/>
              </w:rPr>
              <w:t>Defensa</w:t>
            </w:r>
            <w:r w:rsidR="008A0ED0">
              <w:rPr>
                <w:color w:val="000000"/>
                <w:sz w:val="16"/>
                <w:szCs w:val="20"/>
                <w:lang w:val="es-GT" w:eastAsia="es-GT"/>
              </w:rPr>
              <w:t xml:space="preserve"> Nacional</w:t>
            </w:r>
          </w:p>
        </w:tc>
        <w:tc>
          <w:tcPr>
            <w:tcW w:w="851" w:type="dxa"/>
            <w:tcBorders>
              <w:top w:val="nil"/>
              <w:left w:val="single" w:sz="4" w:space="0" w:color="auto"/>
              <w:bottom w:val="single" w:sz="4" w:space="0" w:color="auto"/>
              <w:right w:val="single" w:sz="4" w:space="0" w:color="auto"/>
            </w:tcBorders>
            <w:shd w:val="clear" w:color="000000" w:fill="FFFFFF"/>
            <w:noWrap/>
            <w:vAlign w:val="bottom"/>
            <w:hideMark/>
          </w:tcPr>
          <w:p w14:paraId="7B18D25B"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1,394.1</w:t>
            </w:r>
          </w:p>
        </w:tc>
        <w:tc>
          <w:tcPr>
            <w:tcW w:w="850" w:type="dxa"/>
            <w:tcBorders>
              <w:top w:val="nil"/>
              <w:left w:val="nil"/>
              <w:bottom w:val="single" w:sz="4" w:space="0" w:color="auto"/>
              <w:right w:val="single" w:sz="4" w:space="0" w:color="auto"/>
            </w:tcBorders>
            <w:shd w:val="clear" w:color="000000" w:fill="FFFFFF"/>
            <w:noWrap/>
            <w:vAlign w:val="bottom"/>
            <w:hideMark/>
          </w:tcPr>
          <w:p w14:paraId="024AE67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1,388.0</w:t>
            </w:r>
          </w:p>
        </w:tc>
        <w:tc>
          <w:tcPr>
            <w:tcW w:w="982" w:type="dxa"/>
            <w:tcBorders>
              <w:top w:val="nil"/>
              <w:left w:val="nil"/>
              <w:bottom w:val="single" w:sz="4" w:space="0" w:color="auto"/>
              <w:right w:val="single" w:sz="4" w:space="0" w:color="auto"/>
            </w:tcBorders>
            <w:shd w:val="clear" w:color="000000" w:fill="FFFFFF"/>
            <w:noWrap/>
            <w:vAlign w:val="bottom"/>
            <w:hideMark/>
          </w:tcPr>
          <w:p w14:paraId="0E7760C9"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-6.1</w:t>
            </w:r>
          </w:p>
        </w:tc>
        <w:tc>
          <w:tcPr>
            <w:tcW w:w="992" w:type="dxa"/>
            <w:tcBorders>
              <w:top w:val="nil"/>
              <w:left w:val="nil"/>
              <w:bottom w:val="single" w:sz="4" w:space="0" w:color="auto"/>
              <w:right w:val="single" w:sz="8" w:space="0" w:color="auto"/>
            </w:tcBorders>
            <w:shd w:val="clear" w:color="000000" w:fill="FFFFFF"/>
            <w:noWrap/>
            <w:vAlign w:val="bottom"/>
            <w:hideMark/>
          </w:tcPr>
          <w:p w14:paraId="14C8A96F"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-0.4%</w:t>
            </w:r>
          </w:p>
        </w:tc>
        <w:tc>
          <w:tcPr>
            <w:tcW w:w="851" w:type="dxa"/>
            <w:tcBorders>
              <w:top w:val="nil"/>
              <w:left w:val="nil"/>
              <w:bottom w:val="single" w:sz="4" w:space="0" w:color="auto"/>
              <w:right w:val="single" w:sz="4" w:space="0" w:color="auto"/>
            </w:tcBorders>
            <w:shd w:val="clear" w:color="000000" w:fill="FFFFFF"/>
            <w:noWrap/>
            <w:vAlign w:val="bottom"/>
            <w:hideMark/>
          </w:tcPr>
          <w:p w14:paraId="7118CA75"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2.9%</w:t>
            </w:r>
          </w:p>
        </w:tc>
        <w:tc>
          <w:tcPr>
            <w:tcW w:w="850" w:type="dxa"/>
            <w:tcBorders>
              <w:top w:val="nil"/>
              <w:left w:val="nil"/>
              <w:bottom w:val="single" w:sz="4" w:space="0" w:color="auto"/>
              <w:right w:val="single" w:sz="8" w:space="0" w:color="auto"/>
            </w:tcBorders>
            <w:shd w:val="clear" w:color="000000" w:fill="FFFFFF"/>
            <w:noWrap/>
            <w:vAlign w:val="bottom"/>
            <w:hideMark/>
          </w:tcPr>
          <w:p w14:paraId="5F1BE11D"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2.5%</w:t>
            </w:r>
          </w:p>
        </w:tc>
        <w:tc>
          <w:tcPr>
            <w:tcW w:w="709" w:type="dxa"/>
            <w:vMerge/>
            <w:tcBorders>
              <w:top w:val="nil"/>
              <w:left w:val="single" w:sz="8" w:space="0" w:color="auto"/>
              <w:bottom w:val="single" w:sz="4" w:space="0" w:color="000000"/>
              <w:right w:val="single" w:sz="4" w:space="0" w:color="auto"/>
            </w:tcBorders>
            <w:vAlign w:val="center"/>
            <w:hideMark/>
          </w:tcPr>
          <w:p w14:paraId="4B98040E" w14:textId="77777777" w:rsidR="005F2EE7" w:rsidRPr="008F7BCB" w:rsidRDefault="005F2EE7" w:rsidP="0042480D">
            <w:pPr>
              <w:rPr>
                <w:color w:val="000000"/>
                <w:sz w:val="16"/>
                <w:szCs w:val="22"/>
                <w:lang w:val="es-GT" w:eastAsia="es-GT"/>
              </w:rPr>
            </w:pPr>
          </w:p>
        </w:tc>
        <w:tc>
          <w:tcPr>
            <w:tcW w:w="850" w:type="dxa"/>
            <w:vMerge/>
            <w:tcBorders>
              <w:top w:val="nil"/>
              <w:left w:val="single" w:sz="4" w:space="0" w:color="auto"/>
              <w:bottom w:val="single" w:sz="4" w:space="0" w:color="000000"/>
              <w:right w:val="single" w:sz="8" w:space="0" w:color="auto"/>
            </w:tcBorders>
            <w:vAlign w:val="center"/>
            <w:hideMark/>
          </w:tcPr>
          <w:p w14:paraId="21E063DB" w14:textId="77777777" w:rsidR="005F2EE7" w:rsidRPr="008F7BCB" w:rsidRDefault="005F2EE7" w:rsidP="0042480D">
            <w:pPr>
              <w:rPr>
                <w:color w:val="000000"/>
                <w:sz w:val="16"/>
                <w:szCs w:val="22"/>
                <w:lang w:val="es-GT" w:eastAsia="es-GT"/>
              </w:rPr>
            </w:pPr>
          </w:p>
        </w:tc>
      </w:tr>
      <w:tr w:rsidR="005F2EE7" w:rsidRPr="008F7BCB" w14:paraId="28B884CD"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5D8E6070"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Desarrollo Social</w:t>
            </w:r>
          </w:p>
        </w:tc>
        <w:tc>
          <w:tcPr>
            <w:tcW w:w="851" w:type="dxa"/>
            <w:tcBorders>
              <w:top w:val="nil"/>
              <w:left w:val="single" w:sz="4" w:space="0" w:color="auto"/>
              <w:bottom w:val="nil"/>
              <w:right w:val="single" w:sz="4" w:space="0" w:color="auto"/>
            </w:tcBorders>
            <w:shd w:val="clear" w:color="000000" w:fill="FFFFFF"/>
            <w:noWrap/>
            <w:vAlign w:val="bottom"/>
            <w:hideMark/>
          </w:tcPr>
          <w:p w14:paraId="3A168DEB"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507.2</w:t>
            </w:r>
          </w:p>
        </w:tc>
        <w:tc>
          <w:tcPr>
            <w:tcW w:w="850" w:type="dxa"/>
            <w:tcBorders>
              <w:top w:val="nil"/>
              <w:left w:val="nil"/>
              <w:bottom w:val="nil"/>
              <w:right w:val="single" w:sz="4" w:space="0" w:color="auto"/>
            </w:tcBorders>
            <w:shd w:val="clear" w:color="000000" w:fill="FFFFFF"/>
            <w:noWrap/>
            <w:vAlign w:val="bottom"/>
            <w:hideMark/>
          </w:tcPr>
          <w:p w14:paraId="0E4F3310"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796.5</w:t>
            </w:r>
          </w:p>
        </w:tc>
        <w:tc>
          <w:tcPr>
            <w:tcW w:w="982" w:type="dxa"/>
            <w:tcBorders>
              <w:top w:val="nil"/>
              <w:left w:val="nil"/>
              <w:bottom w:val="nil"/>
              <w:right w:val="single" w:sz="4" w:space="0" w:color="auto"/>
            </w:tcBorders>
            <w:shd w:val="clear" w:color="000000" w:fill="FFFFFF"/>
            <w:noWrap/>
            <w:vAlign w:val="bottom"/>
            <w:hideMark/>
          </w:tcPr>
          <w:p w14:paraId="0F669341"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289.3</w:t>
            </w:r>
          </w:p>
        </w:tc>
        <w:tc>
          <w:tcPr>
            <w:tcW w:w="992" w:type="dxa"/>
            <w:tcBorders>
              <w:top w:val="nil"/>
              <w:left w:val="single" w:sz="4" w:space="0" w:color="auto"/>
              <w:bottom w:val="nil"/>
              <w:right w:val="single" w:sz="8" w:space="0" w:color="auto"/>
            </w:tcBorders>
            <w:shd w:val="clear" w:color="000000" w:fill="FFFFFF"/>
            <w:noWrap/>
            <w:vAlign w:val="bottom"/>
            <w:hideMark/>
          </w:tcPr>
          <w:p w14:paraId="6D2BDF0E"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57.0%</w:t>
            </w:r>
          </w:p>
        </w:tc>
        <w:tc>
          <w:tcPr>
            <w:tcW w:w="851" w:type="dxa"/>
            <w:tcBorders>
              <w:top w:val="nil"/>
              <w:left w:val="nil"/>
              <w:bottom w:val="nil"/>
              <w:right w:val="single" w:sz="4" w:space="0" w:color="auto"/>
            </w:tcBorders>
            <w:shd w:val="clear" w:color="000000" w:fill="FFFFFF"/>
            <w:noWrap/>
            <w:vAlign w:val="bottom"/>
            <w:hideMark/>
          </w:tcPr>
          <w:p w14:paraId="47191000"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1.1%</w:t>
            </w:r>
          </w:p>
        </w:tc>
        <w:tc>
          <w:tcPr>
            <w:tcW w:w="850" w:type="dxa"/>
            <w:tcBorders>
              <w:top w:val="nil"/>
              <w:left w:val="nil"/>
              <w:bottom w:val="nil"/>
              <w:right w:val="single" w:sz="8" w:space="0" w:color="auto"/>
            </w:tcBorders>
            <w:shd w:val="clear" w:color="000000" w:fill="FFFFFF"/>
            <w:noWrap/>
            <w:vAlign w:val="bottom"/>
            <w:hideMark/>
          </w:tcPr>
          <w:p w14:paraId="2787A9D7"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1.5%</w:t>
            </w:r>
          </w:p>
        </w:tc>
        <w:tc>
          <w:tcPr>
            <w:tcW w:w="709" w:type="dxa"/>
            <w:vMerge w:val="restart"/>
            <w:tcBorders>
              <w:top w:val="nil"/>
              <w:left w:val="single" w:sz="8" w:space="0" w:color="auto"/>
              <w:bottom w:val="single" w:sz="8" w:space="0" w:color="000000"/>
              <w:right w:val="single" w:sz="4" w:space="0" w:color="auto"/>
            </w:tcBorders>
            <w:shd w:val="clear" w:color="auto" w:fill="auto"/>
            <w:vAlign w:val="center"/>
            <w:hideMark/>
          </w:tcPr>
          <w:p w14:paraId="1A8B6EC8"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9.5%</w:t>
            </w:r>
          </w:p>
        </w:tc>
        <w:tc>
          <w:tcPr>
            <w:tcW w:w="850" w:type="dxa"/>
            <w:vMerge w:val="restart"/>
            <w:tcBorders>
              <w:top w:val="nil"/>
              <w:left w:val="nil"/>
              <w:bottom w:val="single" w:sz="8" w:space="0" w:color="000000"/>
              <w:right w:val="single" w:sz="8" w:space="0" w:color="auto"/>
            </w:tcBorders>
            <w:shd w:val="clear" w:color="auto" w:fill="auto"/>
            <w:vAlign w:val="center"/>
            <w:hideMark/>
          </w:tcPr>
          <w:p w14:paraId="7225A1AE"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7.8%</w:t>
            </w:r>
          </w:p>
        </w:tc>
      </w:tr>
      <w:tr w:rsidR="005F2EE7" w:rsidRPr="008F7BCB" w14:paraId="0A44405D"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49CB783A"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Agricultura</w:t>
            </w:r>
          </w:p>
        </w:tc>
        <w:tc>
          <w:tcPr>
            <w:tcW w:w="851" w:type="dxa"/>
            <w:tcBorders>
              <w:top w:val="nil"/>
              <w:left w:val="single" w:sz="4" w:space="0" w:color="auto"/>
              <w:bottom w:val="nil"/>
              <w:right w:val="single" w:sz="4" w:space="0" w:color="auto"/>
            </w:tcBorders>
            <w:shd w:val="clear" w:color="000000" w:fill="FFFFFF"/>
            <w:noWrap/>
            <w:vAlign w:val="bottom"/>
            <w:hideMark/>
          </w:tcPr>
          <w:p w14:paraId="1DD0150D"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584.4</w:t>
            </w:r>
          </w:p>
        </w:tc>
        <w:tc>
          <w:tcPr>
            <w:tcW w:w="850" w:type="dxa"/>
            <w:tcBorders>
              <w:top w:val="nil"/>
              <w:left w:val="nil"/>
              <w:bottom w:val="nil"/>
              <w:right w:val="single" w:sz="4" w:space="0" w:color="auto"/>
            </w:tcBorders>
            <w:shd w:val="clear" w:color="000000" w:fill="FFFFFF"/>
            <w:noWrap/>
            <w:vAlign w:val="bottom"/>
            <w:hideMark/>
          </w:tcPr>
          <w:p w14:paraId="52C44E3E"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752.7</w:t>
            </w:r>
          </w:p>
        </w:tc>
        <w:tc>
          <w:tcPr>
            <w:tcW w:w="982" w:type="dxa"/>
            <w:tcBorders>
              <w:top w:val="nil"/>
              <w:left w:val="nil"/>
              <w:bottom w:val="nil"/>
              <w:right w:val="single" w:sz="4" w:space="0" w:color="auto"/>
            </w:tcBorders>
            <w:shd w:val="clear" w:color="000000" w:fill="FFFFFF"/>
            <w:noWrap/>
            <w:vAlign w:val="bottom"/>
            <w:hideMark/>
          </w:tcPr>
          <w:p w14:paraId="4FFA750B"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168.3</w:t>
            </w:r>
          </w:p>
        </w:tc>
        <w:tc>
          <w:tcPr>
            <w:tcW w:w="992" w:type="dxa"/>
            <w:tcBorders>
              <w:top w:val="nil"/>
              <w:left w:val="single" w:sz="4" w:space="0" w:color="auto"/>
              <w:bottom w:val="nil"/>
              <w:right w:val="single" w:sz="8" w:space="0" w:color="auto"/>
            </w:tcBorders>
            <w:shd w:val="clear" w:color="000000" w:fill="FFFFFF"/>
            <w:noWrap/>
            <w:vAlign w:val="bottom"/>
            <w:hideMark/>
          </w:tcPr>
          <w:p w14:paraId="5668FCA3"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28.8%</w:t>
            </w:r>
          </w:p>
        </w:tc>
        <w:tc>
          <w:tcPr>
            <w:tcW w:w="851" w:type="dxa"/>
            <w:tcBorders>
              <w:top w:val="nil"/>
              <w:left w:val="nil"/>
              <w:bottom w:val="nil"/>
              <w:right w:val="single" w:sz="4" w:space="0" w:color="auto"/>
            </w:tcBorders>
            <w:shd w:val="clear" w:color="000000" w:fill="FFFFFF"/>
            <w:noWrap/>
            <w:vAlign w:val="bottom"/>
            <w:hideMark/>
          </w:tcPr>
          <w:p w14:paraId="14B0EAA9"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1.2%</w:t>
            </w:r>
          </w:p>
        </w:tc>
        <w:tc>
          <w:tcPr>
            <w:tcW w:w="850" w:type="dxa"/>
            <w:tcBorders>
              <w:top w:val="nil"/>
              <w:left w:val="nil"/>
              <w:bottom w:val="nil"/>
              <w:right w:val="single" w:sz="8" w:space="0" w:color="auto"/>
            </w:tcBorders>
            <w:shd w:val="clear" w:color="000000" w:fill="FFFFFF"/>
            <w:noWrap/>
            <w:vAlign w:val="bottom"/>
            <w:hideMark/>
          </w:tcPr>
          <w:p w14:paraId="62270905"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1.4%</w:t>
            </w:r>
          </w:p>
        </w:tc>
        <w:tc>
          <w:tcPr>
            <w:tcW w:w="709" w:type="dxa"/>
            <w:vMerge/>
            <w:tcBorders>
              <w:top w:val="nil"/>
              <w:left w:val="single" w:sz="8" w:space="0" w:color="auto"/>
              <w:bottom w:val="single" w:sz="8" w:space="0" w:color="000000"/>
              <w:right w:val="single" w:sz="4" w:space="0" w:color="auto"/>
            </w:tcBorders>
            <w:vAlign w:val="center"/>
            <w:hideMark/>
          </w:tcPr>
          <w:p w14:paraId="0E91E46E"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0DF4FAC0" w14:textId="77777777" w:rsidR="005F2EE7" w:rsidRPr="008F7BCB" w:rsidRDefault="005F2EE7" w:rsidP="0042480D">
            <w:pPr>
              <w:rPr>
                <w:color w:val="000000"/>
                <w:sz w:val="16"/>
                <w:szCs w:val="22"/>
                <w:lang w:val="es-GT" w:eastAsia="es-GT"/>
              </w:rPr>
            </w:pPr>
          </w:p>
        </w:tc>
      </w:tr>
      <w:tr w:rsidR="005F2EE7" w:rsidRPr="008F7BCB" w14:paraId="5268C9BC"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7765F47E" w14:textId="27C41562" w:rsidR="005F2EE7" w:rsidRPr="008F7BCB" w:rsidRDefault="005F2EE7" w:rsidP="0042480D">
            <w:pPr>
              <w:rPr>
                <w:color w:val="000000"/>
                <w:sz w:val="16"/>
                <w:szCs w:val="20"/>
                <w:lang w:val="es-GT" w:eastAsia="es-GT"/>
              </w:rPr>
            </w:pPr>
            <w:r w:rsidRPr="008F7BCB">
              <w:rPr>
                <w:color w:val="000000"/>
                <w:sz w:val="16"/>
                <w:szCs w:val="20"/>
                <w:lang w:val="es-GT" w:eastAsia="es-GT"/>
              </w:rPr>
              <w:t>Secretarías</w:t>
            </w:r>
            <w:r w:rsidR="008A0ED0">
              <w:rPr>
                <w:color w:val="000000"/>
                <w:sz w:val="16"/>
                <w:szCs w:val="20"/>
                <w:lang w:val="es-GT" w:eastAsia="es-GT"/>
              </w:rPr>
              <w:t xml:space="preserve"> del Ejecutivo</w:t>
            </w:r>
          </w:p>
        </w:tc>
        <w:tc>
          <w:tcPr>
            <w:tcW w:w="851" w:type="dxa"/>
            <w:tcBorders>
              <w:top w:val="nil"/>
              <w:left w:val="single" w:sz="4" w:space="0" w:color="auto"/>
              <w:bottom w:val="nil"/>
              <w:right w:val="single" w:sz="4" w:space="0" w:color="auto"/>
            </w:tcBorders>
            <w:shd w:val="clear" w:color="000000" w:fill="FFFFFF"/>
            <w:noWrap/>
            <w:vAlign w:val="bottom"/>
            <w:hideMark/>
          </w:tcPr>
          <w:p w14:paraId="1D617545"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518.3</w:t>
            </w:r>
          </w:p>
        </w:tc>
        <w:tc>
          <w:tcPr>
            <w:tcW w:w="850" w:type="dxa"/>
            <w:tcBorders>
              <w:top w:val="nil"/>
              <w:left w:val="nil"/>
              <w:bottom w:val="nil"/>
              <w:right w:val="single" w:sz="4" w:space="0" w:color="auto"/>
            </w:tcBorders>
            <w:shd w:val="clear" w:color="000000" w:fill="FFFFFF"/>
            <w:noWrap/>
            <w:vAlign w:val="bottom"/>
            <w:hideMark/>
          </w:tcPr>
          <w:p w14:paraId="3EDC9655"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623.5</w:t>
            </w:r>
          </w:p>
        </w:tc>
        <w:tc>
          <w:tcPr>
            <w:tcW w:w="982" w:type="dxa"/>
            <w:tcBorders>
              <w:top w:val="nil"/>
              <w:left w:val="nil"/>
              <w:bottom w:val="nil"/>
              <w:right w:val="single" w:sz="4" w:space="0" w:color="auto"/>
            </w:tcBorders>
            <w:shd w:val="clear" w:color="000000" w:fill="FFFFFF"/>
            <w:noWrap/>
            <w:vAlign w:val="bottom"/>
            <w:hideMark/>
          </w:tcPr>
          <w:p w14:paraId="2F80128C"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105.2</w:t>
            </w:r>
          </w:p>
        </w:tc>
        <w:tc>
          <w:tcPr>
            <w:tcW w:w="992" w:type="dxa"/>
            <w:tcBorders>
              <w:top w:val="nil"/>
              <w:left w:val="single" w:sz="4" w:space="0" w:color="auto"/>
              <w:bottom w:val="nil"/>
              <w:right w:val="single" w:sz="8" w:space="0" w:color="auto"/>
            </w:tcBorders>
            <w:shd w:val="clear" w:color="000000" w:fill="FFFFFF"/>
            <w:noWrap/>
            <w:vAlign w:val="bottom"/>
            <w:hideMark/>
          </w:tcPr>
          <w:p w14:paraId="5F544C44"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20.3%</w:t>
            </w:r>
          </w:p>
        </w:tc>
        <w:tc>
          <w:tcPr>
            <w:tcW w:w="851" w:type="dxa"/>
            <w:tcBorders>
              <w:top w:val="nil"/>
              <w:left w:val="nil"/>
              <w:bottom w:val="nil"/>
              <w:right w:val="single" w:sz="4" w:space="0" w:color="auto"/>
            </w:tcBorders>
            <w:shd w:val="clear" w:color="000000" w:fill="FFFFFF"/>
            <w:noWrap/>
            <w:vAlign w:val="bottom"/>
            <w:hideMark/>
          </w:tcPr>
          <w:p w14:paraId="3FFEAA84"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1.1%</w:t>
            </w:r>
          </w:p>
        </w:tc>
        <w:tc>
          <w:tcPr>
            <w:tcW w:w="850" w:type="dxa"/>
            <w:tcBorders>
              <w:top w:val="nil"/>
              <w:left w:val="nil"/>
              <w:bottom w:val="nil"/>
              <w:right w:val="single" w:sz="8" w:space="0" w:color="auto"/>
            </w:tcBorders>
            <w:shd w:val="clear" w:color="000000" w:fill="FFFFFF"/>
            <w:noWrap/>
            <w:vAlign w:val="bottom"/>
            <w:hideMark/>
          </w:tcPr>
          <w:p w14:paraId="27E04D51"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1.1%</w:t>
            </w:r>
          </w:p>
        </w:tc>
        <w:tc>
          <w:tcPr>
            <w:tcW w:w="709" w:type="dxa"/>
            <w:vMerge/>
            <w:tcBorders>
              <w:top w:val="nil"/>
              <w:left w:val="single" w:sz="8" w:space="0" w:color="auto"/>
              <w:bottom w:val="single" w:sz="8" w:space="0" w:color="000000"/>
              <w:right w:val="single" w:sz="4" w:space="0" w:color="auto"/>
            </w:tcBorders>
            <w:vAlign w:val="center"/>
            <w:hideMark/>
          </w:tcPr>
          <w:p w14:paraId="6302DB37"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7FA0AF0F" w14:textId="77777777" w:rsidR="005F2EE7" w:rsidRPr="008F7BCB" w:rsidRDefault="005F2EE7" w:rsidP="0042480D">
            <w:pPr>
              <w:rPr>
                <w:color w:val="000000"/>
                <w:sz w:val="16"/>
                <w:szCs w:val="22"/>
                <w:lang w:val="es-GT" w:eastAsia="es-GT"/>
              </w:rPr>
            </w:pPr>
          </w:p>
        </w:tc>
      </w:tr>
      <w:tr w:rsidR="005F2EE7" w:rsidRPr="008F7BCB" w14:paraId="64DFD69A"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191011BB"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Trabajo</w:t>
            </w:r>
          </w:p>
        </w:tc>
        <w:tc>
          <w:tcPr>
            <w:tcW w:w="851" w:type="dxa"/>
            <w:tcBorders>
              <w:top w:val="nil"/>
              <w:left w:val="single" w:sz="4" w:space="0" w:color="auto"/>
              <w:bottom w:val="nil"/>
              <w:right w:val="single" w:sz="4" w:space="0" w:color="auto"/>
            </w:tcBorders>
            <w:shd w:val="clear" w:color="000000" w:fill="FFFFFF"/>
            <w:noWrap/>
            <w:vAlign w:val="bottom"/>
            <w:hideMark/>
          </w:tcPr>
          <w:p w14:paraId="1885040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429.3</w:t>
            </w:r>
          </w:p>
        </w:tc>
        <w:tc>
          <w:tcPr>
            <w:tcW w:w="850" w:type="dxa"/>
            <w:tcBorders>
              <w:top w:val="nil"/>
              <w:left w:val="nil"/>
              <w:bottom w:val="nil"/>
              <w:right w:val="single" w:sz="4" w:space="0" w:color="auto"/>
            </w:tcBorders>
            <w:shd w:val="clear" w:color="000000" w:fill="FFFFFF"/>
            <w:noWrap/>
            <w:vAlign w:val="bottom"/>
            <w:hideMark/>
          </w:tcPr>
          <w:p w14:paraId="41F788BC"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543.3</w:t>
            </w:r>
          </w:p>
        </w:tc>
        <w:tc>
          <w:tcPr>
            <w:tcW w:w="982" w:type="dxa"/>
            <w:tcBorders>
              <w:top w:val="nil"/>
              <w:left w:val="nil"/>
              <w:bottom w:val="nil"/>
              <w:right w:val="single" w:sz="4" w:space="0" w:color="auto"/>
            </w:tcBorders>
            <w:shd w:val="clear" w:color="000000" w:fill="FFFFFF"/>
            <w:noWrap/>
            <w:vAlign w:val="bottom"/>
            <w:hideMark/>
          </w:tcPr>
          <w:p w14:paraId="50455D20"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113.9</w:t>
            </w:r>
          </w:p>
        </w:tc>
        <w:tc>
          <w:tcPr>
            <w:tcW w:w="992" w:type="dxa"/>
            <w:tcBorders>
              <w:top w:val="nil"/>
              <w:left w:val="single" w:sz="4" w:space="0" w:color="auto"/>
              <w:bottom w:val="nil"/>
              <w:right w:val="single" w:sz="8" w:space="0" w:color="auto"/>
            </w:tcBorders>
            <w:shd w:val="clear" w:color="000000" w:fill="FFFFFF"/>
            <w:noWrap/>
            <w:vAlign w:val="bottom"/>
            <w:hideMark/>
          </w:tcPr>
          <w:p w14:paraId="101283BF"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26.5%</w:t>
            </w:r>
          </w:p>
        </w:tc>
        <w:tc>
          <w:tcPr>
            <w:tcW w:w="851" w:type="dxa"/>
            <w:tcBorders>
              <w:top w:val="nil"/>
              <w:left w:val="nil"/>
              <w:bottom w:val="nil"/>
              <w:right w:val="single" w:sz="4" w:space="0" w:color="auto"/>
            </w:tcBorders>
            <w:shd w:val="clear" w:color="000000" w:fill="FFFFFF"/>
            <w:noWrap/>
            <w:vAlign w:val="bottom"/>
            <w:hideMark/>
          </w:tcPr>
          <w:p w14:paraId="3154F82D"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0.9%</w:t>
            </w:r>
          </w:p>
        </w:tc>
        <w:tc>
          <w:tcPr>
            <w:tcW w:w="850" w:type="dxa"/>
            <w:tcBorders>
              <w:top w:val="nil"/>
              <w:left w:val="nil"/>
              <w:bottom w:val="nil"/>
              <w:right w:val="single" w:sz="8" w:space="0" w:color="auto"/>
            </w:tcBorders>
            <w:shd w:val="clear" w:color="000000" w:fill="FFFFFF"/>
            <w:noWrap/>
            <w:vAlign w:val="bottom"/>
            <w:hideMark/>
          </w:tcPr>
          <w:p w14:paraId="23C19C42"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1.0%</w:t>
            </w:r>
          </w:p>
        </w:tc>
        <w:tc>
          <w:tcPr>
            <w:tcW w:w="709" w:type="dxa"/>
            <w:vMerge/>
            <w:tcBorders>
              <w:top w:val="nil"/>
              <w:left w:val="single" w:sz="8" w:space="0" w:color="auto"/>
              <w:bottom w:val="single" w:sz="8" w:space="0" w:color="000000"/>
              <w:right w:val="single" w:sz="4" w:space="0" w:color="auto"/>
            </w:tcBorders>
            <w:vAlign w:val="center"/>
            <w:hideMark/>
          </w:tcPr>
          <w:p w14:paraId="55945582"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36A14BA5" w14:textId="77777777" w:rsidR="005F2EE7" w:rsidRPr="008F7BCB" w:rsidRDefault="005F2EE7" w:rsidP="0042480D">
            <w:pPr>
              <w:rPr>
                <w:color w:val="000000"/>
                <w:sz w:val="16"/>
                <w:szCs w:val="22"/>
                <w:lang w:val="es-GT" w:eastAsia="es-GT"/>
              </w:rPr>
            </w:pPr>
          </w:p>
        </w:tc>
      </w:tr>
      <w:tr w:rsidR="005F2EE7" w:rsidRPr="008F7BCB" w14:paraId="62FA553D"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7A38ADBB" w14:textId="2DA2D3FF" w:rsidR="005F2EE7" w:rsidRPr="008F7BCB" w:rsidRDefault="005F2EE7" w:rsidP="0042480D">
            <w:pPr>
              <w:rPr>
                <w:color w:val="000000"/>
                <w:sz w:val="16"/>
                <w:szCs w:val="20"/>
                <w:lang w:val="es-GT" w:eastAsia="es-GT"/>
              </w:rPr>
            </w:pPr>
            <w:r w:rsidRPr="008F7BCB">
              <w:rPr>
                <w:color w:val="000000"/>
                <w:sz w:val="16"/>
                <w:szCs w:val="20"/>
                <w:lang w:val="es-GT" w:eastAsia="es-GT"/>
              </w:rPr>
              <w:t xml:space="preserve">Cultura </w:t>
            </w:r>
            <w:r w:rsidR="008A0ED0">
              <w:rPr>
                <w:color w:val="000000"/>
                <w:sz w:val="16"/>
                <w:szCs w:val="20"/>
                <w:lang w:val="es-GT" w:eastAsia="es-GT"/>
              </w:rPr>
              <w:t>y</w:t>
            </w:r>
            <w:r w:rsidRPr="008F7BCB">
              <w:rPr>
                <w:color w:val="000000"/>
                <w:sz w:val="16"/>
                <w:szCs w:val="20"/>
                <w:lang w:val="es-GT" w:eastAsia="es-GT"/>
              </w:rPr>
              <w:t xml:space="preserve"> Deportes</w:t>
            </w:r>
          </w:p>
        </w:tc>
        <w:tc>
          <w:tcPr>
            <w:tcW w:w="851" w:type="dxa"/>
            <w:tcBorders>
              <w:top w:val="nil"/>
              <w:left w:val="single" w:sz="4" w:space="0" w:color="auto"/>
              <w:bottom w:val="nil"/>
              <w:right w:val="single" w:sz="4" w:space="0" w:color="auto"/>
            </w:tcBorders>
            <w:shd w:val="clear" w:color="000000" w:fill="FFFFFF"/>
            <w:noWrap/>
            <w:vAlign w:val="bottom"/>
            <w:hideMark/>
          </w:tcPr>
          <w:p w14:paraId="6B6DCC54"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201.5</w:t>
            </w:r>
          </w:p>
        </w:tc>
        <w:tc>
          <w:tcPr>
            <w:tcW w:w="850" w:type="dxa"/>
            <w:tcBorders>
              <w:top w:val="nil"/>
              <w:left w:val="nil"/>
              <w:bottom w:val="nil"/>
              <w:right w:val="single" w:sz="4" w:space="0" w:color="auto"/>
            </w:tcBorders>
            <w:shd w:val="clear" w:color="000000" w:fill="FFFFFF"/>
            <w:noWrap/>
            <w:vAlign w:val="bottom"/>
            <w:hideMark/>
          </w:tcPr>
          <w:p w14:paraId="6E4493D8"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401.8</w:t>
            </w:r>
          </w:p>
        </w:tc>
        <w:tc>
          <w:tcPr>
            <w:tcW w:w="982" w:type="dxa"/>
            <w:tcBorders>
              <w:top w:val="nil"/>
              <w:left w:val="nil"/>
              <w:bottom w:val="nil"/>
              <w:right w:val="single" w:sz="4" w:space="0" w:color="auto"/>
            </w:tcBorders>
            <w:shd w:val="clear" w:color="000000" w:fill="FFFFFF"/>
            <w:noWrap/>
            <w:vAlign w:val="bottom"/>
            <w:hideMark/>
          </w:tcPr>
          <w:p w14:paraId="57E8C3DF"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200.3</w:t>
            </w:r>
          </w:p>
        </w:tc>
        <w:tc>
          <w:tcPr>
            <w:tcW w:w="992" w:type="dxa"/>
            <w:tcBorders>
              <w:top w:val="nil"/>
              <w:left w:val="single" w:sz="4" w:space="0" w:color="auto"/>
              <w:bottom w:val="nil"/>
              <w:right w:val="single" w:sz="8" w:space="0" w:color="auto"/>
            </w:tcBorders>
            <w:shd w:val="clear" w:color="000000" w:fill="FFFFFF"/>
            <w:noWrap/>
            <w:vAlign w:val="bottom"/>
            <w:hideMark/>
          </w:tcPr>
          <w:p w14:paraId="17AF2C5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99.4%</w:t>
            </w:r>
          </w:p>
        </w:tc>
        <w:tc>
          <w:tcPr>
            <w:tcW w:w="851" w:type="dxa"/>
            <w:tcBorders>
              <w:top w:val="nil"/>
              <w:left w:val="nil"/>
              <w:bottom w:val="nil"/>
              <w:right w:val="single" w:sz="4" w:space="0" w:color="auto"/>
            </w:tcBorders>
            <w:shd w:val="clear" w:color="000000" w:fill="FFFFFF"/>
            <w:noWrap/>
            <w:vAlign w:val="bottom"/>
            <w:hideMark/>
          </w:tcPr>
          <w:p w14:paraId="3644AF6B"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0.4%</w:t>
            </w:r>
          </w:p>
        </w:tc>
        <w:tc>
          <w:tcPr>
            <w:tcW w:w="850" w:type="dxa"/>
            <w:tcBorders>
              <w:top w:val="nil"/>
              <w:left w:val="nil"/>
              <w:bottom w:val="nil"/>
              <w:right w:val="single" w:sz="8" w:space="0" w:color="auto"/>
            </w:tcBorders>
            <w:shd w:val="clear" w:color="000000" w:fill="FFFFFF"/>
            <w:noWrap/>
            <w:vAlign w:val="bottom"/>
            <w:hideMark/>
          </w:tcPr>
          <w:p w14:paraId="040A5CFD"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0.7%</w:t>
            </w:r>
          </w:p>
        </w:tc>
        <w:tc>
          <w:tcPr>
            <w:tcW w:w="709" w:type="dxa"/>
            <w:vMerge/>
            <w:tcBorders>
              <w:top w:val="nil"/>
              <w:left w:val="single" w:sz="8" w:space="0" w:color="auto"/>
              <w:bottom w:val="single" w:sz="8" w:space="0" w:color="000000"/>
              <w:right w:val="single" w:sz="4" w:space="0" w:color="auto"/>
            </w:tcBorders>
            <w:vAlign w:val="center"/>
            <w:hideMark/>
          </w:tcPr>
          <w:p w14:paraId="1C9E0378"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74F7D6DA" w14:textId="77777777" w:rsidR="005F2EE7" w:rsidRPr="008F7BCB" w:rsidRDefault="005F2EE7" w:rsidP="0042480D">
            <w:pPr>
              <w:rPr>
                <w:color w:val="000000"/>
                <w:sz w:val="16"/>
                <w:szCs w:val="22"/>
                <w:lang w:val="es-GT" w:eastAsia="es-GT"/>
              </w:rPr>
            </w:pPr>
          </w:p>
        </w:tc>
      </w:tr>
      <w:tr w:rsidR="005F2EE7" w:rsidRPr="008F7BCB" w14:paraId="3CB76A0C"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38A502AA"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Relaciones Exteriores</w:t>
            </w:r>
          </w:p>
        </w:tc>
        <w:tc>
          <w:tcPr>
            <w:tcW w:w="851" w:type="dxa"/>
            <w:tcBorders>
              <w:top w:val="nil"/>
              <w:left w:val="single" w:sz="4" w:space="0" w:color="auto"/>
              <w:bottom w:val="nil"/>
              <w:right w:val="single" w:sz="4" w:space="0" w:color="auto"/>
            </w:tcBorders>
            <w:shd w:val="clear" w:color="000000" w:fill="FFFFFF"/>
            <w:noWrap/>
            <w:vAlign w:val="bottom"/>
            <w:hideMark/>
          </w:tcPr>
          <w:p w14:paraId="2D64171D"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268.9</w:t>
            </w:r>
          </w:p>
        </w:tc>
        <w:tc>
          <w:tcPr>
            <w:tcW w:w="850" w:type="dxa"/>
            <w:tcBorders>
              <w:top w:val="nil"/>
              <w:left w:val="nil"/>
              <w:bottom w:val="nil"/>
              <w:right w:val="single" w:sz="4" w:space="0" w:color="auto"/>
            </w:tcBorders>
            <w:shd w:val="clear" w:color="000000" w:fill="FFFFFF"/>
            <w:noWrap/>
            <w:vAlign w:val="bottom"/>
            <w:hideMark/>
          </w:tcPr>
          <w:p w14:paraId="73D787D4"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321.0</w:t>
            </w:r>
          </w:p>
        </w:tc>
        <w:tc>
          <w:tcPr>
            <w:tcW w:w="982" w:type="dxa"/>
            <w:tcBorders>
              <w:top w:val="nil"/>
              <w:left w:val="nil"/>
              <w:bottom w:val="nil"/>
              <w:right w:val="single" w:sz="4" w:space="0" w:color="auto"/>
            </w:tcBorders>
            <w:shd w:val="clear" w:color="000000" w:fill="FFFFFF"/>
            <w:noWrap/>
            <w:vAlign w:val="bottom"/>
            <w:hideMark/>
          </w:tcPr>
          <w:p w14:paraId="2E82B71E"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52.1</w:t>
            </w:r>
          </w:p>
        </w:tc>
        <w:tc>
          <w:tcPr>
            <w:tcW w:w="992" w:type="dxa"/>
            <w:tcBorders>
              <w:top w:val="nil"/>
              <w:left w:val="single" w:sz="4" w:space="0" w:color="auto"/>
              <w:bottom w:val="nil"/>
              <w:right w:val="single" w:sz="8" w:space="0" w:color="auto"/>
            </w:tcBorders>
            <w:shd w:val="clear" w:color="000000" w:fill="FFFFFF"/>
            <w:noWrap/>
            <w:vAlign w:val="bottom"/>
            <w:hideMark/>
          </w:tcPr>
          <w:p w14:paraId="67B7D15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19.4%</w:t>
            </w:r>
          </w:p>
        </w:tc>
        <w:tc>
          <w:tcPr>
            <w:tcW w:w="851" w:type="dxa"/>
            <w:tcBorders>
              <w:top w:val="nil"/>
              <w:left w:val="nil"/>
              <w:bottom w:val="nil"/>
              <w:right w:val="single" w:sz="4" w:space="0" w:color="auto"/>
            </w:tcBorders>
            <w:shd w:val="clear" w:color="000000" w:fill="FFFFFF"/>
            <w:noWrap/>
            <w:vAlign w:val="bottom"/>
            <w:hideMark/>
          </w:tcPr>
          <w:p w14:paraId="11E6CF79"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0.6%</w:t>
            </w:r>
          </w:p>
        </w:tc>
        <w:tc>
          <w:tcPr>
            <w:tcW w:w="850" w:type="dxa"/>
            <w:tcBorders>
              <w:top w:val="nil"/>
              <w:left w:val="nil"/>
              <w:bottom w:val="nil"/>
              <w:right w:val="single" w:sz="8" w:space="0" w:color="auto"/>
            </w:tcBorders>
            <w:shd w:val="clear" w:color="000000" w:fill="FFFFFF"/>
            <w:noWrap/>
            <w:vAlign w:val="bottom"/>
            <w:hideMark/>
          </w:tcPr>
          <w:p w14:paraId="5EB218C4"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0.6%</w:t>
            </w:r>
          </w:p>
        </w:tc>
        <w:tc>
          <w:tcPr>
            <w:tcW w:w="709" w:type="dxa"/>
            <w:vMerge/>
            <w:tcBorders>
              <w:top w:val="nil"/>
              <w:left w:val="single" w:sz="8" w:space="0" w:color="auto"/>
              <w:bottom w:val="single" w:sz="8" w:space="0" w:color="000000"/>
              <w:right w:val="single" w:sz="4" w:space="0" w:color="auto"/>
            </w:tcBorders>
            <w:vAlign w:val="center"/>
            <w:hideMark/>
          </w:tcPr>
          <w:p w14:paraId="716CFFCD"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7D9E4B30" w14:textId="77777777" w:rsidR="005F2EE7" w:rsidRPr="008F7BCB" w:rsidRDefault="005F2EE7" w:rsidP="0042480D">
            <w:pPr>
              <w:rPr>
                <w:color w:val="000000"/>
                <w:sz w:val="16"/>
                <w:szCs w:val="22"/>
                <w:lang w:val="es-GT" w:eastAsia="es-GT"/>
              </w:rPr>
            </w:pPr>
          </w:p>
        </w:tc>
      </w:tr>
      <w:tr w:rsidR="005F2EE7" w:rsidRPr="008F7BCB" w14:paraId="1FE58C4A"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636C20B4" w14:textId="082EFA8F" w:rsidR="005F2EE7" w:rsidRPr="008F7BCB" w:rsidRDefault="005F2EE7" w:rsidP="0042480D">
            <w:pPr>
              <w:rPr>
                <w:color w:val="000000"/>
                <w:sz w:val="16"/>
                <w:szCs w:val="20"/>
                <w:lang w:val="es-GT" w:eastAsia="es-GT"/>
              </w:rPr>
            </w:pPr>
            <w:r w:rsidRPr="008F7BCB">
              <w:rPr>
                <w:color w:val="000000"/>
                <w:sz w:val="16"/>
                <w:szCs w:val="20"/>
                <w:lang w:val="es-GT" w:eastAsia="es-GT"/>
              </w:rPr>
              <w:t xml:space="preserve">Energía </w:t>
            </w:r>
            <w:r w:rsidR="008A0ED0">
              <w:rPr>
                <w:color w:val="000000"/>
                <w:sz w:val="16"/>
                <w:szCs w:val="20"/>
                <w:lang w:val="es-GT" w:eastAsia="es-GT"/>
              </w:rPr>
              <w:t>y</w:t>
            </w:r>
            <w:r w:rsidRPr="008F7BCB">
              <w:rPr>
                <w:color w:val="000000"/>
                <w:sz w:val="16"/>
                <w:szCs w:val="20"/>
                <w:lang w:val="es-GT" w:eastAsia="es-GT"/>
              </w:rPr>
              <w:t xml:space="preserve"> Minas</w:t>
            </w:r>
          </w:p>
        </w:tc>
        <w:tc>
          <w:tcPr>
            <w:tcW w:w="851" w:type="dxa"/>
            <w:tcBorders>
              <w:top w:val="nil"/>
              <w:left w:val="single" w:sz="4" w:space="0" w:color="auto"/>
              <w:bottom w:val="nil"/>
              <w:right w:val="single" w:sz="4" w:space="0" w:color="auto"/>
            </w:tcBorders>
            <w:shd w:val="clear" w:color="000000" w:fill="FFFFFF"/>
            <w:noWrap/>
            <w:vAlign w:val="bottom"/>
            <w:hideMark/>
          </w:tcPr>
          <w:p w14:paraId="462F8B2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1,452.9</w:t>
            </w:r>
          </w:p>
        </w:tc>
        <w:tc>
          <w:tcPr>
            <w:tcW w:w="850" w:type="dxa"/>
            <w:tcBorders>
              <w:top w:val="nil"/>
              <w:left w:val="nil"/>
              <w:bottom w:val="nil"/>
              <w:right w:val="single" w:sz="4" w:space="0" w:color="auto"/>
            </w:tcBorders>
            <w:shd w:val="clear" w:color="000000" w:fill="FFFFFF"/>
            <w:noWrap/>
            <w:vAlign w:val="bottom"/>
            <w:hideMark/>
          </w:tcPr>
          <w:p w14:paraId="28F966DA"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255.8</w:t>
            </w:r>
          </w:p>
        </w:tc>
        <w:tc>
          <w:tcPr>
            <w:tcW w:w="982" w:type="dxa"/>
            <w:tcBorders>
              <w:top w:val="nil"/>
              <w:left w:val="nil"/>
              <w:bottom w:val="nil"/>
              <w:right w:val="single" w:sz="4" w:space="0" w:color="auto"/>
            </w:tcBorders>
            <w:shd w:val="clear" w:color="000000" w:fill="FFFFFF"/>
            <w:noWrap/>
            <w:vAlign w:val="bottom"/>
            <w:hideMark/>
          </w:tcPr>
          <w:p w14:paraId="02EB8853"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-1,197.1</w:t>
            </w:r>
          </w:p>
        </w:tc>
        <w:tc>
          <w:tcPr>
            <w:tcW w:w="992" w:type="dxa"/>
            <w:tcBorders>
              <w:top w:val="nil"/>
              <w:left w:val="single" w:sz="4" w:space="0" w:color="auto"/>
              <w:bottom w:val="nil"/>
              <w:right w:val="single" w:sz="8" w:space="0" w:color="auto"/>
            </w:tcBorders>
            <w:shd w:val="clear" w:color="000000" w:fill="FFFFFF"/>
            <w:noWrap/>
            <w:vAlign w:val="bottom"/>
            <w:hideMark/>
          </w:tcPr>
          <w:p w14:paraId="20D98470"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-82.4%</w:t>
            </w:r>
          </w:p>
        </w:tc>
        <w:tc>
          <w:tcPr>
            <w:tcW w:w="851" w:type="dxa"/>
            <w:tcBorders>
              <w:top w:val="nil"/>
              <w:left w:val="nil"/>
              <w:bottom w:val="nil"/>
              <w:right w:val="single" w:sz="4" w:space="0" w:color="auto"/>
            </w:tcBorders>
            <w:shd w:val="clear" w:color="000000" w:fill="FFFFFF"/>
            <w:noWrap/>
            <w:vAlign w:val="bottom"/>
            <w:hideMark/>
          </w:tcPr>
          <w:p w14:paraId="53BA7D94"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3.1%</w:t>
            </w:r>
          </w:p>
        </w:tc>
        <w:tc>
          <w:tcPr>
            <w:tcW w:w="850" w:type="dxa"/>
            <w:tcBorders>
              <w:top w:val="nil"/>
              <w:left w:val="nil"/>
              <w:bottom w:val="nil"/>
              <w:right w:val="single" w:sz="8" w:space="0" w:color="auto"/>
            </w:tcBorders>
            <w:shd w:val="clear" w:color="000000" w:fill="FFFFFF"/>
            <w:noWrap/>
            <w:vAlign w:val="bottom"/>
            <w:hideMark/>
          </w:tcPr>
          <w:p w14:paraId="34706CC9"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0.5%</w:t>
            </w:r>
          </w:p>
        </w:tc>
        <w:tc>
          <w:tcPr>
            <w:tcW w:w="709" w:type="dxa"/>
            <w:vMerge/>
            <w:tcBorders>
              <w:top w:val="nil"/>
              <w:left w:val="single" w:sz="8" w:space="0" w:color="auto"/>
              <w:bottom w:val="single" w:sz="8" w:space="0" w:color="000000"/>
              <w:right w:val="single" w:sz="4" w:space="0" w:color="auto"/>
            </w:tcBorders>
            <w:vAlign w:val="center"/>
            <w:hideMark/>
          </w:tcPr>
          <w:p w14:paraId="580A2293"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17DD4D27" w14:textId="77777777" w:rsidR="005F2EE7" w:rsidRPr="008F7BCB" w:rsidRDefault="005F2EE7" w:rsidP="0042480D">
            <w:pPr>
              <w:rPr>
                <w:color w:val="000000"/>
                <w:sz w:val="16"/>
                <w:szCs w:val="22"/>
                <w:lang w:val="es-GT" w:eastAsia="es-GT"/>
              </w:rPr>
            </w:pPr>
          </w:p>
        </w:tc>
      </w:tr>
      <w:tr w:rsidR="005F2EE7" w:rsidRPr="008F7BCB" w14:paraId="18492865"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4443B26C"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Economía</w:t>
            </w:r>
          </w:p>
        </w:tc>
        <w:tc>
          <w:tcPr>
            <w:tcW w:w="851" w:type="dxa"/>
            <w:tcBorders>
              <w:top w:val="nil"/>
              <w:left w:val="single" w:sz="4" w:space="0" w:color="auto"/>
              <w:bottom w:val="nil"/>
              <w:right w:val="single" w:sz="4" w:space="0" w:color="auto"/>
            </w:tcBorders>
            <w:shd w:val="clear" w:color="000000" w:fill="FFFFFF"/>
            <w:noWrap/>
            <w:vAlign w:val="bottom"/>
            <w:hideMark/>
          </w:tcPr>
          <w:p w14:paraId="7420B445"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148.4</w:t>
            </w:r>
          </w:p>
        </w:tc>
        <w:tc>
          <w:tcPr>
            <w:tcW w:w="850" w:type="dxa"/>
            <w:tcBorders>
              <w:top w:val="nil"/>
              <w:left w:val="nil"/>
              <w:bottom w:val="nil"/>
              <w:right w:val="single" w:sz="4" w:space="0" w:color="auto"/>
            </w:tcBorders>
            <w:shd w:val="clear" w:color="000000" w:fill="FFFFFF"/>
            <w:noWrap/>
            <w:vAlign w:val="bottom"/>
            <w:hideMark/>
          </w:tcPr>
          <w:p w14:paraId="25B0AF8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194.1</w:t>
            </w:r>
          </w:p>
        </w:tc>
        <w:tc>
          <w:tcPr>
            <w:tcW w:w="982" w:type="dxa"/>
            <w:tcBorders>
              <w:top w:val="nil"/>
              <w:left w:val="nil"/>
              <w:bottom w:val="nil"/>
              <w:right w:val="single" w:sz="4" w:space="0" w:color="auto"/>
            </w:tcBorders>
            <w:shd w:val="clear" w:color="000000" w:fill="FFFFFF"/>
            <w:noWrap/>
            <w:vAlign w:val="bottom"/>
            <w:hideMark/>
          </w:tcPr>
          <w:p w14:paraId="0649CC3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45.7</w:t>
            </w:r>
          </w:p>
        </w:tc>
        <w:tc>
          <w:tcPr>
            <w:tcW w:w="992" w:type="dxa"/>
            <w:tcBorders>
              <w:top w:val="nil"/>
              <w:left w:val="single" w:sz="4" w:space="0" w:color="auto"/>
              <w:bottom w:val="nil"/>
              <w:right w:val="single" w:sz="8" w:space="0" w:color="auto"/>
            </w:tcBorders>
            <w:shd w:val="clear" w:color="000000" w:fill="FFFFFF"/>
            <w:noWrap/>
            <w:vAlign w:val="bottom"/>
            <w:hideMark/>
          </w:tcPr>
          <w:p w14:paraId="582B55F5"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30.8%</w:t>
            </w:r>
          </w:p>
        </w:tc>
        <w:tc>
          <w:tcPr>
            <w:tcW w:w="851" w:type="dxa"/>
            <w:tcBorders>
              <w:top w:val="nil"/>
              <w:left w:val="nil"/>
              <w:bottom w:val="nil"/>
              <w:right w:val="single" w:sz="4" w:space="0" w:color="auto"/>
            </w:tcBorders>
            <w:shd w:val="clear" w:color="000000" w:fill="FFFFFF"/>
            <w:noWrap/>
            <w:vAlign w:val="bottom"/>
            <w:hideMark/>
          </w:tcPr>
          <w:p w14:paraId="118D6FE6"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0.3%</w:t>
            </w:r>
          </w:p>
        </w:tc>
        <w:tc>
          <w:tcPr>
            <w:tcW w:w="850" w:type="dxa"/>
            <w:tcBorders>
              <w:top w:val="nil"/>
              <w:left w:val="nil"/>
              <w:bottom w:val="nil"/>
              <w:right w:val="single" w:sz="8" w:space="0" w:color="auto"/>
            </w:tcBorders>
            <w:shd w:val="clear" w:color="000000" w:fill="FFFFFF"/>
            <w:noWrap/>
            <w:vAlign w:val="bottom"/>
            <w:hideMark/>
          </w:tcPr>
          <w:p w14:paraId="7A0A8080"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0.4%</w:t>
            </w:r>
          </w:p>
        </w:tc>
        <w:tc>
          <w:tcPr>
            <w:tcW w:w="709" w:type="dxa"/>
            <w:vMerge/>
            <w:tcBorders>
              <w:top w:val="nil"/>
              <w:left w:val="single" w:sz="8" w:space="0" w:color="auto"/>
              <w:bottom w:val="single" w:sz="8" w:space="0" w:color="000000"/>
              <w:right w:val="single" w:sz="4" w:space="0" w:color="auto"/>
            </w:tcBorders>
            <w:vAlign w:val="center"/>
            <w:hideMark/>
          </w:tcPr>
          <w:p w14:paraId="7FF0A64F"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4E290F9F" w14:textId="77777777" w:rsidR="005F2EE7" w:rsidRPr="008F7BCB" w:rsidRDefault="005F2EE7" w:rsidP="0042480D">
            <w:pPr>
              <w:rPr>
                <w:color w:val="000000"/>
                <w:sz w:val="16"/>
                <w:szCs w:val="22"/>
                <w:lang w:val="es-GT" w:eastAsia="es-GT"/>
              </w:rPr>
            </w:pPr>
          </w:p>
        </w:tc>
      </w:tr>
      <w:tr w:rsidR="005F2EE7" w:rsidRPr="008F7BCB" w14:paraId="1AE000A4"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499F782B"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Finanzas Públicas</w:t>
            </w:r>
          </w:p>
        </w:tc>
        <w:tc>
          <w:tcPr>
            <w:tcW w:w="851" w:type="dxa"/>
            <w:tcBorders>
              <w:top w:val="nil"/>
              <w:left w:val="single" w:sz="4" w:space="0" w:color="auto"/>
              <w:bottom w:val="nil"/>
              <w:right w:val="single" w:sz="4" w:space="0" w:color="auto"/>
            </w:tcBorders>
            <w:shd w:val="clear" w:color="000000" w:fill="FFFFFF"/>
            <w:noWrap/>
            <w:vAlign w:val="bottom"/>
            <w:hideMark/>
          </w:tcPr>
          <w:p w14:paraId="05D1DC6C"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145.9</w:t>
            </w:r>
          </w:p>
        </w:tc>
        <w:tc>
          <w:tcPr>
            <w:tcW w:w="850" w:type="dxa"/>
            <w:tcBorders>
              <w:top w:val="nil"/>
              <w:left w:val="nil"/>
              <w:bottom w:val="nil"/>
              <w:right w:val="single" w:sz="4" w:space="0" w:color="auto"/>
            </w:tcBorders>
            <w:shd w:val="clear" w:color="000000" w:fill="FFFFFF"/>
            <w:noWrap/>
            <w:vAlign w:val="bottom"/>
            <w:hideMark/>
          </w:tcPr>
          <w:p w14:paraId="5F01C3B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145.9</w:t>
            </w:r>
          </w:p>
        </w:tc>
        <w:tc>
          <w:tcPr>
            <w:tcW w:w="982" w:type="dxa"/>
            <w:tcBorders>
              <w:top w:val="nil"/>
              <w:left w:val="nil"/>
              <w:bottom w:val="nil"/>
              <w:right w:val="single" w:sz="4" w:space="0" w:color="auto"/>
            </w:tcBorders>
            <w:shd w:val="clear" w:color="000000" w:fill="FFFFFF"/>
            <w:noWrap/>
            <w:vAlign w:val="bottom"/>
            <w:hideMark/>
          </w:tcPr>
          <w:p w14:paraId="61BD60CC"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0.1</w:t>
            </w:r>
          </w:p>
        </w:tc>
        <w:tc>
          <w:tcPr>
            <w:tcW w:w="992" w:type="dxa"/>
            <w:tcBorders>
              <w:top w:val="nil"/>
              <w:left w:val="single" w:sz="4" w:space="0" w:color="auto"/>
              <w:bottom w:val="nil"/>
              <w:right w:val="single" w:sz="8" w:space="0" w:color="auto"/>
            </w:tcBorders>
            <w:shd w:val="clear" w:color="000000" w:fill="FFFFFF"/>
            <w:noWrap/>
            <w:vAlign w:val="bottom"/>
            <w:hideMark/>
          </w:tcPr>
          <w:p w14:paraId="393769D8"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0.0%</w:t>
            </w:r>
          </w:p>
        </w:tc>
        <w:tc>
          <w:tcPr>
            <w:tcW w:w="851" w:type="dxa"/>
            <w:tcBorders>
              <w:top w:val="nil"/>
              <w:left w:val="nil"/>
              <w:bottom w:val="nil"/>
              <w:right w:val="single" w:sz="4" w:space="0" w:color="auto"/>
            </w:tcBorders>
            <w:shd w:val="clear" w:color="000000" w:fill="FFFFFF"/>
            <w:noWrap/>
            <w:vAlign w:val="bottom"/>
            <w:hideMark/>
          </w:tcPr>
          <w:p w14:paraId="1DE4675A"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0.3%</w:t>
            </w:r>
          </w:p>
        </w:tc>
        <w:tc>
          <w:tcPr>
            <w:tcW w:w="850" w:type="dxa"/>
            <w:tcBorders>
              <w:top w:val="nil"/>
              <w:left w:val="nil"/>
              <w:bottom w:val="nil"/>
              <w:right w:val="single" w:sz="8" w:space="0" w:color="auto"/>
            </w:tcBorders>
            <w:shd w:val="clear" w:color="000000" w:fill="FFFFFF"/>
            <w:noWrap/>
            <w:vAlign w:val="bottom"/>
            <w:hideMark/>
          </w:tcPr>
          <w:p w14:paraId="5E5DA00A"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0.3%</w:t>
            </w:r>
          </w:p>
        </w:tc>
        <w:tc>
          <w:tcPr>
            <w:tcW w:w="709" w:type="dxa"/>
            <w:vMerge/>
            <w:tcBorders>
              <w:top w:val="nil"/>
              <w:left w:val="single" w:sz="8" w:space="0" w:color="auto"/>
              <w:bottom w:val="single" w:sz="8" w:space="0" w:color="000000"/>
              <w:right w:val="single" w:sz="4" w:space="0" w:color="auto"/>
            </w:tcBorders>
            <w:vAlign w:val="center"/>
            <w:hideMark/>
          </w:tcPr>
          <w:p w14:paraId="48D19040"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2A97C151" w14:textId="77777777" w:rsidR="005F2EE7" w:rsidRPr="008F7BCB" w:rsidRDefault="005F2EE7" w:rsidP="0042480D">
            <w:pPr>
              <w:rPr>
                <w:color w:val="000000"/>
                <w:sz w:val="16"/>
                <w:szCs w:val="22"/>
                <w:lang w:val="es-GT" w:eastAsia="es-GT"/>
              </w:rPr>
            </w:pPr>
          </w:p>
        </w:tc>
      </w:tr>
      <w:tr w:rsidR="005F2EE7" w:rsidRPr="008F7BCB" w14:paraId="677014CE"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1E85609B" w14:textId="472AC344" w:rsidR="005F2EE7" w:rsidRPr="008F7BCB" w:rsidRDefault="005F2EE7" w:rsidP="0042480D">
            <w:pPr>
              <w:rPr>
                <w:color w:val="000000"/>
                <w:sz w:val="16"/>
                <w:szCs w:val="20"/>
                <w:lang w:val="es-GT" w:eastAsia="es-GT"/>
              </w:rPr>
            </w:pPr>
            <w:r w:rsidRPr="008F7BCB">
              <w:rPr>
                <w:color w:val="000000"/>
                <w:sz w:val="16"/>
                <w:szCs w:val="20"/>
                <w:lang w:val="es-GT" w:eastAsia="es-GT"/>
              </w:rPr>
              <w:t>Presidencia</w:t>
            </w:r>
            <w:r w:rsidR="0057487E">
              <w:rPr>
                <w:color w:val="000000"/>
                <w:sz w:val="16"/>
                <w:szCs w:val="20"/>
                <w:lang w:val="es-GT" w:eastAsia="es-GT"/>
              </w:rPr>
              <w:t xml:space="preserve"> de la República</w:t>
            </w:r>
          </w:p>
        </w:tc>
        <w:tc>
          <w:tcPr>
            <w:tcW w:w="851" w:type="dxa"/>
            <w:tcBorders>
              <w:top w:val="nil"/>
              <w:left w:val="single" w:sz="4" w:space="0" w:color="auto"/>
              <w:bottom w:val="nil"/>
              <w:right w:val="single" w:sz="4" w:space="0" w:color="auto"/>
            </w:tcBorders>
            <w:shd w:val="clear" w:color="000000" w:fill="FFFFFF"/>
            <w:noWrap/>
            <w:vAlign w:val="bottom"/>
            <w:hideMark/>
          </w:tcPr>
          <w:p w14:paraId="7DD7E9A7"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94.4</w:t>
            </w:r>
          </w:p>
        </w:tc>
        <w:tc>
          <w:tcPr>
            <w:tcW w:w="850" w:type="dxa"/>
            <w:tcBorders>
              <w:top w:val="nil"/>
              <w:left w:val="nil"/>
              <w:bottom w:val="nil"/>
              <w:right w:val="single" w:sz="4" w:space="0" w:color="auto"/>
            </w:tcBorders>
            <w:shd w:val="clear" w:color="000000" w:fill="FFFFFF"/>
            <w:noWrap/>
            <w:vAlign w:val="bottom"/>
            <w:hideMark/>
          </w:tcPr>
          <w:p w14:paraId="5F2BB995"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93.5</w:t>
            </w:r>
          </w:p>
        </w:tc>
        <w:tc>
          <w:tcPr>
            <w:tcW w:w="982" w:type="dxa"/>
            <w:tcBorders>
              <w:top w:val="nil"/>
              <w:left w:val="nil"/>
              <w:bottom w:val="nil"/>
              <w:right w:val="single" w:sz="4" w:space="0" w:color="auto"/>
            </w:tcBorders>
            <w:shd w:val="clear" w:color="000000" w:fill="FFFFFF"/>
            <w:noWrap/>
            <w:vAlign w:val="bottom"/>
            <w:hideMark/>
          </w:tcPr>
          <w:p w14:paraId="2B7B642B"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-1.0</w:t>
            </w:r>
          </w:p>
        </w:tc>
        <w:tc>
          <w:tcPr>
            <w:tcW w:w="992" w:type="dxa"/>
            <w:tcBorders>
              <w:top w:val="nil"/>
              <w:left w:val="single" w:sz="4" w:space="0" w:color="auto"/>
              <w:bottom w:val="nil"/>
              <w:right w:val="single" w:sz="8" w:space="0" w:color="auto"/>
            </w:tcBorders>
            <w:shd w:val="clear" w:color="000000" w:fill="FFFFFF"/>
            <w:noWrap/>
            <w:vAlign w:val="bottom"/>
            <w:hideMark/>
          </w:tcPr>
          <w:p w14:paraId="37BE93B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-1.0%</w:t>
            </w:r>
          </w:p>
        </w:tc>
        <w:tc>
          <w:tcPr>
            <w:tcW w:w="851" w:type="dxa"/>
            <w:tcBorders>
              <w:top w:val="nil"/>
              <w:left w:val="nil"/>
              <w:bottom w:val="nil"/>
              <w:right w:val="single" w:sz="4" w:space="0" w:color="auto"/>
            </w:tcBorders>
            <w:shd w:val="clear" w:color="000000" w:fill="FFFFFF"/>
            <w:noWrap/>
            <w:vAlign w:val="bottom"/>
            <w:hideMark/>
          </w:tcPr>
          <w:p w14:paraId="2534F7D8"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0.2%</w:t>
            </w:r>
          </w:p>
        </w:tc>
        <w:tc>
          <w:tcPr>
            <w:tcW w:w="850" w:type="dxa"/>
            <w:tcBorders>
              <w:top w:val="nil"/>
              <w:left w:val="nil"/>
              <w:bottom w:val="nil"/>
              <w:right w:val="single" w:sz="8" w:space="0" w:color="auto"/>
            </w:tcBorders>
            <w:shd w:val="clear" w:color="000000" w:fill="FFFFFF"/>
            <w:noWrap/>
            <w:vAlign w:val="bottom"/>
            <w:hideMark/>
          </w:tcPr>
          <w:p w14:paraId="7C14EDAF"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0.2%</w:t>
            </w:r>
          </w:p>
        </w:tc>
        <w:tc>
          <w:tcPr>
            <w:tcW w:w="709" w:type="dxa"/>
            <w:vMerge/>
            <w:tcBorders>
              <w:top w:val="nil"/>
              <w:left w:val="single" w:sz="8" w:space="0" w:color="auto"/>
              <w:bottom w:val="single" w:sz="8" w:space="0" w:color="000000"/>
              <w:right w:val="single" w:sz="4" w:space="0" w:color="auto"/>
            </w:tcBorders>
            <w:vAlign w:val="center"/>
            <w:hideMark/>
          </w:tcPr>
          <w:p w14:paraId="49EF5912"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7E38E32C" w14:textId="77777777" w:rsidR="005F2EE7" w:rsidRPr="008F7BCB" w:rsidRDefault="005F2EE7" w:rsidP="0042480D">
            <w:pPr>
              <w:rPr>
                <w:color w:val="000000"/>
                <w:sz w:val="16"/>
                <w:szCs w:val="22"/>
                <w:lang w:val="es-GT" w:eastAsia="es-GT"/>
              </w:rPr>
            </w:pPr>
          </w:p>
        </w:tc>
      </w:tr>
      <w:tr w:rsidR="005F2EE7" w:rsidRPr="008F7BCB" w14:paraId="4046C1F0" w14:textId="77777777" w:rsidTr="008A0ED0">
        <w:trPr>
          <w:trHeight w:val="180"/>
          <w:jc w:val="center"/>
        </w:trPr>
        <w:tc>
          <w:tcPr>
            <w:tcW w:w="2127" w:type="dxa"/>
            <w:tcBorders>
              <w:top w:val="nil"/>
              <w:left w:val="single" w:sz="8" w:space="0" w:color="auto"/>
              <w:bottom w:val="nil"/>
              <w:right w:val="nil"/>
            </w:tcBorders>
            <w:shd w:val="clear" w:color="000000" w:fill="FFFFFF"/>
            <w:noWrap/>
            <w:vAlign w:val="center"/>
            <w:hideMark/>
          </w:tcPr>
          <w:p w14:paraId="51DB0C8F" w14:textId="1210739F" w:rsidR="005F2EE7" w:rsidRPr="008F7BCB" w:rsidRDefault="005F2EE7" w:rsidP="0042480D">
            <w:pPr>
              <w:rPr>
                <w:color w:val="000000"/>
                <w:sz w:val="16"/>
                <w:szCs w:val="20"/>
                <w:lang w:val="es-GT" w:eastAsia="es-GT"/>
              </w:rPr>
            </w:pPr>
            <w:r w:rsidRPr="008F7BCB">
              <w:rPr>
                <w:color w:val="000000"/>
                <w:sz w:val="16"/>
                <w:szCs w:val="20"/>
                <w:lang w:val="es-GT" w:eastAsia="es-GT"/>
              </w:rPr>
              <w:t>Ambiente</w:t>
            </w:r>
          </w:p>
        </w:tc>
        <w:tc>
          <w:tcPr>
            <w:tcW w:w="851" w:type="dxa"/>
            <w:tcBorders>
              <w:top w:val="nil"/>
              <w:left w:val="single" w:sz="4" w:space="0" w:color="auto"/>
              <w:bottom w:val="nil"/>
              <w:right w:val="single" w:sz="4" w:space="0" w:color="auto"/>
            </w:tcBorders>
            <w:shd w:val="clear" w:color="000000" w:fill="FFFFFF"/>
            <w:noWrap/>
            <w:vAlign w:val="bottom"/>
            <w:hideMark/>
          </w:tcPr>
          <w:p w14:paraId="5B7DAF1A"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74.4</w:t>
            </w:r>
          </w:p>
        </w:tc>
        <w:tc>
          <w:tcPr>
            <w:tcW w:w="850" w:type="dxa"/>
            <w:tcBorders>
              <w:top w:val="nil"/>
              <w:left w:val="nil"/>
              <w:bottom w:val="nil"/>
              <w:right w:val="single" w:sz="4" w:space="0" w:color="auto"/>
            </w:tcBorders>
            <w:shd w:val="clear" w:color="000000" w:fill="FFFFFF"/>
            <w:noWrap/>
            <w:vAlign w:val="bottom"/>
            <w:hideMark/>
          </w:tcPr>
          <w:p w14:paraId="7FB35A86"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80.1</w:t>
            </w:r>
          </w:p>
        </w:tc>
        <w:tc>
          <w:tcPr>
            <w:tcW w:w="982" w:type="dxa"/>
            <w:tcBorders>
              <w:top w:val="nil"/>
              <w:left w:val="nil"/>
              <w:bottom w:val="nil"/>
              <w:right w:val="single" w:sz="4" w:space="0" w:color="auto"/>
            </w:tcBorders>
            <w:shd w:val="clear" w:color="000000" w:fill="FFFFFF"/>
            <w:noWrap/>
            <w:vAlign w:val="bottom"/>
            <w:hideMark/>
          </w:tcPr>
          <w:p w14:paraId="1EA4BDF8"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5.6</w:t>
            </w:r>
          </w:p>
        </w:tc>
        <w:tc>
          <w:tcPr>
            <w:tcW w:w="992" w:type="dxa"/>
            <w:tcBorders>
              <w:top w:val="nil"/>
              <w:left w:val="single" w:sz="4" w:space="0" w:color="auto"/>
              <w:bottom w:val="nil"/>
              <w:right w:val="single" w:sz="8" w:space="0" w:color="auto"/>
            </w:tcBorders>
            <w:shd w:val="clear" w:color="000000" w:fill="FFFFFF"/>
            <w:noWrap/>
            <w:vAlign w:val="bottom"/>
            <w:hideMark/>
          </w:tcPr>
          <w:p w14:paraId="31188D2A"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7.6%</w:t>
            </w:r>
          </w:p>
        </w:tc>
        <w:tc>
          <w:tcPr>
            <w:tcW w:w="851" w:type="dxa"/>
            <w:tcBorders>
              <w:top w:val="nil"/>
              <w:left w:val="nil"/>
              <w:bottom w:val="nil"/>
              <w:right w:val="single" w:sz="4" w:space="0" w:color="auto"/>
            </w:tcBorders>
            <w:shd w:val="clear" w:color="000000" w:fill="FFFFFF"/>
            <w:noWrap/>
            <w:vAlign w:val="bottom"/>
            <w:hideMark/>
          </w:tcPr>
          <w:p w14:paraId="15EC5555"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0.2%</w:t>
            </w:r>
          </w:p>
        </w:tc>
        <w:tc>
          <w:tcPr>
            <w:tcW w:w="850" w:type="dxa"/>
            <w:tcBorders>
              <w:top w:val="nil"/>
              <w:left w:val="nil"/>
              <w:bottom w:val="nil"/>
              <w:right w:val="single" w:sz="8" w:space="0" w:color="auto"/>
            </w:tcBorders>
            <w:shd w:val="clear" w:color="000000" w:fill="FFFFFF"/>
            <w:noWrap/>
            <w:vAlign w:val="bottom"/>
            <w:hideMark/>
          </w:tcPr>
          <w:p w14:paraId="269265E3"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0.1%</w:t>
            </w:r>
          </w:p>
        </w:tc>
        <w:tc>
          <w:tcPr>
            <w:tcW w:w="709" w:type="dxa"/>
            <w:vMerge/>
            <w:tcBorders>
              <w:top w:val="nil"/>
              <w:left w:val="single" w:sz="8" w:space="0" w:color="auto"/>
              <w:bottom w:val="single" w:sz="8" w:space="0" w:color="000000"/>
              <w:right w:val="single" w:sz="4" w:space="0" w:color="auto"/>
            </w:tcBorders>
            <w:vAlign w:val="center"/>
            <w:hideMark/>
          </w:tcPr>
          <w:p w14:paraId="595B7E4B"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2608F25E" w14:textId="77777777" w:rsidR="005F2EE7" w:rsidRPr="008F7BCB" w:rsidRDefault="005F2EE7" w:rsidP="0042480D">
            <w:pPr>
              <w:rPr>
                <w:color w:val="000000"/>
                <w:sz w:val="16"/>
                <w:szCs w:val="22"/>
                <w:lang w:val="es-GT" w:eastAsia="es-GT"/>
              </w:rPr>
            </w:pPr>
          </w:p>
        </w:tc>
      </w:tr>
      <w:tr w:rsidR="005F2EE7" w:rsidRPr="008F7BCB" w14:paraId="1787FFCB" w14:textId="77777777" w:rsidTr="008A0ED0">
        <w:trPr>
          <w:trHeight w:val="180"/>
          <w:jc w:val="center"/>
        </w:trPr>
        <w:tc>
          <w:tcPr>
            <w:tcW w:w="2127" w:type="dxa"/>
            <w:tcBorders>
              <w:top w:val="nil"/>
              <w:left w:val="single" w:sz="8" w:space="0" w:color="auto"/>
              <w:bottom w:val="single" w:sz="8" w:space="0" w:color="auto"/>
              <w:right w:val="nil"/>
            </w:tcBorders>
            <w:shd w:val="clear" w:color="000000" w:fill="FFFFFF"/>
            <w:noWrap/>
            <w:vAlign w:val="center"/>
            <w:hideMark/>
          </w:tcPr>
          <w:p w14:paraId="758ADA18" w14:textId="77777777" w:rsidR="005F2EE7" w:rsidRPr="008F7BCB" w:rsidRDefault="005F2EE7" w:rsidP="0042480D">
            <w:pPr>
              <w:rPr>
                <w:color w:val="000000"/>
                <w:sz w:val="16"/>
                <w:szCs w:val="20"/>
                <w:lang w:val="es-GT" w:eastAsia="es-GT"/>
              </w:rPr>
            </w:pPr>
            <w:r w:rsidRPr="008F7BCB">
              <w:rPr>
                <w:color w:val="000000"/>
                <w:sz w:val="16"/>
                <w:szCs w:val="20"/>
                <w:lang w:val="es-GT" w:eastAsia="es-GT"/>
              </w:rPr>
              <w:t>PGN</w:t>
            </w:r>
          </w:p>
        </w:tc>
        <w:tc>
          <w:tcPr>
            <w:tcW w:w="851" w:type="dxa"/>
            <w:tcBorders>
              <w:top w:val="nil"/>
              <w:left w:val="single" w:sz="4" w:space="0" w:color="auto"/>
              <w:bottom w:val="single" w:sz="8" w:space="0" w:color="auto"/>
              <w:right w:val="single" w:sz="4" w:space="0" w:color="auto"/>
            </w:tcBorders>
            <w:shd w:val="clear" w:color="000000" w:fill="FFFFFF"/>
            <w:noWrap/>
            <w:vAlign w:val="bottom"/>
            <w:hideMark/>
          </w:tcPr>
          <w:p w14:paraId="6ADDB69D"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71.6</w:t>
            </w:r>
          </w:p>
        </w:tc>
        <w:tc>
          <w:tcPr>
            <w:tcW w:w="850" w:type="dxa"/>
            <w:tcBorders>
              <w:top w:val="nil"/>
              <w:left w:val="nil"/>
              <w:bottom w:val="single" w:sz="8" w:space="0" w:color="auto"/>
              <w:right w:val="single" w:sz="4" w:space="0" w:color="auto"/>
            </w:tcBorders>
            <w:shd w:val="clear" w:color="000000" w:fill="FFFFFF"/>
            <w:noWrap/>
            <w:vAlign w:val="bottom"/>
            <w:hideMark/>
          </w:tcPr>
          <w:p w14:paraId="56B39474"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71.1</w:t>
            </w:r>
          </w:p>
        </w:tc>
        <w:tc>
          <w:tcPr>
            <w:tcW w:w="982" w:type="dxa"/>
            <w:tcBorders>
              <w:top w:val="nil"/>
              <w:left w:val="nil"/>
              <w:bottom w:val="single" w:sz="8" w:space="0" w:color="auto"/>
              <w:right w:val="single" w:sz="4" w:space="0" w:color="auto"/>
            </w:tcBorders>
            <w:shd w:val="clear" w:color="000000" w:fill="FFFFFF"/>
            <w:noWrap/>
            <w:vAlign w:val="bottom"/>
            <w:hideMark/>
          </w:tcPr>
          <w:p w14:paraId="425303E0"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-0.5</w:t>
            </w:r>
          </w:p>
        </w:tc>
        <w:tc>
          <w:tcPr>
            <w:tcW w:w="992" w:type="dxa"/>
            <w:tcBorders>
              <w:top w:val="nil"/>
              <w:left w:val="single" w:sz="4" w:space="0" w:color="auto"/>
              <w:bottom w:val="single" w:sz="8" w:space="0" w:color="auto"/>
              <w:right w:val="single" w:sz="8" w:space="0" w:color="auto"/>
            </w:tcBorders>
            <w:shd w:val="clear" w:color="000000" w:fill="FFFFFF"/>
            <w:noWrap/>
            <w:vAlign w:val="bottom"/>
            <w:hideMark/>
          </w:tcPr>
          <w:p w14:paraId="05C88B22" w14:textId="77777777" w:rsidR="005F2EE7" w:rsidRPr="008F7BCB" w:rsidRDefault="005F2EE7" w:rsidP="0042480D">
            <w:pPr>
              <w:jc w:val="right"/>
              <w:rPr>
                <w:color w:val="000000"/>
                <w:sz w:val="16"/>
                <w:szCs w:val="22"/>
                <w:lang w:val="es-GT" w:eastAsia="es-GT"/>
              </w:rPr>
            </w:pPr>
            <w:r w:rsidRPr="008F7BCB">
              <w:rPr>
                <w:color w:val="000000"/>
                <w:sz w:val="16"/>
                <w:szCs w:val="22"/>
                <w:lang w:val="es-GT" w:eastAsia="es-GT"/>
              </w:rPr>
              <w:t>-0.7%</w:t>
            </w:r>
          </w:p>
        </w:tc>
        <w:tc>
          <w:tcPr>
            <w:tcW w:w="851" w:type="dxa"/>
            <w:tcBorders>
              <w:top w:val="nil"/>
              <w:left w:val="single" w:sz="8" w:space="0" w:color="auto"/>
              <w:bottom w:val="single" w:sz="8" w:space="0" w:color="auto"/>
              <w:right w:val="single" w:sz="4" w:space="0" w:color="auto"/>
            </w:tcBorders>
            <w:shd w:val="clear" w:color="000000" w:fill="FFFFFF"/>
            <w:noWrap/>
            <w:vAlign w:val="bottom"/>
            <w:hideMark/>
          </w:tcPr>
          <w:p w14:paraId="798E5A42"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0.2%</w:t>
            </w:r>
          </w:p>
        </w:tc>
        <w:tc>
          <w:tcPr>
            <w:tcW w:w="850" w:type="dxa"/>
            <w:tcBorders>
              <w:top w:val="nil"/>
              <w:left w:val="nil"/>
              <w:bottom w:val="single" w:sz="8" w:space="0" w:color="auto"/>
              <w:right w:val="single" w:sz="8" w:space="0" w:color="auto"/>
            </w:tcBorders>
            <w:shd w:val="clear" w:color="000000" w:fill="FFFFFF"/>
            <w:noWrap/>
            <w:vAlign w:val="bottom"/>
            <w:hideMark/>
          </w:tcPr>
          <w:p w14:paraId="65299E0B" w14:textId="77777777" w:rsidR="005F2EE7" w:rsidRPr="008F7BCB" w:rsidRDefault="005F2EE7" w:rsidP="0042480D">
            <w:pPr>
              <w:jc w:val="center"/>
              <w:rPr>
                <w:color w:val="000000"/>
                <w:sz w:val="16"/>
                <w:szCs w:val="22"/>
                <w:lang w:val="es-GT" w:eastAsia="es-GT"/>
              </w:rPr>
            </w:pPr>
            <w:r w:rsidRPr="008F7BCB">
              <w:rPr>
                <w:color w:val="000000"/>
                <w:sz w:val="16"/>
                <w:szCs w:val="22"/>
                <w:lang w:val="es-GT" w:eastAsia="es-GT"/>
              </w:rPr>
              <w:t>0.1%</w:t>
            </w:r>
          </w:p>
        </w:tc>
        <w:tc>
          <w:tcPr>
            <w:tcW w:w="709" w:type="dxa"/>
            <w:vMerge/>
            <w:tcBorders>
              <w:top w:val="nil"/>
              <w:left w:val="single" w:sz="8" w:space="0" w:color="auto"/>
              <w:bottom w:val="single" w:sz="8" w:space="0" w:color="000000"/>
              <w:right w:val="single" w:sz="4" w:space="0" w:color="auto"/>
            </w:tcBorders>
            <w:vAlign w:val="center"/>
            <w:hideMark/>
          </w:tcPr>
          <w:p w14:paraId="08A106CF" w14:textId="77777777" w:rsidR="005F2EE7" w:rsidRPr="008F7BCB" w:rsidRDefault="005F2EE7" w:rsidP="0042480D">
            <w:pPr>
              <w:rPr>
                <w:color w:val="000000"/>
                <w:sz w:val="16"/>
                <w:szCs w:val="22"/>
                <w:lang w:val="es-GT" w:eastAsia="es-GT"/>
              </w:rPr>
            </w:pPr>
          </w:p>
        </w:tc>
        <w:tc>
          <w:tcPr>
            <w:tcW w:w="850" w:type="dxa"/>
            <w:vMerge/>
            <w:tcBorders>
              <w:top w:val="nil"/>
              <w:left w:val="nil"/>
              <w:bottom w:val="single" w:sz="8" w:space="0" w:color="000000"/>
              <w:right w:val="single" w:sz="8" w:space="0" w:color="auto"/>
            </w:tcBorders>
            <w:vAlign w:val="center"/>
            <w:hideMark/>
          </w:tcPr>
          <w:p w14:paraId="248EDB83" w14:textId="77777777" w:rsidR="005F2EE7" w:rsidRPr="008F7BCB" w:rsidRDefault="005F2EE7" w:rsidP="0042480D">
            <w:pPr>
              <w:rPr>
                <w:color w:val="000000"/>
                <w:sz w:val="16"/>
                <w:szCs w:val="22"/>
                <w:lang w:val="es-GT" w:eastAsia="es-GT"/>
              </w:rPr>
            </w:pPr>
          </w:p>
        </w:tc>
      </w:tr>
    </w:tbl>
    <w:p w14:paraId="576CC1FF" w14:textId="77777777" w:rsidR="005F2EE7" w:rsidRDefault="005F2EE7" w:rsidP="005F2EE7">
      <w:pPr>
        <w:rPr>
          <w:sz w:val="18"/>
          <w:lang w:val="es-MX"/>
        </w:rPr>
      </w:pPr>
      <w:r w:rsidRPr="00B55626">
        <w:rPr>
          <w:sz w:val="18"/>
          <w:lang w:val="es-MX"/>
        </w:rPr>
        <w:t>* Cifras preliminares</w:t>
      </w:r>
    </w:p>
    <w:p w14:paraId="025B36C5" w14:textId="77777777" w:rsidR="005F2EE7" w:rsidRPr="00B55626" w:rsidRDefault="005F2EE7" w:rsidP="005F2EE7">
      <w:pPr>
        <w:tabs>
          <w:tab w:val="left" w:pos="5954"/>
        </w:tabs>
        <w:rPr>
          <w:sz w:val="18"/>
          <w:lang w:val="es-MX"/>
        </w:rPr>
      </w:pPr>
      <w:r>
        <w:rPr>
          <w:sz w:val="18"/>
          <w:lang w:val="es-MX"/>
        </w:rPr>
        <w:t xml:space="preserve">   </w:t>
      </w:r>
      <w:r w:rsidRPr="00B55626">
        <w:rPr>
          <w:sz w:val="18"/>
          <w:lang w:val="es-MX"/>
        </w:rPr>
        <w:t>Fuente: Ministerio de Finanzas Públicas con base al SICOIN.</w:t>
      </w:r>
    </w:p>
    <w:p w14:paraId="0050E2F6" w14:textId="77777777" w:rsidR="005F2EE7" w:rsidRPr="00FB641E" w:rsidRDefault="005F2EE7" w:rsidP="005F2EE7">
      <w:pPr>
        <w:jc w:val="both"/>
        <w:rPr>
          <w:lang w:val="es-MX"/>
        </w:rPr>
      </w:pPr>
    </w:p>
    <w:p w14:paraId="3A1F9E1C" w14:textId="77777777" w:rsidR="005F2EE7" w:rsidRPr="0057487E" w:rsidRDefault="005F2EE7" w:rsidP="00FC0361">
      <w:pPr>
        <w:pStyle w:val="Ttulo3"/>
        <w:numPr>
          <w:ilvl w:val="0"/>
          <w:numId w:val="5"/>
        </w:numPr>
        <w:ind w:left="426"/>
        <w:rPr>
          <w:rFonts w:ascii="Times New Roman" w:hAnsi="Times New Roman"/>
          <w:color w:val="auto"/>
          <w:lang w:val="es-MX"/>
        </w:rPr>
      </w:pPr>
      <w:bookmarkStart w:id="20" w:name="_Toc114732536"/>
      <w:bookmarkStart w:id="21" w:name="_Toc142920540"/>
      <w:r w:rsidRPr="0057487E">
        <w:rPr>
          <w:rFonts w:ascii="Times New Roman" w:hAnsi="Times New Roman"/>
          <w:color w:val="auto"/>
          <w:lang w:val="es-MX"/>
        </w:rPr>
        <w:t>Gasto Público por Fuente de Financiamiento</w:t>
      </w:r>
      <w:bookmarkEnd w:id="20"/>
      <w:bookmarkEnd w:id="21"/>
    </w:p>
    <w:p w14:paraId="6A015F1F" w14:textId="77777777" w:rsidR="005F2EE7" w:rsidRPr="008B33DA" w:rsidRDefault="005F2EE7" w:rsidP="005F2EE7">
      <w:pPr>
        <w:keepNext/>
        <w:keepLines/>
        <w:ind w:left="720"/>
        <w:jc w:val="both"/>
        <w:outlineLvl w:val="2"/>
        <w:rPr>
          <w:sz w:val="18"/>
          <w:lang w:val="es-MX"/>
        </w:rPr>
      </w:pPr>
    </w:p>
    <w:p w14:paraId="51AB18BA" w14:textId="0E636F74" w:rsidR="005F2EE7" w:rsidRPr="008B33DA" w:rsidRDefault="005F2EE7" w:rsidP="005F2EE7">
      <w:pPr>
        <w:jc w:val="both"/>
        <w:rPr>
          <w:lang w:val="es-MX"/>
        </w:rPr>
      </w:pPr>
      <w:r w:rsidRPr="008B33DA">
        <w:rPr>
          <w:lang w:val="es-MX"/>
        </w:rPr>
        <w:t xml:space="preserve">La ejecución presupuestaria por fuente de financiamiento se divide en tres </w:t>
      </w:r>
      <w:r w:rsidR="003A6A31">
        <w:rPr>
          <w:lang w:val="es-MX"/>
        </w:rPr>
        <w:t>grupos</w:t>
      </w:r>
      <w:r w:rsidRPr="008B33DA">
        <w:rPr>
          <w:lang w:val="es-MX"/>
        </w:rPr>
        <w:t>: aquellas fuentes que se refieren al esfuerzo del país para generar sus propios ingresos</w:t>
      </w:r>
      <w:r w:rsidR="00F72FA4">
        <w:rPr>
          <w:lang w:val="es-MX"/>
        </w:rPr>
        <w:t>;</w:t>
      </w:r>
      <w:r w:rsidRPr="008B33DA">
        <w:rPr>
          <w:lang w:val="es-MX"/>
        </w:rPr>
        <w:t xml:space="preserve"> las fuentes provenientes de la colocación</w:t>
      </w:r>
      <w:r w:rsidR="00F72FA4">
        <w:rPr>
          <w:lang w:val="es-MX"/>
        </w:rPr>
        <w:t xml:space="preserve"> interna de</w:t>
      </w:r>
      <w:r w:rsidRPr="008B33DA">
        <w:rPr>
          <w:lang w:val="es-MX"/>
        </w:rPr>
        <w:t xml:space="preserve"> bonos, la colocación de Eurobonos y los préstamos, que hacen el total de la deuda pública</w:t>
      </w:r>
      <w:r w:rsidR="00F72FA4">
        <w:rPr>
          <w:lang w:val="es-MX"/>
        </w:rPr>
        <w:t>;</w:t>
      </w:r>
      <w:r w:rsidRPr="008B33DA">
        <w:rPr>
          <w:lang w:val="es-MX"/>
        </w:rPr>
        <w:t xml:space="preserve"> y las donaciones internas y externas.</w:t>
      </w:r>
    </w:p>
    <w:p w14:paraId="2BE08A10" w14:textId="77777777" w:rsidR="005F2EE7" w:rsidRPr="008B33DA" w:rsidRDefault="005F2EE7" w:rsidP="005F2EE7">
      <w:pPr>
        <w:jc w:val="both"/>
        <w:rPr>
          <w:lang w:val="es-MX"/>
        </w:rPr>
      </w:pPr>
    </w:p>
    <w:p w14:paraId="601D5044" w14:textId="31D07B3C" w:rsidR="005F2EE7" w:rsidRPr="008B33DA" w:rsidRDefault="005F2EE7" w:rsidP="005F2EE7">
      <w:pPr>
        <w:jc w:val="both"/>
        <w:rPr>
          <w:lang w:val="es-MX"/>
        </w:rPr>
      </w:pPr>
      <w:r w:rsidRPr="008B33DA">
        <w:rPr>
          <w:lang w:val="es-MX"/>
        </w:rPr>
        <w:t xml:space="preserve">Los recursos de soporte para la ejecución presupuestaria con mayor peso son las fuentes internas que para 2022 significaron porcentualmente el 89.6% y para 2023 el 96.0%, </w:t>
      </w:r>
      <w:r w:rsidR="003C0C70">
        <w:rPr>
          <w:lang w:val="es-MX"/>
        </w:rPr>
        <w:t xml:space="preserve">respectivamente, </w:t>
      </w:r>
      <w:r w:rsidRPr="008B33DA">
        <w:rPr>
          <w:lang w:val="es-MX"/>
        </w:rPr>
        <w:t xml:space="preserve">con un aumento de Q.7,344.5 millones; mientras tanto los recursos provenientes de la deuda pública significaron para 2022 el 10.1% y para 2023 el 4.0%, </w:t>
      </w:r>
      <w:r w:rsidR="003C0C70">
        <w:rPr>
          <w:lang w:val="es-MX"/>
        </w:rPr>
        <w:t>con una</w:t>
      </w:r>
      <w:r w:rsidRPr="008B33DA">
        <w:rPr>
          <w:lang w:val="es-MX"/>
        </w:rPr>
        <w:t xml:space="preserve"> disminución de Q.2,611.0 millones; finalmente, las donaciones</w:t>
      </w:r>
      <w:r w:rsidR="003C0C70">
        <w:rPr>
          <w:lang w:val="es-MX"/>
        </w:rPr>
        <w:t xml:space="preserve"> internas y externas</w:t>
      </w:r>
      <w:r w:rsidRPr="008B33DA">
        <w:rPr>
          <w:lang w:val="es-MX"/>
        </w:rPr>
        <w:t xml:space="preserve"> representan la mínima parte, en el orden del 0.3% para 2022 y del 0.04% para 2023, </w:t>
      </w:r>
      <w:r w:rsidR="003C0C70">
        <w:rPr>
          <w:lang w:val="es-MX"/>
        </w:rPr>
        <w:t xml:space="preserve">respectivamente, </w:t>
      </w:r>
      <w:r w:rsidRPr="008B33DA">
        <w:rPr>
          <w:lang w:val="es-MX"/>
        </w:rPr>
        <w:t>con una disminución de Q.98.2 millones, preliminarmente.</w:t>
      </w:r>
    </w:p>
    <w:p w14:paraId="5F9D3358" w14:textId="77777777" w:rsidR="005F2EE7" w:rsidRDefault="005F2EE7" w:rsidP="005F2EE7">
      <w:pPr>
        <w:jc w:val="both"/>
        <w:rPr>
          <w:lang w:val="es-MX"/>
        </w:rPr>
      </w:pPr>
    </w:p>
    <w:p w14:paraId="344EB44B" w14:textId="77777777" w:rsidR="005F2EE7" w:rsidRPr="008B33DA" w:rsidRDefault="005F2EE7" w:rsidP="005F2EE7">
      <w:pPr>
        <w:jc w:val="center"/>
        <w:rPr>
          <w:lang w:val="es-MX"/>
        </w:rPr>
      </w:pPr>
      <w:r w:rsidRPr="008B33DA">
        <w:rPr>
          <w:b/>
          <w:szCs w:val="22"/>
          <w:lang w:val="es-MX"/>
        </w:rPr>
        <w:t>Cuadro 6</w:t>
      </w:r>
    </w:p>
    <w:p w14:paraId="4A6776D0" w14:textId="77777777" w:rsidR="005F2EE7" w:rsidRPr="008B33DA" w:rsidRDefault="005F2EE7" w:rsidP="005F2EE7">
      <w:pPr>
        <w:jc w:val="center"/>
        <w:rPr>
          <w:b/>
          <w:lang w:val="es-MX"/>
        </w:rPr>
      </w:pPr>
      <w:r w:rsidRPr="008B33DA">
        <w:rPr>
          <w:b/>
          <w:lang w:val="es-MX"/>
        </w:rPr>
        <w:t>Estructura del Gasto por Fuente Agrupada de Financiamiento</w:t>
      </w:r>
    </w:p>
    <w:p w14:paraId="7E45F408" w14:textId="2614861D" w:rsidR="005F2EE7" w:rsidRPr="008B33DA" w:rsidRDefault="00F72FA4" w:rsidP="005F2EE7">
      <w:pPr>
        <w:jc w:val="center"/>
        <w:rPr>
          <w:b/>
          <w:lang w:val="es-MX"/>
        </w:rPr>
      </w:pPr>
      <w:r>
        <w:rPr>
          <w:b/>
          <w:lang w:val="es-MX"/>
        </w:rPr>
        <w:t>Al 30 de j</w:t>
      </w:r>
      <w:r w:rsidR="005F2EE7" w:rsidRPr="008B33DA">
        <w:rPr>
          <w:b/>
          <w:lang w:val="es-MX"/>
        </w:rPr>
        <w:t xml:space="preserve">unio </w:t>
      </w:r>
      <w:r>
        <w:rPr>
          <w:b/>
          <w:lang w:val="es-MX"/>
        </w:rPr>
        <w:t xml:space="preserve">de </w:t>
      </w:r>
      <w:r w:rsidR="005F2EE7" w:rsidRPr="008B33DA">
        <w:rPr>
          <w:b/>
          <w:lang w:val="es-MX"/>
        </w:rPr>
        <w:t xml:space="preserve">2022 </w:t>
      </w:r>
      <w:r>
        <w:rPr>
          <w:b/>
          <w:lang w:val="es-MX"/>
        </w:rPr>
        <w:t>y</w:t>
      </w:r>
      <w:r w:rsidR="005F2EE7" w:rsidRPr="008B33DA">
        <w:rPr>
          <w:b/>
          <w:lang w:val="es-MX"/>
        </w:rPr>
        <w:t xml:space="preserve"> 2023</w:t>
      </w:r>
      <w:r w:rsidR="003C0C70">
        <w:rPr>
          <w:b/>
          <w:lang w:val="es-MX"/>
        </w:rPr>
        <w:t>*</w:t>
      </w:r>
    </w:p>
    <w:p w14:paraId="5CAFDB61" w14:textId="77777777" w:rsidR="005F2EE7" w:rsidRPr="008B33DA" w:rsidRDefault="005F2EE7" w:rsidP="005F2EE7">
      <w:pPr>
        <w:jc w:val="center"/>
        <w:rPr>
          <w:rFonts w:ascii="Calibri" w:eastAsia="Calibri" w:hAnsi="Calibri"/>
          <w:sz w:val="20"/>
          <w:szCs w:val="20"/>
          <w:lang w:val="es-MX" w:eastAsia="es-MX"/>
        </w:rPr>
      </w:pPr>
      <w:r w:rsidRPr="008B33DA">
        <w:rPr>
          <w:b/>
          <w:lang w:val="es-MX"/>
        </w:rPr>
        <w:t>(Millones de Quetzales y Porcentajes)</w:t>
      </w:r>
      <w:r w:rsidRPr="008B33DA">
        <w:rPr>
          <w:lang w:val="es-MX"/>
        </w:rPr>
        <w:fldChar w:fldCharType="begin"/>
      </w:r>
      <w:r w:rsidRPr="008B33DA">
        <w:rPr>
          <w:lang w:val="es-MX"/>
        </w:rPr>
        <w:instrText xml:space="preserve"> LINK </w:instrText>
      </w:r>
      <w:r>
        <w:rPr>
          <w:lang w:val="es-MX"/>
        </w:rPr>
        <w:instrText xml:space="preserve">Excel.Sheet.12 "C:\\Users\\deefoper12\\Documents\\Mis Documentos\\2022\\DTF 2022\\Informe fin de año 2021\\Cuadros para Informe de Medio Año 21 Y 22.xlsx" "Fte Financ!F65C2:F70C7" </w:instrText>
      </w:r>
      <w:r w:rsidRPr="008B33DA">
        <w:rPr>
          <w:lang w:val="es-MX"/>
        </w:rPr>
        <w:instrText xml:space="preserve">\a \f 4 \h  \* MERGEFORMAT </w:instrText>
      </w:r>
      <w:r w:rsidRPr="008B33DA">
        <w:rPr>
          <w:lang w:val="es-MX"/>
        </w:rPr>
        <w:fldChar w:fldCharType="separate"/>
      </w:r>
    </w:p>
    <w:p w14:paraId="617FF778" w14:textId="77777777" w:rsidR="005F2EE7" w:rsidRPr="008F7BCB" w:rsidRDefault="005F2EE7" w:rsidP="005F2EE7">
      <w:pPr>
        <w:rPr>
          <w:color w:val="FF0000"/>
          <w:sz w:val="18"/>
          <w:lang w:val="es-MX"/>
        </w:rPr>
      </w:pPr>
      <w:r w:rsidRPr="008B33DA">
        <w:rPr>
          <w:sz w:val="18"/>
          <w:lang w:val="es-MX"/>
        </w:rPr>
        <w:fldChar w:fldCharType="end"/>
      </w:r>
    </w:p>
    <w:tbl>
      <w:tblPr>
        <w:tblW w:w="9067" w:type="dxa"/>
        <w:jc w:val="center"/>
        <w:tblCellMar>
          <w:left w:w="70" w:type="dxa"/>
          <w:right w:w="70" w:type="dxa"/>
        </w:tblCellMar>
        <w:tblLook w:val="04A0" w:firstRow="1" w:lastRow="0" w:firstColumn="1" w:lastColumn="0" w:noHBand="0" w:noVBand="1"/>
      </w:tblPr>
      <w:tblGrid>
        <w:gridCol w:w="2400"/>
        <w:gridCol w:w="1276"/>
        <w:gridCol w:w="1276"/>
        <w:gridCol w:w="1559"/>
        <w:gridCol w:w="1276"/>
        <w:gridCol w:w="1280"/>
      </w:tblGrid>
      <w:tr w:rsidR="005F2EE7" w:rsidRPr="00F72FA4" w14:paraId="783BF751" w14:textId="77777777" w:rsidTr="00400B3E">
        <w:trPr>
          <w:trHeight w:val="300"/>
          <w:jc w:val="center"/>
        </w:trPr>
        <w:tc>
          <w:tcPr>
            <w:tcW w:w="2400" w:type="dxa"/>
            <w:vMerge w:val="restart"/>
            <w:tcBorders>
              <w:top w:val="single" w:sz="8" w:space="0" w:color="auto"/>
              <w:left w:val="single" w:sz="8" w:space="0" w:color="auto"/>
              <w:bottom w:val="single" w:sz="4" w:space="0" w:color="000000"/>
              <w:right w:val="nil"/>
            </w:tcBorders>
            <w:shd w:val="clear" w:color="auto" w:fill="00B0F0"/>
            <w:vAlign w:val="center"/>
            <w:hideMark/>
          </w:tcPr>
          <w:p w14:paraId="0545B1A1" w14:textId="63034002" w:rsidR="005F2EE7" w:rsidRPr="00F72FA4" w:rsidRDefault="00F72FA4" w:rsidP="0042480D">
            <w:pPr>
              <w:jc w:val="center"/>
              <w:rPr>
                <w:b/>
                <w:bCs/>
                <w:color w:val="000000"/>
                <w:sz w:val="22"/>
                <w:szCs w:val="22"/>
                <w:lang w:val="es-GT" w:eastAsia="es-GT"/>
              </w:rPr>
            </w:pPr>
            <w:r>
              <w:rPr>
                <w:b/>
                <w:bCs/>
                <w:color w:val="000000"/>
                <w:sz w:val="22"/>
                <w:szCs w:val="22"/>
                <w:lang w:val="es-GT" w:eastAsia="es-GT"/>
              </w:rPr>
              <w:t>Fuentes</w:t>
            </w:r>
          </w:p>
        </w:tc>
        <w:tc>
          <w:tcPr>
            <w:tcW w:w="1276"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5DBC2AB4" w14:textId="77777777" w:rsidR="005F2EE7" w:rsidRPr="00F72FA4" w:rsidRDefault="005F2EE7" w:rsidP="0042480D">
            <w:pPr>
              <w:jc w:val="center"/>
              <w:rPr>
                <w:b/>
                <w:bCs/>
                <w:color w:val="000000"/>
                <w:sz w:val="22"/>
                <w:szCs w:val="22"/>
                <w:lang w:val="es-GT" w:eastAsia="es-GT"/>
              </w:rPr>
            </w:pPr>
            <w:r w:rsidRPr="00F72FA4">
              <w:rPr>
                <w:b/>
                <w:bCs/>
                <w:color w:val="000000"/>
                <w:sz w:val="22"/>
                <w:szCs w:val="22"/>
                <w:lang w:val="es-GT" w:eastAsia="es-GT"/>
              </w:rPr>
              <w:t>2022</w:t>
            </w:r>
          </w:p>
        </w:tc>
        <w:tc>
          <w:tcPr>
            <w:tcW w:w="1276"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16BF2498" w14:textId="77777777" w:rsidR="005F2EE7" w:rsidRPr="00F72FA4" w:rsidRDefault="005F2EE7" w:rsidP="0042480D">
            <w:pPr>
              <w:jc w:val="center"/>
              <w:rPr>
                <w:b/>
                <w:bCs/>
                <w:color w:val="000000"/>
                <w:sz w:val="22"/>
                <w:szCs w:val="22"/>
                <w:lang w:val="es-GT" w:eastAsia="es-GT"/>
              </w:rPr>
            </w:pPr>
            <w:r w:rsidRPr="00F72FA4">
              <w:rPr>
                <w:b/>
                <w:bCs/>
                <w:color w:val="000000"/>
                <w:sz w:val="22"/>
                <w:szCs w:val="22"/>
                <w:lang w:val="es-GT" w:eastAsia="es-GT"/>
              </w:rPr>
              <w:t>2023</w:t>
            </w:r>
          </w:p>
        </w:tc>
        <w:tc>
          <w:tcPr>
            <w:tcW w:w="1559"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3DEB8F98" w14:textId="77777777" w:rsidR="005F2EE7" w:rsidRPr="00F72FA4" w:rsidRDefault="005F2EE7" w:rsidP="0042480D">
            <w:pPr>
              <w:jc w:val="center"/>
              <w:rPr>
                <w:b/>
                <w:bCs/>
                <w:color w:val="000000"/>
                <w:sz w:val="22"/>
                <w:szCs w:val="22"/>
                <w:lang w:val="es-GT" w:eastAsia="es-GT"/>
              </w:rPr>
            </w:pPr>
            <w:r w:rsidRPr="00F72FA4">
              <w:rPr>
                <w:b/>
                <w:bCs/>
                <w:color w:val="000000"/>
                <w:sz w:val="22"/>
                <w:szCs w:val="22"/>
                <w:lang w:val="es-GT" w:eastAsia="es-GT"/>
              </w:rPr>
              <w:t>Diferencias Netas</w:t>
            </w:r>
          </w:p>
        </w:tc>
        <w:tc>
          <w:tcPr>
            <w:tcW w:w="2556" w:type="dxa"/>
            <w:gridSpan w:val="2"/>
            <w:tcBorders>
              <w:top w:val="single" w:sz="8" w:space="0" w:color="auto"/>
              <w:left w:val="nil"/>
              <w:bottom w:val="single" w:sz="4" w:space="0" w:color="auto"/>
              <w:right w:val="single" w:sz="8" w:space="0" w:color="000000"/>
            </w:tcBorders>
            <w:shd w:val="clear" w:color="auto" w:fill="00B0F0"/>
            <w:noWrap/>
            <w:vAlign w:val="bottom"/>
            <w:hideMark/>
          </w:tcPr>
          <w:p w14:paraId="10F092CA" w14:textId="77777777" w:rsidR="005F2EE7" w:rsidRPr="00F72FA4" w:rsidRDefault="005F2EE7" w:rsidP="0042480D">
            <w:pPr>
              <w:jc w:val="center"/>
              <w:rPr>
                <w:b/>
                <w:bCs/>
                <w:color w:val="000000"/>
                <w:sz w:val="22"/>
                <w:szCs w:val="22"/>
                <w:lang w:val="es-GT" w:eastAsia="es-GT"/>
              </w:rPr>
            </w:pPr>
            <w:r w:rsidRPr="00F72FA4">
              <w:rPr>
                <w:b/>
                <w:bCs/>
                <w:color w:val="000000"/>
                <w:sz w:val="22"/>
                <w:szCs w:val="22"/>
                <w:lang w:val="es-GT" w:eastAsia="es-GT"/>
              </w:rPr>
              <w:t>Estructura</w:t>
            </w:r>
          </w:p>
        </w:tc>
      </w:tr>
      <w:tr w:rsidR="005F2EE7" w:rsidRPr="00F72FA4" w14:paraId="3E50475F" w14:textId="77777777" w:rsidTr="00400B3E">
        <w:trPr>
          <w:trHeight w:val="300"/>
          <w:jc w:val="center"/>
        </w:trPr>
        <w:tc>
          <w:tcPr>
            <w:tcW w:w="2400" w:type="dxa"/>
            <w:vMerge/>
            <w:tcBorders>
              <w:top w:val="single" w:sz="8" w:space="0" w:color="auto"/>
              <w:left w:val="single" w:sz="8" w:space="0" w:color="auto"/>
              <w:bottom w:val="single" w:sz="4" w:space="0" w:color="000000"/>
              <w:right w:val="nil"/>
            </w:tcBorders>
            <w:vAlign w:val="center"/>
            <w:hideMark/>
          </w:tcPr>
          <w:p w14:paraId="2F8BD783" w14:textId="77777777" w:rsidR="005F2EE7" w:rsidRPr="00F72FA4" w:rsidRDefault="005F2EE7" w:rsidP="0042480D">
            <w:pPr>
              <w:rPr>
                <w:b/>
                <w:bCs/>
                <w:color w:val="000000"/>
                <w:sz w:val="22"/>
                <w:szCs w:val="22"/>
                <w:lang w:val="es-GT" w:eastAsia="es-GT"/>
              </w:rPr>
            </w:pPr>
          </w:p>
        </w:tc>
        <w:tc>
          <w:tcPr>
            <w:tcW w:w="1276" w:type="dxa"/>
            <w:vMerge/>
            <w:tcBorders>
              <w:top w:val="single" w:sz="8" w:space="0" w:color="auto"/>
              <w:left w:val="single" w:sz="4" w:space="0" w:color="auto"/>
              <w:bottom w:val="single" w:sz="4" w:space="0" w:color="000000"/>
              <w:right w:val="single" w:sz="4" w:space="0" w:color="auto"/>
            </w:tcBorders>
            <w:vAlign w:val="center"/>
            <w:hideMark/>
          </w:tcPr>
          <w:p w14:paraId="22D78473" w14:textId="77777777" w:rsidR="005F2EE7" w:rsidRPr="00F72FA4" w:rsidRDefault="005F2EE7" w:rsidP="0042480D">
            <w:pPr>
              <w:rPr>
                <w:b/>
                <w:bCs/>
                <w:color w:val="000000"/>
                <w:sz w:val="22"/>
                <w:szCs w:val="22"/>
                <w:lang w:val="es-GT" w:eastAsia="es-GT"/>
              </w:rPr>
            </w:pPr>
          </w:p>
        </w:tc>
        <w:tc>
          <w:tcPr>
            <w:tcW w:w="1276" w:type="dxa"/>
            <w:vMerge/>
            <w:tcBorders>
              <w:top w:val="single" w:sz="8" w:space="0" w:color="auto"/>
              <w:left w:val="single" w:sz="4" w:space="0" w:color="auto"/>
              <w:bottom w:val="single" w:sz="4" w:space="0" w:color="000000"/>
              <w:right w:val="single" w:sz="4" w:space="0" w:color="auto"/>
            </w:tcBorders>
            <w:vAlign w:val="center"/>
            <w:hideMark/>
          </w:tcPr>
          <w:p w14:paraId="4100EAAC" w14:textId="77777777" w:rsidR="005F2EE7" w:rsidRPr="00F72FA4" w:rsidRDefault="005F2EE7" w:rsidP="0042480D">
            <w:pPr>
              <w:rPr>
                <w:b/>
                <w:bCs/>
                <w:color w:val="000000"/>
                <w:sz w:val="22"/>
                <w:szCs w:val="22"/>
                <w:lang w:val="es-GT" w:eastAsia="es-GT"/>
              </w:rPr>
            </w:pPr>
          </w:p>
        </w:tc>
        <w:tc>
          <w:tcPr>
            <w:tcW w:w="1559" w:type="dxa"/>
            <w:vMerge/>
            <w:tcBorders>
              <w:top w:val="single" w:sz="8" w:space="0" w:color="auto"/>
              <w:left w:val="single" w:sz="4" w:space="0" w:color="auto"/>
              <w:bottom w:val="single" w:sz="4" w:space="0" w:color="000000"/>
              <w:right w:val="single" w:sz="4" w:space="0" w:color="auto"/>
            </w:tcBorders>
            <w:vAlign w:val="center"/>
            <w:hideMark/>
          </w:tcPr>
          <w:p w14:paraId="5B37997B" w14:textId="77777777" w:rsidR="005F2EE7" w:rsidRPr="00F72FA4" w:rsidRDefault="005F2EE7" w:rsidP="0042480D">
            <w:pPr>
              <w:rPr>
                <w:b/>
                <w:bCs/>
                <w:color w:val="000000"/>
                <w:sz w:val="22"/>
                <w:szCs w:val="22"/>
                <w:lang w:val="es-GT" w:eastAsia="es-GT"/>
              </w:rPr>
            </w:pPr>
          </w:p>
        </w:tc>
        <w:tc>
          <w:tcPr>
            <w:tcW w:w="1276" w:type="dxa"/>
            <w:tcBorders>
              <w:top w:val="single" w:sz="4" w:space="0" w:color="auto"/>
              <w:left w:val="nil"/>
              <w:bottom w:val="single" w:sz="4" w:space="0" w:color="auto"/>
              <w:right w:val="single" w:sz="4" w:space="0" w:color="auto"/>
            </w:tcBorders>
            <w:shd w:val="clear" w:color="auto" w:fill="00B0F0"/>
            <w:noWrap/>
            <w:vAlign w:val="bottom"/>
            <w:hideMark/>
          </w:tcPr>
          <w:p w14:paraId="7F07EB15" w14:textId="73ED1348" w:rsidR="005F2EE7" w:rsidRPr="00F72FA4" w:rsidRDefault="005F2EE7" w:rsidP="006C1E6C">
            <w:pPr>
              <w:jc w:val="center"/>
              <w:rPr>
                <w:b/>
                <w:bCs/>
                <w:color w:val="000000"/>
                <w:sz w:val="22"/>
                <w:szCs w:val="22"/>
                <w:lang w:val="es-GT" w:eastAsia="es-GT"/>
              </w:rPr>
            </w:pPr>
            <w:r w:rsidRPr="00F72FA4">
              <w:rPr>
                <w:b/>
                <w:bCs/>
                <w:color w:val="000000"/>
                <w:sz w:val="22"/>
                <w:szCs w:val="22"/>
                <w:lang w:val="es-GT" w:eastAsia="es-GT"/>
              </w:rPr>
              <w:t>202</w:t>
            </w:r>
            <w:r w:rsidR="00F72FA4" w:rsidRPr="00F72FA4">
              <w:rPr>
                <w:b/>
                <w:bCs/>
                <w:color w:val="000000"/>
                <w:sz w:val="22"/>
                <w:szCs w:val="22"/>
                <w:lang w:val="es-GT" w:eastAsia="es-GT"/>
              </w:rPr>
              <w:t>2</w:t>
            </w:r>
          </w:p>
        </w:tc>
        <w:tc>
          <w:tcPr>
            <w:tcW w:w="1280" w:type="dxa"/>
            <w:tcBorders>
              <w:top w:val="single" w:sz="4" w:space="0" w:color="auto"/>
              <w:left w:val="single" w:sz="4" w:space="0" w:color="auto"/>
              <w:bottom w:val="single" w:sz="4" w:space="0" w:color="auto"/>
              <w:right w:val="single" w:sz="8" w:space="0" w:color="auto"/>
            </w:tcBorders>
            <w:shd w:val="clear" w:color="auto" w:fill="00B0F0"/>
            <w:noWrap/>
            <w:vAlign w:val="bottom"/>
            <w:hideMark/>
          </w:tcPr>
          <w:p w14:paraId="6DD277F1" w14:textId="3153A5DC" w:rsidR="005F2EE7" w:rsidRPr="00F72FA4" w:rsidRDefault="005F2EE7" w:rsidP="006C1E6C">
            <w:pPr>
              <w:jc w:val="center"/>
              <w:rPr>
                <w:b/>
                <w:bCs/>
                <w:color w:val="000000"/>
                <w:sz w:val="22"/>
                <w:szCs w:val="22"/>
                <w:lang w:val="es-GT" w:eastAsia="es-GT"/>
              </w:rPr>
            </w:pPr>
            <w:r w:rsidRPr="00F72FA4">
              <w:rPr>
                <w:b/>
                <w:bCs/>
                <w:color w:val="000000"/>
                <w:sz w:val="22"/>
                <w:szCs w:val="22"/>
                <w:lang w:val="es-GT" w:eastAsia="es-GT"/>
              </w:rPr>
              <w:t>202</w:t>
            </w:r>
            <w:r w:rsidR="00F72FA4" w:rsidRPr="00F72FA4">
              <w:rPr>
                <w:b/>
                <w:bCs/>
                <w:color w:val="000000"/>
                <w:sz w:val="22"/>
                <w:szCs w:val="22"/>
                <w:lang w:val="es-GT" w:eastAsia="es-GT"/>
              </w:rPr>
              <w:t>3</w:t>
            </w:r>
          </w:p>
        </w:tc>
      </w:tr>
      <w:tr w:rsidR="005F2EE7" w:rsidRPr="00F72FA4" w14:paraId="004B0E3D" w14:textId="77777777" w:rsidTr="00F72FA4">
        <w:trPr>
          <w:trHeight w:val="300"/>
          <w:jc w:val="center"/>
        </w:trPr>
        <w:tc>
          <w:tcPr>
            <w:tcW w:w="2400" w:type="dxa"/>
            <w:tcBorders>
              <w:top w:val="nil"/>
              <w:left w:val="single" w:sz="8" w:space="0" w:color="auto"/>
              <w:bottom w:val="nil"/>
              <w:right w:val="nil"/>
            </w:tcBorders>
            <w:shd w:val="clear" w:color="000000" w:fill="FFFFFF"/>
            <w:noWrap/>
            <w:vAlign w:val="bottom"/>
            <w:hideMark/>
          </w:tcPr>
          <w:p w14:paraId="28CED3DE" w14:textId="77777777" w:rsidR="005F2EE7" w:rsidRPr="00F72FA4" w:rsidRDefault="005F2EE7" w:rsidP="0042480D">
            <w:pPr>
              <w:jc w:val="center"/>
              <w:rPr>
                <w:b/>
                <w:bCs/>
                <w:color w:val="000000"/>
                <w:sz w:val="22"/>
                <w:szCs w:val="22"/>
                <w:lang w:val="es-GT" w:eastAsia="es-GT"/>
              </w:rPr>
            </w:pPr>
            <w:r w:rsidRPr="00F72FA4">
              <w:rPr>
                <w:b/>
                <w:bCs/>
                <w:color w:val="000000"/>
                <w:sz w:val="22"/>
                <w:szCs w:val="22"/>
                <w:lang w:val="es-GT" w:eastAsia="es-GT"/>
              </w:rPr>
              <w:t>Total</w:t>
            </w:r>
          </w:p>
        </w:tc>
        <w:tc>
          <w:tcPr>
            <w:tcW w:w="1276" w:type="dxa"/>
            <w:tcBorders>
              <w:top w:val="nil"/>
              <w:left w:val="single" w:sz="4" w:space="0" w:color="auto"/>
              <w:bottom w:val="nil"/>
              <w:right w:val="single" w:sz="4" w:space="0" w:color="auto"/>
            </w:tcBorders>
            <w:shd w:val="clear" w:color="000000" w:fill="FFFFFF"/>
            <w:noWrap/>
            <w:vAlign w:val="bottom"/>
            <w:hideMark/>
          </w:tcPr>
          <w:p w14:paraId="21A2A2A6" w14:textId="77777777" w:rsidR="005F2EE7" w:rsidRPr="00F72FA4" w:rsidRDefault="005F2EE7" w:rsidP="0042480D">
            <w:pPr>
              <w:jc w:val="right"/>
              <w:rPr>
                <w:b/>
                <w:bCs/>
                <w:color w:val="000000"/>
                <w:sz w:val="22"/>
                <w:szCs w:val="22"/>
                <w:lang w:val="es-GT" w:eastAsia="es-GT"/>
              </w:rPr>
            </w:pPr>
            <w:r w:rsidRPr="00F72FA4">
              <w:rPr>
                <w:b/>
                <w:bCs/>
                <w:color w:val="000000"/>
                <w:sz w:val="22"/>
                <w:szCs w:val="22"/>
                <w:lang w:val="es-GT" w:eastAsia="es-GT"/>
              </w:rPr>
              <w:t xml:space="preserve">47,518.8 </w:t>
            </w:r>
          </w:p>
        </w:tc>
        <w:tc>
          <w:tcPr>
            <w:tcW w:w="1276" w:type="dxa"/>
            <w:tcBorders>
              <w:top w:val="nil"/>
              <w:left w:val="nil"/>
              <w:bottom w:val="nil"/>
              <w:right w:val="single" w:sz="4" w:space="0" w:color="auto"/>
            </w:tcBorders>
            <w:shd w:val="clear" w:color="000000" w:fill="FFFFFF"/>
            <w:noWrap/>
            <w:vAlign w:val="bottom"/>
            <w:hideMark/>
          </w:tcPr>
          <w:p w14:paraId="77467A37" w14:textId="77777777" w:rsidR="005F2EE7" w:rsidRPr="00F72FA4" w:rsidRDefault="005F2EE7" w:rsidP="0042480D">
            <w:pPr>
              <w:jc w:val="right"/>
              <w:rPr>
                <w:b/>
                <w:bCs/>
                <w:color w:val="000000"/>
                <w:sz w:val="22"/>
                <w:szCs w:val="22"/>
                <w:lang w:val="es-GT" w:eastAsia="es-GT"/>
              </w:rPr>
            </w:pPr>
            <w:r w:rsidRPr="00F72FA4">
              <w:rPr>
                <w:b/>
                <w:bCs/>
                <w:color w:val="000000"/>
                <w:sz w:val="22"/>
                <w:szCs w:val="22"/>
                <w:lang w:val="es-GT" w:eastAsia="es-GT"/>
              </w:rPr>
              <w:t xml:space="preserve">54,863.3 </w:t>
            </w:r>
          </w:p>
        </w:tc>
        <w:tc>
          <w:tcPr>
            <w:tcW w:w="1559" w:type="dxa"/>
            <w:tcBorders>
              <w:top w:val="nil"/>
              <w:left w:val="nil"/>
              <w:bottom w:val="nil"/>
              <w:right w:val="single" w:sz="4" w:space="0" w:color="auto"/>
            </w:tcBorders>
            <w:shd w:val="clear" w:color="000000" w:fill="FFFFFF"/>
            <w:noWrap/>
            <w:vAlign w:val="bottom"/>
            <w:hideMark/>
          </w:tcPr>
          <w:p w14:paraId="65CB8DDC" w14:textId="77777777" w:rsidR="005F2EE7" w:rsidRPr="00F72FA4" w:rsidRDefault="005F2EE7" w:rsidP="0042480D">
            <w:pPr>
              <w:jc w:val="right"/>
              <w:rPr>
                <w:b/>
                <w:bCs/>
                <w:color w:val="000000"/>
                <w:sz w:val="22"/>
                <w:szCs w:val="22"/>
                <w:lang w:val="es-GT" w:eastAsia="es-GT"/>
              </w:rPr>
            </w:pPr>
            <w:r w:rsidRPr="00F72FA4">
              <w:rPr>
                <w:b/>
                <w:bCs/>
                <w:color w:val="000000"/>
                <w:sz w:val="22"/>
                <w:szCs w:val="22"/>
                <w:lang w:val="es-GT" w:eastAsia="es-GT"/>
              </w:rPr>
              <w:t xml:space="preserve">7,344.5 </w:t>
            </w:r>
          </w:p>
        </w:tc>
        <w:tc>
          <w:tcPr>
            <w:tcW w:w="1276" w:type="dxa"/>
            <w:tcBorders>
              <w:top w:val="nil"/>
              <w:left w:val="nil"/>
              <w:bottom w:val="nil"/>
              <w:right w:val="single" w:sz="4" w:space="0" w:color="auto"/>
            </w:tcBorders>
            <w:shd w:val="clear" w:color="000000" w:fill="FFFFFF"/>
            <w:noWrap/>
            <w:vAlign w:val="bottom"/>
            <w:hideMark/>
          </w:tcPr>
          <w:p w14:paraId="4D0E10C1" w14:textId="77777777" w:rsidR="005F2EE7" w:rsidRPr="00F72FA4" w:rsidRDefault="005F2EE7" w:rsidP="0042480D">
            <w:pPr>
              <w:jc w:val="right"/>
              <w:rPr>
                <w:b/>
                <w:bCs/>
                <w:color w:val="000000"/>
                <w:sz w:val="22"/>
                <w:szCs w:val="22"/>
                <w:lang w:val="es-GT" w:eastAsia="es-GT"/>
              </w:rPr>
            </w:pPr>
            <w:r w:rsidRPr="00F72FA4">
              <w:rPr>
                <w:b/>
                <w:bCs/>
                <w:color w:val="000000"/>
                <w:sz w:val="22"/>
                <w:szCs w:val="22"/>
                <w:lang w:val="es-GT" w:eastAsia="es-GT"/>
              </w:rPr>
              <w:t>100.0%</w:t>
            </w:r>
          </w:p>
        </w:tc>
        <w:tc>
          <w:tcPr>
            <w:tcW w:w="1280" w:type="dxa"/>
            <w:tcBorders>
              <w:top w:val="nil"/>
              <w:left w:val="single" w:sz="4" w:space="0" w:color="auto"/>
              <w:bottom w:val="nil"/>
              <w:right w:val="single" w:sz="8" w:space="0" w:color="auto"/>
            </w:tcBorders>
            <w:shd w:val="clear" w:color="000000" w:fill="FFFFFF"/>
            <w:noWrap/>
            <w:vAlign w:val="bottom"/>
            <w:hideMark/>
          </w:tcPr>
          <w:p w14:paraId="2FA5A22B" w14:textId="77777777" w:rsidR="005F2EE7" w:rsidRPr="00F72FA4" w:rsidRDefault="005F2EE7" w:rsidP="0042480D">
            <w:pPr>
              <w:jc w:val="right"/>
              <w:rPr>
                <w:b/>
                <w:bCs/>
                <w:color w:val="000000"/>
                <w:sz w:val="22"/>
                <w:szCs w:val="22"/>
                <w:lang w:val="es-GT" w:eastAsia="es-GT"/>
              </w:rPr>
            </w:pPr>
            <w:r w:rsidRPr="00F72FA4">
              <w:rPr>
                <w:b/>
                <w:bCs/>
                <w:color w:val="000000"/>
                <w:sz w:val="22"/>
                <w:szCs w:val="22"/>
                <w:lang w:val="es-GT" w:eastAsia="es-GT"/>
              </w:rPr>
              <w:t>100.0%</w:t>
            </w:r>
          </w:p>
        </w:tc>
      </w:tr>
      <w:tr w:rsidR="005F2EE7" w:rsidRPr="00F72FA4" w14:paraId="339634AA" w14:textId="77777777" w:rsidTr="00F72FA4">
        <w:trPr>
          <w:trHeight w:val="300"/>
          <w:jc w:val="center"/>
        </w:trPr>
        <w:tc>
          <w:tcPr>
            <w:tcW w:w="2400" w:type="dxa"/>
            <w:tcBorders>
              <w:top w:val="nil"/>
              <w:left w:val="single" w:sz="8" w:space="0" w:color="auto"/>
              <w:bottom w:val="nil"/>
              <w:right w:val="nil"/>
            </w:tcBorders>
            <w:shd w:val="clear" w:color="000000" w:fill="FFFFFF"/>
            <w:noWrap/>
            <w:vAlign w:val="bottom"/>
            <w:hideMark/>
          </w:tcPr>
          <w:p w14:paraId="5A6DD9A1" w14:textId="77777777" w:rsidR="005F2EE7" w:rsidRPr="00F72FA4" w:rsidRDefault="005F2EE7" w:rsidP="0042480D">
            <w:pPr>
              <w:rPr>
                <w:color w:val="000000"/>
                <w:sz w:val="22"/>
                <w:szCs w:val="22"/>
                <w:lang w:val="es-GT" w:eastAsia="es-GT"/>
              </w:rPr>
            </w:pPr>
            <w:r w:rsidRPr="00F72FA4">
              <w:rPr>
                <w:color w:val="000000"/>
                <w:sz w:val="22"/>
                <w:szCs w:val="22"/>
                <w:lang w:val="es-GT" w:eastAsia="es-GT"/>
              </w:rPr>
              <w:t>Fuentes Internas</w:t>
            </w:r>
          </w:p>
        </w:tc>
        <w:tc>
          <w:tcPr>
            <w:tcW w:w="1276" w:type="dxa"/>
            <w:tcBorders>
              <w:top w:val="nil"/>
              <w:left w:val="single" w:sz="4" w:space="0" w:color="auto"/>
              <w:bottom w:val="nil"/>
              <w:right w:val="single" w:sz="4" w:space="0" w:color="auto"/>
            </w:tcBorders>
            <w:shd w:val="clear" w:color="000000" w:fill="FFFFFF"/>
            <w:noWrap/>
            <w:vAlign w:val="bottom"/>
            <w:hideMark/>
          </w:tcPr>
          <w:p w14:paraId="4342DA6B"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42,600.4 </w:t>
            </w:r>
          </w:p>
        </w:tc>
        <w:tc>
          <w:tcPr>
            <w:tcW w:w="1276" w:type="dxa"/>
            <w:tcBorders>
              <w:top w:val="nil"/>
              <w:left w:val="nil"/>
              <w:bottom w:val="nil"/>
              <w:right w:val="single" w:sz="4" w:space="0" w:color="auto"/>
            </w:tcBorders>
            <w:shd w:val="clear" w:color="000000" w:fill="FFFFFF"/>
            <w:noWrap/>
            <w:vAlign w:val="bottom"/>
            <w:hideMark/>
          </w:tcPr>
          <w:p w14:paraId="76C2166E"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52,654.0 </w:t>
            </w:r>
          </w:p>
        </w:tc>
        <w:tc>
          <w:tcPr>
            <w:tcW w:w="1559" w:type="dxa"/>
            <w:tcBorders>
              <w:top w:val="nil"/>
              <w:left w:val="nil"/>
              <w:bottom w:val="nil"/>
              <w:right w:val="single" w:sz="4" w:space="0" w:color="auto"/>
            </w:tcBorders>
            <w:shd w:val="clear" w:color="000000" w:fill="FFFFFF"/>
            <w:noWrap/>
            <w:vAlign w:val="bottom"/>
            <w:hideMark/>
          </w:tcPr>
          <w:p w14:paraId="0EE378D1"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10,053.6 </w:t>
            </w:r>
          </w:p>
        </w:tc>
        <w:tc>
          <w:tcPr>
            <w:tcW w:w="1276" w:type="dxa"/>
            <w:tcBorders>
              <w:top w:val="nil"/>
              <w:left w:val="nil"/>
              <w:bottom w:val="nil"/>
              <w:right w:val="single" w:sz="4" w:space="0" w:color="auto"/>
            </w:tcBorders>
            <w:shd w:val="clear" w:color="000000" w:fill="FFFFFF"/>
            <w:noWrap/>
            <w:vAlign w:val="bottom"/>
            <w:hideMark/>
          </w:tcPr>
          <w:p w14:paraId="479EB155"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89.6%</w:t>
            </w:r>
          </w:p>
        </w:tc>
        <w:tc>
          <w:tcPr>
            <w:tcW w:w="1280" w:type="dxa"/>
            <w:tcBorders>
              <w:top w:val="nil"/>
              <w:left w:val="single" w:sz="4" w:space="0" w:color="auto"/>
              <w:bottom w:val="nil"/>
              <w:right w:val="single" w:sz="8" w:space="0" w:color="auto"/>
            </w:tcBorders>
            <w:shd w:val="clear" w:color="000000" w:fill="FFFFFF"/>
            <w:noWrap/>
            <w:vAlign w:val="bottom"/>
            <w:hideMark/>
          </w:tcPr>
          <w:p w14:paraId="2E05E7B1"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96.0%</w:t>
            </w:r>
          </w:p>
        </w:tc>
      </w:tr>
      <w:tr w:rsidR="005F2EE7" w:rsidRPr="00F72FA4" w14:paraId="5615CE6D" w14:textId="77777777" w:rsidTr="00F72FA4">
        <w:trPr>
          <w:trHeight w:val="300"/>
          <w:jc w:val="center"/>
        </w:trPr>
        <w:tc>
          <w:tcPr>
            <w:tcW w:w="2400" w:type="dxa"/>
            <w:tcBorders>
              <w:top w:val="nil"/>
              <w:left w:val="single" w:sz="8" w:space="0" w:color="auto"/>
              <w:bottom w:val="nil"/>
              <w:right w:val="nil"/>
            </w:tcBorders>
            <w:shd w:val="clear" w:color="000000" w:fill="FFFFFF"/>
            <w:noWrap/>
            <w:vAlign w:val="bottom"/>
            <w:hideMark/>
          </w:tcPr>
          <w:p w14:paraId="246F1C8D" w14:textId="77777777" w:rsidR="005F2EE7" w:rsidRPr="00F72FA4" w:rsidRDefault="005F2EE7" w:rsidP="0042480D">
            <w:pPr>
              <w:rPr>
                <w:color w:val="000000"/>
                <w:sz w:val="22"/>
                <w:szCs w:val="22"/>
                <w:lang w:val="es-GT" w:eastAsia="es-GT"/>
              </w:rPr>
            </w:pPr>
            <w:r w:rsidRPr="00F72FA4">
              <w:rPr>
                <w:color w:val="000000"/>
                <w:sz w:val="22"/>
                <w:szCs w:val="22"/>
                <w:lang w:val="es-GT" w:eastAsia="es-GT"/>
              </w:rPr>
              <w:t>Deuda Pública</w:t>
            </w:r>
          </w:p>
        </w:tc>
        <w:tc>
          <w:tcPr>
            <w:tcW w:w="1276" w:type="dxa"/>
            <w:tcBorders>
              <w:top w:val="nil"/>
              <w:left w:val="single" w:sz="4" w:space="0" w:color="auto"/>
              <w:bottom w:val="nil"/>
              <w:right w:val="single" w:sz="4" w:space="0" w:color="auto"/>
            </w:tcBorders>
            <w:shd w:val="clear" w:color="000000" w:fill="FFFFFF"/>
            <w:noWrap/>
            <w:vAlign w:val="bottom"/>
            <w:hideMark/>
          </w:tcPr>
          <w:p w14:paraId="55A708F1"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4,797.3 </w:t>
            </w:r>
          </w:p>
        </w:tc>
        <w:tc>
          <w:tcPr>
            <w:tcW w:w="1276" w:type="dxa"/>
            <w:tcBorders>
              <w:top w:val="nil"/>
              <w:left w:val="nil"/>
              <w:bottom w:val="nil"/>
              <w:right w:val="single" w:sz="4" w:space="0" w:color="auto"/>
            </w:tcBorders>
            <w:shd w:val="clear" w:color="000000" w:fill="FFFFFF"/>
            <w:noWrap/>
            <w:vAlign w:val="bottom"/>
            <w:hideMark/>
          </w:tcPr>
          <w:p w14:paraId="040ED67A"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2,186.3 </w:t>
            </w:r>
          </w:p>
        </w:tc>
        <w:tc>
          <w:tcPr>
            <w:tcW w:w="1559" w:type="dxa"/>
            <w:tcBorders>
              <w:top w:val="nil"/>
              <w:left w:val="nil"/>
              <w:bottom w:val="nil"/>
              <w:right w:val="single" w:sz="4" w:space="0" w:color="auto"/>
            </w:tcBorders>
            <w:shd w:val="clear" w:color="000000" w:fill="FFFFFF"/>
            <w:noWrap/>
            <w:vAlign w:val="bottom"/>
            <w:hideMark/>
          </w:tcPr>
          <w:p w14:paraId="4846C064"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-2,611.0 </w:t>
            </w:r>
          </w:p>
        </w:tc>
        <w:tc>
          <w:tcPr>
            <w:tcW w:w="1276" w:type="dxa"/>
            <w:tcBorders>
              <w:top w:val="nil"/>
              <w:left w:val="nil"/>
              <w:bottom w:val="nil"/>
              <w:right w:val="single" w:sz="4" w:space="0" w:color="auto"/>
            </w:tcBorders>
            <w:shd w:val="clear" w:color="000000" w:fill="FFFFFF"/>
            <w:noWrap/>
            <w:vAlign w:val="bottom"/>
            <w:hideMark/>
          </w:tcPr>
          <w:p w14:paraId="5D4F8D66"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10.1%</w:t>
            </w:r>
          </w:p>
        </w:tc>
        <w:tc>
          <w:tcPr>
            <w:tcW w:w="1280" w:type="dxa"/>
            <w:tcBorders>
              <w:top w:val="nil"/>
              <w:left w:val="single" w:sz="4" w:space="0" w:color="auto"/>
              <w:bottom w:val="nil"/>
              <w:right w:val="single" w:sz="8" w:space="0" w:color="auto"/>
            </w:tcBorders>
            <w:shd w:val="clear" w:color="000000" w:fill="FFFFFF"/>
            <w:noWrap/>
            <w:vAlign w:val="bottom"/>
            <w:hideMark/>
          </w:tcPr>
          <w:p w14:paraId="4FF0706C"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4.0%</w:t>
            </w:r>
          </w:p>
        </w:tc>
      </w:tr>
      <w:tr w:rsidR="005F2EE7" w:rsidRPr="00F72FA4" w14:paraId="42CB9BEB" w14:textId="77777777" w:rsidTr="00F72FA4">
        <w:trPr>
          <w:trHeight w:val="315"/>
          <w:jc w:val="center"/>
        </w:trPr>
        <w:tc>
          <w:tcPr>
            <w:tcW w:w="2400" w:type="dxa"/>
            <w:tcBorders>
              <w:top w:val="nil"/>
              <w:left w:val="single" w:sz="8" w:space="0" w:color="auto"/>
              <w:bottom w:val="single" w:sz="8" w:space="0" w:color="auto"/>
              <w:right w:val="nil"/>
            </w:tcBorders>
            <w:shd w:val="clear" w:color="000000" w:fill="FFFFFF"/>
            <w:noWrap/>
            <w:vAlign w:val="bottom"/>
            <w:hideMark/>
          </w:tcPr>
          <w:p w14:paraId="1D9D1AB8" w14:textId="77777777" w:rsidR="005F2EE7" w:rsidRPr="00F72FA4" w:rsidRDefault="005F2EE7" w:rsidP="0042480D">
            <w:pPr>
              <w:rPr>
                <w:color w:val="000000"/>
                <w:sz w:val="22"/>
                <w:szCs w:val="22"/>
                <w:lang w:val="es-GT" w:eastAsia="es-GT"/>
              </w:rPr>
            </w:pPr>
            <w:r w:rsidRPr="00F72FA4">
              <w:rPr>
                <w:color w:val="000000"/>
                <w:sz w:val="22"/>
                <w:szCs w:val="22"/>
                <w:lang w:val="es-GT" w:eastAsia="es-GT"/>
              </w:rPr>
              <w:t>Donaciones</w:t>
            </w:r>
          </w:p>
        </w:tc>
        <w:tc>
          <w:tcPr>
            <w:tcW w:w="1276" w:type="dxa"/>
            <w:tcBorders>
              <w:top w:val="nil"/>
              <w:left w:val="single" w:sz="4" w:space="0" w:color="auto"/>
              <w:bottom w:val="single" w:sz="8" w:space="0" w:color="auto"/>
              <w:right w:val="single" w:sz="4" w:space="0" w:color="auto"/>
            </w:tcBorders>
            <w:shd w:val="clear" w:color="000000" w:fill="FFFFFF"/>
            <w:noWrap/>
            <w:vAlign w:val="bottom"/>
            <w:hideMark/>
          </w:tcPr>
          <w:p w14:paraId="2F16C6A2"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121.1 </w:t>
            </w:r>
          </w:p>
        </w:tc>
        <w:tc>
          <w:tcPr>
            <w:tcW w:w="1276" w:type="dxa"/>
            <w:tcBorders>
              <w:top w:val="nil"/>
              <w:left w:val="nil"/>
              <w:bottom w:val="single" w:sz="8" w:space="0" w:color="auto"/>
              <w:right w:val="single" w:sz="4" w:space="0" w:color="auto"/>
            </w:tcBorders>
            <w:shd w:val="clear" w:color="000000" w:fill="FFFFFF"/>
            <w:noWrap/>
            <w:vAlign w:val="bottom"/>
            <w:hideMark/>
          </w:tcPr>
          <w:p w14:paraId="17CEFAC3"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23.0 </w:t>
            </w:r>
          </w:p>
        </w:tc>
        <w:tc>
          <w:tcPr>
            <w:tcW w:w="1559" w:type="dxa"/>
            <w:tcBorders>
              <w:top w:val="nil"/>
              <w:left w:val="nil"/>
              <w:bottom w:val="single" w:sz="8" w:space="0" w:color="auto"/>
              <w:right w:val="single" w:sz="4" w:space="0" w:color="auto"/>
            </w:tcBorders>
            <w:shd w:val="clear" w:color="000000" w:fill="FFFFFF"/>
            <w:noWrap/>
            <w:vAlign w:val="bottom"/>
            <w:hideMark/>
          </w:tcPr>
          <w:p w14:paraId="7A76D05F"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 xml:space="preserve">-98.2 </w:t>
            </w:r>
          </w:p>
        </w:tc>
        <w:tc>
          <w:tcPr>
            <w:tcW w:w="1276" w:type="dxa"/>
            <w:tcBorders>
              <w:top w:val="nil"/>
              <w:left w:val="nil"/>
              <w:bottom w:val="single" w:sz="8" w:space="0" w:color="auto"/>
              <w:right w:val="single" w:sz="4" w:space="0" w:color="auto"/>
            </w:tcBorders>
            <w:shd w:val="clear" w:color="000000" w:fill="FFFFFF"/>
            <w:noWrap/>
            <w:vAlign w:val="bottom"/>
            <w:hideMark/>
          </w:tcPr>
          <w:p w14:paraId="3B24BBEE"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0.3%</w:t>
            </w:r>
          </w:p>
        </w:tc>
        <w:tc>
          <w:tcPr>
            <w:tcW w:w="1280" w:type="dxa"/>
            <w:tcBorders>
              <w:top w:val="nil"/>
              <w:left w:val="single" w:sz="4" w:space="0" w:color="auto"/>
              <w:bottom w:val="single" w:sz="8" w:space="0" w:color="auto"/>
              <w:right w:val="single" w:sz="8" w:space="0" w:color="auto"/>
            </w:tcBorders>
            <w:shd w:val="clear" w:color="000000" w:fill="FFFFFF"/>
            <w:noWrap/>
            <w:vAlign w:val="bottom"/>
            <w:hideMark/>
          </w:tcPr>
          <w:p w14:paraId="0B4A7733" w14:textId="77777777" w:rsidR="005F2EE7" w:rsidRPr="00F72FA4" w:rsidRDefault="005F2EE7" w:rsidP="0042480D">
            <w:pPr>
              <w:jc w:val="right"/>
              <w:rPr>
                <w:color w:val="000000"/>
                <w:sz w:val="22"/>
                <w:szCs w:val="22"/>
                <w:lang w:val="es-GT" w:eastAsia="es-GT"/>
              </w:rPr>
            </w:pPr>
            <w:r w:rsidRPr="00F72FA4">
              <w:rPr>
                <w:color w:val="000000"/>
                <w:sz w:val="22"/>
                <w:szCs w:val="22"/>
                <w:lang w:val="es-GT" w:eastAsia="es-GT"/>
              </w:rPr>
              <w:t>0.04%</w:t>
            </w:r>
          </w:p>
        </w:tc>
      </w:tr>
    </w:tbl>
    <w:p w14:paraId="18296FA6" w14:textId="77777777" w:rsidR="005F2EE7" w:rsidRPr="008B33DA" w:rsidRDefault="005F2EE7" w:rsidP="005F2EE7">
      <w:pPr>
        <w:rPr>
          <w:sz w:val="18"/>
          <w:lang w:val="es-MX"/>
        </w:rPr>
      </w:pPr>
      <w:r w:rsidRPr="008B33DA">
        <w:rPr>
          <w:sz w:val="18"/>
          <w:lang w:val="es-MX"/>
        </w:rPr>
        <w:t>* Cifras preliminares</w:t>
      </w:r>
    </w:p>
    <w:p w14:paraId="08ACEEA7" w14:textId="77777777" w:rsidR="005F2EE7" w:rsidRPr="008B33DA" w:rsidRDefault="005F2EE7" w:rsidP="005F2EE7">
      <w:pPr>
        <w:tabs>
          <w:tab w:val="left" w:pos="5954"/>
        </w:tabs>
        <w:rPr>
          <w:sz w:val="18"/>
          <w:lang w:val="es-MX"/>
        </w:rPr>
      </w:pPr>
      <w:r w:rsidRPr="008B33DA">
        <w:rPr>
          <w:sz w:val="18"/>
          <w:lang w:val="es-MX"/>
        </w:rPr>
        <w:t xml:space="preserve">   Fuente: Ministerio de Finanzas Públicas con base al SICOIN.</w:t>
      </w:r>
    </w:p>
    <w:p w14:paraId="6D4C2ABF" w14:textId="77777777" w:rsidR="005F2EE7" w:rsidRPr="008B33DA" w:rsidRDefault="005F2EE7" w:rsidP="005F2EE7">
      <w:pPr>
        <w:jc w:val="both"/>
        <w:rPr>
          <w:sz w:val="32"/>
          <w:lang w:val="es-MX"/>
        </w:rPr>
      </w:pPr>
    </w:p>
    <w:p w14:paraId="1E10D66D" w14:textId="633BFE67" w:rsidR="005F2EE7" w:rsidRPr="008B33DA" w:rsidRDefault="005F2EE7" w:rsidP="005F2EE7">
      <w:pPr>
        <w:jc w:val="both"/>
        <w:rPr>
          <w:lang w:val="es-MX"/>
        </w:rPr>
      </w:pPr>
      <w:r w:rsidRPr="008B33DA">
        <w:rPr>
          <w:lang w:val="es-MX"/>
        </w:rPr>
        <w:t xml:space="preserve">Los gastos financiados con fuentes internas se refieren a los que se cubren con </w:t>
      </w:r>
      <w:r w:rsidR="00C60AB6">
        <w:rPr>
          <w:lang w:val="es-MX"/>
        </w:rPr>
        <w:t>i</w:t>
      </w:r>
      <w:r w:rsidRPr="008B33DA">
        <w:rPr>
          <w:lang w:val="es-MX"/>
        </w:rPr>
        <w:t xml:space="preserve">ngresos </w:t>
      </w:r>
      <w:r w:rsidR="00C60AB6">
        <w:rPr>
          <w:lang w:val="es-MX"/>
        </w:rPr>
        <w:t>t</w:t>
      </w:r>
      <w:r w:rsidRPr="008B33DA">
        <w:rPr>
          <w:lang w:val="es-MX"/>
        </w:rPr>
        <w:t xml:space="preserve">ributarios, </w:t>
      </w:r>
      <w:r w:rsidR="00C60AB6">
        <w:rPr>
          <w:lang w:val="es-MX"/>
        </w:rPr>
        <w:t>n</w:t>
      </w:r>
      <w:r w:rsidRPr="008B33DA">
        <w:rPr>
          <w:lang w:val="es-MX"/>
        </w:rPr>
        <w:t xml:space="preserve">o </w:t>
      </w:r>
      <w:r w:rsidR="00C60AB6">
        <w:rPr>
          <w:lang w:val="es-MX"/>
        </w:rPr>
        <w:t>t</w:t>
      </w:r>
      <w:r w:rsidRPr="008B33DA">
        <w:rPr>
          <w:lang w:val="es-MX"/>
        </w:rPr>
        <w:t xml:space="preserve">ributarios </w:t>
      </w:r>
      <w:r w:rsidR="00C60AB6">
        <w:rPr>
          <w:lang w:val="es-MX"/>
        </w:rPr>
        <w:t>e i</w:t>
      </w:r>
      <w:r w:rsidRPr="008B33DA">
        <w:rPr>
          <w:lang w:val="es-MX"/>
        </w:rPr>
        <w:t xml:space="preserve">ngresos de </w:t>
      </w:r>
      <w:r w:rsidR="00C60AB6">
        <w:rPr>
          <w:lang w:val="es-MX"/>
        </w:rPr>
        <w:t>c</w:t>
      </w:r>
      <w:r w:rsidRPr="008B33DA">
        <w:rPr>
          <w:lang w:val="es-MX"/>
        </w:rPr>
        <w:t>apital</w:t>
      </w:r>
      <w:r w:rsidR="00C60AB6">
        <w:rPr>
          <w:lang w:val="es-MX"/>
        </w:rPr>
        <w:t>, los</w:t>
      </w:r>
      <w:r w:rsidRPr="008B33DA">
        <w:rPr>
          <w:lang w:val="es-MX"/>
        </w:rPr>
        <w:t xml:space="preserve"> que a junio de 2023 financiaron el 96.0%</w:t>
      </w:r>
      <w:r w:rsidR="00C60AB6">
        <w:rPr>
          <w:lang w:val="es-MX"/>
        </w:rPr>
        <w:t xml:space="preserve"> del presupuesto, con un aumento neto</w:t>
      </w:r>
      <w:r w:rsidRPr="008B33DA">
        <w:rPr>
          <w:lang w:val="es-MX"/>
        </w:rPr>
        <w:t xml:space="preserve"> de Q.10,053.6 millones, dentro de los cuales, los ingresos corrientes tuvieron un aumento de Q.3,905.7 millones. Por su parte, los saldos con recursos del tesoro provenientes de años anteriores, tuvieron un aumento de Q.2,786.6; para 2023 se registraron como fuente de financiamiento, el rubro </w:t>
      </w:r>
      <w:r w:rsidR="00C60AB6">
        <w:rPr>
          <w:lang w:val="es-MX"/>
        </w:rPr>
        <w:t>o</w:t>
      </w:r>
      <w:r w:rsidRPr="008B33DA">
        <w:rPr>
          <w:lang w:val="es-MX"/>
        </w:rPr>
        <w:t xml:space="preserve">tros </w:t>
      </w:r>
      <w:r w:rsidR="00C60AB6">
        <w:rPr>
          <w:lang w:val="es-MX"/>
        </w:rPr>
        <w:t>r</w:t>
      </w:r>
      <w:r w:rsidRPr="008B33DA">
        <w:rPr>
          <w:lang w:val="es-MX"/>
        </w:rPr>
        <w:t xml:space="preserve">ecursos del </w:t>
      </w:r>
      <w:r w:rsidR="00C60AB6">
        <w:rPr>
          <w:lang w:val="es-MX"/>
        </w:rPr>
        <w:t>t</w:t>
      </w:r>
      <w:r w:rsidRPr="008B33DA">
        <w:rPr>
          <w:lang w:val="es-MX"/>
        </w:rPr>
        <w:t>esoro, por medio de los cuales se ejecutaron Q</w:t>
      </w:r>
      <w:r w:rsidR="00C60AB6">
        <w:rPr>
          <w:lang w:val="es-MX"/>
        </w:rPr>
        <w:t>.</w:t>
      </w:r>
      <w:r w:rsidRPr="008B33DA">
        <w:rPr>
          <w:lang w:val="es-MX"/>
        </w:rPr>
        <w:t>335.6 millones y que en 2022 no tuvieron movimiento. Los ingresos tributarios provenientes del IVA-Paz tuvieron un aumento de Q.1,806.6 millones, los aportes constitucionales tuvieron un aumento de Q.702.3 millones, entre los más significativos, la fuente de financiamiento con afectación específica tuvo un incremento de Q</w:t>
      </w:r>
      <w:r w:rsidR="00C60AB6">
        <w:rPr>
          <w:lang w:val="es-MX"/>
        </w:rPr>
        <w:t>.</w:t>
      </w:r>
      <w:r w:rsidRPr="008B33DA">
        <w:rPr>
          <w:lang w:val="es-MX"/>
        </w:rPr>
        <w:t xml:space="preserve">225.8 millones, los ingresos propios se incrementaron </w:t>
      </w:r>
      <w:r w:rsidR="00C60AB6">
        <w:rPr>
          <w:lang w:val="es-MX"/>
        </w:rPr>
        <w:t xml:space="preserve">en </w:t>
      </w:r>
      <w:r w:rsidRPr="008B33DA">
        <w:rPr>
          <w:lang w:val="es-MX"/>
        </w:rPr>
        <w:t>Q</w:t>
      </w:r>
      <w:r w:rsidR="00C60AB6">
        <w:rPr>
          <w:lang w:val="es-MX"/>
        </w:rPr>
        <w:t>.</w:t>
      </w:r>
      <w:r w:rsidRPr="008B33DA">
        <w:rPr>
          <w:lang w:val="es-MX"/>
        </w:rPr>
        <w:t>130.5 millones, en tanto que los ingresos propios de años anteriores también aumentaron</w:t>
      </w:r>
      <w:r w:rsidR="00C60AB6">
        <w:rPr>
          <w:lang w:val="es-MX"/>
        </w:rPr>
        <w:t xml:space="preserve"> en</w:t>
      </w:r>
      <w:r w:rsidRPr="008B33DA">
        <w:rPr>
          <w:lang w:val="es-MX"/>
        </w:rPr>
        <w:t xml:space="preserve"> Q</w:t>
      </w:r>
      <w:r w:rsidR="00C60AB6">
        <w:rPr>
          <w:lang w:val="es-MX"/>
        </w:rPr>
        <w:t>.</w:t>
      </w:r>
      <w:r w:rsidRPr="008B33DA">
        <w:rPr>
          <w:lang w:val="es-MX"/>
        </w:rPr>
        <w:t>158.0 millones.</w:t>
      </w:r>
    </w:p>
    <w:p w14:paraId="06FEE2F3" w14:textId="77777777" w:rsidR="005F2EE7" w:rsidRPr="008F7BCB" w:rsidRDefault="005F2EE7" w:rsidP="005F2EE7">
      <w:pPr>
        <w:jc w:val="both"/>
        <w:rPr>
          <w:color w:val="FF0000"/>
          <w:sz w:val="32"/>
          <w:lang w:val="es-MX"/>
        </w:rPr>
      </w:pPr>
    </w:p>
    <w:p w14:paraId="7B554576" w14:textId="7F83BAA0" w:rsidR="005F2EE7" w:rsidRPr="008B33DA" w:rsidRDefault="005F2EE7" w:rsidP="005F2EE7">
      <w:pPr>
        <w:jc w:val="both"/>
        <w:rPr>
          <w:lang w:val="es-MX"/>
        </w:rPr>
      </w:pPr>
      <w:r w:rsidRPr="008B33DA">
        <w:rPr>
          <w:lang w:val="es-MX"/>
        </w:rPr>
        <w:t xml:space="preserve">En lo referente a gastos financiados con recursos provenientes de la deuda pública, estos experimentaron una disminución neta </w:t>
      </w:r>
      <w:r w:rsidR="00D91DA7">
        <w:rPr>
          <w:lang w:val="es-MX"/>
        </w:rPr>
        <w:t xml:space="preserve">en 2023 </w:t>
      </w:r>
      <w:r w:rsidRPr="008B33DA">
        <w:rPr>
          <w:lang w:val="es-MX"/>
        </w:rPr>
        <w:t>en todos sus componentes con un total de Q.2,611.0 millones</w:t>
      </w:r>
      <w:r w:rsidR="00C60AB6">
        <w:rPr>
          <w:lang w:val="es-MX"/>
        </w:rPr>
        <w:t>;</w:t>
      </w:r>
      <w:r w:rsidRPr="008B33DA">
        <w:rPr>
          <w:lang w:val="es-MX"/>
        </w:rPr>
        <w:t xml:space="preserve"> est</w:t>
      </w:r>
      <w:r w:rsidR="00C60AB6">
        <w:rPr>
          <w:lang w:val="es-MX"/>
        </w:rPr>
        <w:t>a</w:t>
      </w:r>
      <w:r w:rsidRPr="008B33DA">
        <w:rPr>
          <w:lang w:val="es-MX"/>
        </w:rPr>
        <w:t>s fuentes financiaron la ejecución presupuestaria en 4.0%, teniendo el mayor impacto en las colocaciones internas, las cuales fueron de Q.4,317.9 millones en 2022, en tanto que para 202</w:t>
      </w:r>
      <w:r w:rsidR="00D91DA7">
        <w:rPr>
          <w:lang w:val="es-MX"/>
        </w:rPr>
        <w:t>3</w:t>
      </w:r>
      <w:r w:rsidRPr="008B33DA">
        <w:rPr>
          <w:lang w:val="es-MX"/>
        </w:rPr>
        <w:t xml:space="preserve"> fueron de Q.718.2 millones; es decir, tuvieron una reducción del 83.4%</w:t>
      </w:r>
      <w:r w:rsidR="00D91DA7">
        <w:rPr>
          <w:lang w:val="es-MX"/>
        </w:rPr>
        <w:t>;</w:t>
      </w:r>
      <w:r w:rsidRPr="008B33DA">
        <w:rPr>
          <w:lang w:val="es-MX"/>
        </w:rPr>
        <w:t xml:space="preserve"> asimismo, los saldos de colocaciones internas de años anteriores se redujeron en Q.281.7 millones, equivalentes a una disminución en la utilización de estos recursos en 96.5%, respecto del año anterior. Por su parte, las colocaciones externas a junio de 2022 no habían formado parte de las fuentes de ejecución, en tanto que, para 2023 se ejecutaron Q</w:t>
      </w:r>
      <w:r w:rsidR="00D91DA7">
        <w:rPr>
          <w:lang w:val="es-MX"/>
        </w:rPr>
        <w:t>.</w:t>
      </w:r>
      <w:r w:rsidRPr="008B33DA">
        <w:rPr>
          <w:lang w:val="es-MX"/>
        </w:rPr>
        <w:t>851.8 millones</w:t>
      </w:r>
      <w:r w:rsidR="00D91DA7">
        <w:rPr>
          <w:lang w:val="es-MX"/>
        </w:rPr>
        <w:t>;</w:t>
      </w:r>
      <w:r w:rsidRPr="008B33DA">
        <w:rPr>
          <w:lang w:val="es-MX"/>
        </w:rPr>
        <w:t xml:space="preserve"> en cuanto a las fuentes provenientes de préstamos externos, estos aumentaron Q</w:t>
      </w:r>
      <w:r w:rsidR="00D91DA7">
        <w:rPr>
          <w:lang w:val="es-MX"/>
        </w:rPr>
        <w:t>.</w:t>
      </w:r>
      <w:r w:rsidRPr="008B33DA">
        <w:rPr>
          <w:lang w:val="es-MX"/>
        </w:rPr>
        <w:t>289.2 millones, equivalentes a un aumento del 154.4%, se puede observar en el siguiente cuadro que las colocaciones externas de años anteriores no tuvieron movimiento en 2022 y para 2023 se ejecutaron gastos con esta fuente de financiamiento por Q</w:t>
      </w:r>
      <w:r w:rsidR="00D91DA7">
        <w:rPr>
          <w:lang w:val="es-MX"/>
        </w:rPr>
        <w:t>.</w:t>
      </w:r>
      <w:r w:rsidRPr="008B33DA">
        <w:rPr>
          <w:lang w:val="es-MX"/>
        </w:rPr>
        <w:t>129.6 millones.</w:t>
      </w:r>
    </w:p>
    <w:p w14:paraId="1156C11F" w14:textId="77777777" w:rsidR="005F2EE7" w:rsidRPr="008B33DA" w:rsidRDefault="005F2EE7" w:rsidP="005F2EE7">
      <w:pPr>
        <w:jc w:val="both"/>
        <w:rPr>
          <w:sz w:val="32"/>
          <w:lang w:val="es-MX"/>
        </w:rPr>
      </w:pPr>
    </w:p>
    <w:p w14:paraId="483B827A" w14:textId="77777777" w:rsidR="005F2EE7" w:rsidRPr="008B33DA" w:rsidRDefault="005F2EE7" w:rsidP="005F2EE7">
      <w:pPr>
        <w:jc w:val="both"/>
        <w:rPr>
          <w:lang w:val="es-MX"/>
        </w:rPr>
      </w:pPr>
      <w:r w:rsidRPr="008B33DA">
        <w:rPr>
          <w:lang w:val="es-MX"/>
        </w:rPr>
        <w:t>Los gastos financiados con recursos provenientes de donaciones, tuvieron una disminución neta de Q.98.2 millones, al pasar de Q.121.1 millones en 2022 a Q.23.0 millones a junio de 2023, teniendo la mayor participación las donaciones externas.</w:t>
      </w:r>
    </w:p>
    <w:p w14:paraId="2E094F59" w14:textId="77777777" w:rsidR="005F2EE7" w:rsidRDefault="005F2EE7" w:rsidP="005F2EE7">
      <w:pPr>
        <w:jc w:val="both"/>
        <w:rPr>
          <w:lang w:val="es-MX"/>
        </w:rPr>
      </w:pPr>
    </w:p>
    <w:p w14:paraId="3635D8AF" w14:textId="77777777" w:rsidR="005F2EE7" w:rsidRDefault="005F2EE7" w:rsidP="005F2EE7">
      <w:pPr>
        <w:jc w:val="both"/>
        <w:rPr>
          <w:lang w:val="es-MX"/>
        </w:rPr>
      </w:pPr>
    </w:p>
    <w:p w14:paraId="4AC672C3" w14:textId="77777777" w:rsidR="005F2EE7" w:rsidRPr="008B33DA" w:rsidRDefault="005F2EE7" w:rsidP="005F2EE7">
      <w:pPr>
        <w:jc w:val="center"/>
        <w:rPr>
          <w:lang w:val="es-MX"/>
        </w:rPr>
      </w:pPr>
      <w:r w:rsidRPr="008B33DA">
        <w:rPr>
          <w:b/>
          <w:lang w:val="es-MX"/>
        </w:rPr>
        <w:t>Cuadro 7</w:t>
      </w:r>
    </w:p>
    <w:p w14:paraId="3A2D7DBB" w14:textId="77777777" w:rsidR="005F2EE7" w:rsidRPr="008B33DA" w:rsidRDefault="005F2EE7" w:rsidP="005F2EE7">
      <w:pPr>
        <w:jc w:val="center"/>
        <w:rPr>
          <w:b/>
          <w:bCs/>
          <w:lang w:val="es-MX"/>
        </w:rPr>
      </w:pPr>
      <w:r w:rsidRPr="008B33DA">
        <w:rPr>
          <w:b/>
          <w:bCs/>
          <w:lang w:val="es-MX"/>
        </w:rPr>
        <w:t>Diferencias de Ejecución Presupuestaria por Fuente Agrupada de Financiamiento</w:t>
      </w:r>
    </w:p>
    <w:p w14:paraId="7E3D2F12" w14:textId="0EA22BE5" w:rsidR="005F2EE7" w:rsidRPr="008B33DA" w:rsidRDefault="00D91DA7" w:rsidP="005F2EE7">
      <w:pPr>
        <w:jc w:val="center"/>
        <w:rPr>
          <w:b/>
          <w:bCs/>
          <w:lang w:val="es-MX"/>
        </w:rPr>
      </w:pPr>
      <w:r>
        <w:rPr>
          <w:b/>
          <w:bCs/>
          <w:lang w:val="es-MX"/>
        </w:rPr>
        <w:t>Al 30 de j</w:t>
      </w:r>
      <w:r w:rsidR="005F2EE7" w:rsidRPr="008B33DA">
        <w:rPr>
          <w:b/>
          <w:bCs/>
          <w:lang w:val="es-MX"/>
        </w:rPr>
        <w:t>unio de</w:t>
      </w:r>
      <w:r>
        <w:rPr>
          <w:b/>
          <w:bCs/>
          <w:lang w:val="es-MX"/>
        </w:rPr>
        <w:t xml:space="preserve"> 2022 y</w:t>
      </w:r>
      <w:r w:rsidR="005F2EE7" w:rsidRPr="008B33DA">
        <w:rPr>
          <w:b/>
          <w:bCs/>
          <w:lang w:val="es-MX"/>
        </w:rPr>
        <w:t xml:space="preserve"> 2023*</w:t>
      </w:r>
    </w:p>
    <w:p w14:paraId="0C43B1F7" w14:textId="6F77D632" w:rsidR="005F2EE7" w:rsidRPr="008B33DA" w:rsidRDefault="005F2EE7" w:rsidP="005F2EE7">
      <w:pPr>
        <w:jc w:val="center"/>
        <w:rPr>
          <w:sz w:val="18"/>
          <w:lang w:val="es-MX"/>
        </w:rPr>
      </w:pPr>
      <w:r w:rsidRPr="008B33DA">
        <w:rPr>
          <w:b/>
          <w:bCs/>
          <w:lang w:val="es-MX"/>
        </w:rPr>
        <w:t xml:space="preserve">(En Millones de Quetzales y Porcentajes de </w:t>
      </w:r>
      <w:r w:rsidR="005237BC">
        <w:rPr>
          <w:b/>
          <w:bCs/>
          <w:lang w:val="es-MX"/>
        </w:rPr>
        <w:t>V</w:t>
      </w:r>
      <w:r w:rsidRPr="008B33DA">
        <w:rPr>
          <w:b/>
          <w:bCs/>
          <w:lang w:val="es-MX"/>
        </w:rPr>
        <w:t xml:space="preserve">ariación y de </w:t>
      </w:r>
      <w:r w:rsidR="005237BC">
        <w:rPr>
          <w:b/>
          <w:bCs/>
          <w:lang w:val="es-MX"/>
        </w:rPr>
        <w:t>E</w:t>
      </w:r>
      <w:r w:rsidRPr="008B33DA">
        <w:rPr>
          <w:b/>
          <w:bCs/>
          <w:lang w:val="es-MX"/>
        </w:rPr>
        <w:t>structura)</w:t>
      </w:r>
    </w:p>
    <w:tbl>
      <w:tblPr>
        <w:tblW w:w="8921" w:type="dxa"/>
        <w:jc w:val="center"/>
        <w:tblCellMar>
          <w:left w:w="70" w:type="dxa"/>
          <w:right w:w="70" w:type="dxa"/>
        </w:tblCellMar>
        <w:tblLook w:val="04A0" w:firstRow="1" w:lastRow="0" w:firstColumn="1" w:lastColumn="0" w:noHBand="0" w:noVBand="1"/>
      </w:tblPr>
      <w:tblGrid>
        <w:gridCol w:w="3194"/>
        <w:gridCol w:w="1191"/>
        <w:gridCol w:w="1134"/>
        <w:gridCol w:w="1134"/>
        <w:gridCol w:w="1134"/>
        <w:gridCol w:w="1134"/>
      </w:tblGrid>
      <w:tr w:rsidR="005F2EE7" w:rsidRPr="00D91DA7" w14:paraId="6DD1D201" w14:textId="77777777" w:rsidTr="00400B3E">
        <w:trPr>
          <w:trHeight w:val="180"/>
          <w:jc w:val="center"/>
        </w:trPr>
        <w:tc>
          <w:tcPr>
            <w:tcW w:w="3194" w:type="dxa"/>
            <w:vMerge w:val="restart"/>
            <w:tcBorders>
              <w:top w:val="single" w:sz="8" w:space="0" w:color="auto"/>
              <w:left w:val="single" w:sz="8" w:space="0" w:color="auto"/>
              <w:bottom w:val="single" w:sz="4" w:space="0" w:color="000000"/>
              <w:right w:val="single" w:sz="4" w:space="0" w:color="auto"/>
            </w:tcBorders>
            <w:shd w:val="clear" w:color="auto" w:fill="00B0F0"/>
            <w:vAlign w:val="center"/>
            <w:hideMark/>
          </w:tcPr>
          <w:p w14:paraId="1C0EFDEA" w14:textId="32B11BB4"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Fuente</w:t>
            </w:r>
            <w:r w:rsidR="0057487E">
              <w:rPr>
                <w:b/>
                <w:bCs/>
                <w:color w:val="000000"/>
                <w:sz w:val="20"/>
                <w:szCs w:val="22"/>
                <w:lang w:val="es-GT" w:eastAsia="es-GT"/>
              </w:rPr>
              <w:t>s</w:t>
            </w:r>
            <w:r w:rsidRPr="00D91DA7">
              <w:rPr>
                <w:b/>
                <w:bCs/>
                <w:color w:val="000000"/>
                <w:sz w:val="20"/>
                <w:szCs w:val="22"/>
                <w:lang w:val="es-GT" w:eastAsia="es-GT"/>
              </w:rPr>
              <w:t xml:space="preserve"> de Financiamiento</w:t>
            </w:r>
          </w:p>
        </w:tc>
        <w:tc>
          <w:tcPr>
            <w:tcW w:w="1191"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062FC1CB" w14:textId="77777777"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2022</w:t>
            </w:r>
          </w:p>
        </w:tc>
        <w:tc>
          <w:tcPr>
            <w:tcW w:w="1134"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712A3CAB" w14:textId="77777777"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2023</w:t>
            </w:r>
          </w:p>
        </w:tc>
        <w:tc>
          <w:tcPr>
            <w:tcW w:w="2268" w:type="dxa"/>
            <w:gridSpan w:val="2"/>
            <w:tcBorders>
              <w:top w:val="single" w:sz="8" w:space="0" w:color="auto"/>
              <w:left w:val="nil"/>
              <w:bottom w:val="single" w:sz="4" w:space="0" w:color="auto"/>
              <w:right w:val="single" w:sz="8" w:space="0" w:color="000000"/>
            </w:tcBorders>
            <w:shd w:val="clear" w:color="auto" w:fill="00B0F0"/>
            <w:noWrap/>
            <w:vAlign w:val="bottom"/>
            <w:hideMark/>
          </w:tcPr>
          <w:p w14:paraId="7C666799" w14:textId="77777777"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Diferencias</w:t>
            </w:r>
          </w:p>
        </w:tc>
        <w:tc>
          <w:tcPr>
            <w:tcW w:w="1134" w:type="dxa"/>
            <w:vMerge w:val="restart"/>
            <w:tcBorders>
              <w:top w:val="single" w:sz="8" w:space="0" w:color="auto"/>
              <w:left w:val="single" w:sz="8" w:space="0" w:color="auto"/>
              <w:bottom w:val="single" w:sz="4" w:space="0" w:color="000000"/>
              <w:right w:val="single" w:sz="8" w:space="0" w:color="auto"/>
            </w:tcBorders>
            <w:shd w:val="clear" w:color="auto" w:fill="00B0F0"/>
            <w:vAlign w:val="center"/>
            <w:hideMark/>
          </w:tcPr>
          <w:p w14:paraId="7FA165F8" w14:textId="342150B2"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Estructura</w:t>
            </w:r>
          </w:p>
        </w:tc>
      </w:tr>
      <w:tr w:rsidR="005F2EE7" w:rsidRPr="00D91DA7" w14:paraId="58B6DF4F" w14:textId="77777777" w:rsidTr="00400B3E">
        <w:trPr>
          <w:trHeight w:val="180"/>
          <w:jc w:val="center"/>
        </w:trPr>
        <w:tc>
          <w:tcPr>
            <w:tcW w:w="3194" w:type="dxa"/>
            <w:vMerge/>
            <w:tcBorders>
              <w:top w:val="single" w:sz="8" w:space="0" w:color="auto"/>
              <w:left w:val="single" w:sz="8" w:space="0" w:color="auto"/>
              <w:bottom w:val="single" w:sz="4" w:space="0" w:color="000000"/>
              <w:right w:val="single" w:sz="4" w:space="0" w:color="auto"/>
            </w:tcBorders>
            <w:vAlign w:val="center"/>
            <w:hideMark/>
          </w:tcPr>
          <w:p w14:paraId="25725465" w14:textId="77777777" w:rsidR="005F2EE7" w:rsidRPr="00D91DA7" w:rsidRDefault="005F2EE7" w:rsidP="0042480D">
            <w:pPr>
              <w:rPr>
                <w:b/>
                <w:bCs/>
                <w:color w:val="000000"/>
                <w:sz w:val="20"/>
                <w:szCs w:val="22"/>
                <w:lang w:val="es-GT" w:eastAsia="es-GT"/>
              </w:rPr>
            </w:pPr>
          </w:p>
        </w:tc>
        <w:tc>
          <w:tcPr>
            <w:tcW w:w="1191" w:type="dxa"/>
            <w:vMerge/>
            <w:tcBorders>
              <w:top w:val="single" w:sz="8" w:space="0" w:color="auto"/>
              <w:left w:val="single" w:sz="4" w:space="0" w:color="auto"/>
              <w:bottom w:val="single" w:sz="4" w:space="0" w:color="000000"/>
              <w:right w:val="single" w:sz="4" w:space="0" w:color="auto"/>
            </w:tcBorders>
            <w:vAlign w:val="center"/>
            <w:hideMark/>
          </w:tcPr>
          <w:p w14:paraId="2E1C6D0D" w14:textId="77777777" w:rsidR="005F2EE7" w:rsidRPr="00D91DA7" w:rsidRDefault="005F2EE7" w:rsidP="0042480D">
            <w:pPr>
              <w:rPr>
                <w:b/>
                <w:bCs/>
                <w:color w:val="000000"/>
                <w:sz w:val="20"/>
                <w:szCs w:val="22"/>
                <w:lang w:val="es-GT" w:eastAsia="es-GT"/>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139054B5" w14:textId="77777777" w:rsidR="005F2EE7" w:rsidRPr="00D91DA7" w:rsidRDefault="005F2EE7" w:rsidP="0042480D">
            <w:pPr>
              <w:rPr>
                <w:b/>
                <w:bCs/>
                <w:color w:val="000000"/>
                <w:sz w:val="20"/>
                <w:szCs w:val="22"/>
                <w:lang w:val="es-GT" w:eastAsia="es-GT"/>
              </w:rPr>
            </w:pPr>
          </w:p>
        </w:tc>
        <w:tc>
          <w:tcPr>
            <w:tcW w:w="1134" w:type="dxa"/>
            <w:tcBorders>
              <w:top w:val="single" w:sz="4" w:space="0" w:color="auto"/>
              <w:left w:val="nil"/>
              <w:bottom w:val="single" w:sz="4" w:space="0" w:color="auto"/>
              <w:right w:val="single" w:sz="4" w:space="0" w:color="auto"/>
            </w:tcBorders>
            <w:shd w:val="clear" w:color="auto" w:fill="00B0F0"/>
            <w:noWrap/>
            <w:vAlign w:val="bottom"/>
            <w:hideMark/>
          </w:tcPr>
          <w:p w14:paraId="230E5416" w14:textId="4F80A933"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Absoluta</w:t>
            </w:r>
            <w:r w:rsidR="0057487E">
              <w:rPr>
                <w:b/>
                <w:bCs/>
                <w:color w:val="000000"/>
                <w:sz w:val="20"/>
                <w:szCs w:val="22"/>
                <w:lang w:val="es-GT" w:eastAsia="es-GT"/>
              </w:rPr>
              <w:t>s</w:t>
            </w:r>
          </w:p>
        </w:tc>
        <w:tc>
          <w:tcPr>
            <w:tcW w:w="1134" w:type="dxa"/>
            <w:tcBorders>
              <w:top w:val="single" w:sz="4" w:space="0" w:color="auto"/>
              <w:left w:val="single" w:sz="4" w:space="0" w:color="auto"/>
              <w:bottom w:val="single" w:sz="4" w:space="0" w:color="auto"/>
              <w:right w:val="single" w:sz="8" w:space="0" w:color="auto"/>
            </w:tcBorders>
            <w:shd w:val="clear" w:color="auto" w:fill="00B0F0"/>
            <w:noWrap/>
            <w:vAlign w:val="bottom"/>
            <w:hideMark/>
          </w:tcPr>
          <w:p w14:paraId="77BC8989" w14:textId="15E7D715"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Relativa</w:t>
            </w:r>
            <w:r w:rsidR="0057487E">
              <w:rPr>
                <w:b/>
                <w:bCs/>
                <w:color w:val="000000"/>
                <w:sz w:val="20"/>
                <w:szCs w:val="22"/>
                <w:lang w:val="es-GT" w:eastAsia="es-GT"/>
              </w:rPr>
              <w:t>s</w:t>
            </w:r>
          </w:p>
        </w:tc>
        <w:tc>
          <w:tcPr>
            <w:tcW w:w="1134" w:type="dxa"/>
            <w:vMerge/>
            <w:tcBorders>
              <w:top w:val="single" w:sz="8" w:space="0" w:color="auto"/>
              <w:left w:val="single" w:sz="8" w:space="0" w:color="auto"/>
              <w:bottom w:val="single" w:sz="4" w:space="0" w:color="000000"/>
              <w:right w:val="single" w:sz="8" w:space="0" w:color="auto"/>
            </w:tcBorders>
            <w:vAlign w:val="center"/>
            <w:hideMark/>
          </w:tcPr>
          <w:p w14:paraId="16F539CB" w14:textId="77777777" w:rsidR="005F2EE7" w:rsidRPr="00D91DA7" w:rsidRDefault="005F2EE7" w:rsidP="0042480D">
            <w:pPr>
              <w:rPr>
                <w:b/>
                <w:bCs/>
                <w:color w:val="000000"/>
                <w:sz w:val="20"/>
                <w:szCs w:val="22"/>
                <w:lang w:val="es-GT" w:eastAsia="es-GT"/>
              </w:rPr>
            </w:pPr>
          </w:p>
        </w:tc>
      </w:tr>
      <w:tr w:rsidR="005F2EE7" w:rsidRPr="00D91DA7" w14:paraId="35A0DCF1" w14:textId="77777777" w:rsidTr="00D91DA7">
        <w:trPr>
          <w:trHeight w:val="180"/>
          <w:jc w:val="center"/>
        </w:trPr>
        <w:tc>
          <w:tcPr>
            <w:tcW w:w="31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AA1CD3C" w14:textId="77777777" w:rsidR="005F2EE7" w:rsidRPr="00D91DA7" w:rsidRDefault="005F2EE7" w:rsidP="0042480D">
            <w:pPr>
              <w:jc w:val="center"/>
              <w:rPr>
                <w:b/>
                <w:bCs/>
                <w:color w:val="000000"/>
                <w:sz w:val="20"/>
                <w:szCs w:val="22"/>
                <w:lang w:val="es-GT" w:eastAsia="es-GT"/>
              </w:rPr>
            </w:pPr>
            <w:r w:rsidRPr="00D91DA7">
              <w:rPr>
                <w:b/>
                <w:bCs/>
                <w:color w:val="000000"/>
                <w:sz w:val="20"/>
                <w:szCs w:val="22"/>
                <w:lang w:val="es-GT" w:eastAsia="es-GT"/>
              </w:rPr>
              <w:t>Total de la Ejecución</w:t>
            </w:r>
          </w:p>
        </w:tc>
        <w:tc>
          <w:tcPr>
            <w:tcW w:w="1191" w:type="dxa"/>
            <w:tcBorders>
              <w:top w:val="nil"/>
              <w:left w:val="nil"/>
              <w:bottom w:val="single" w:sz="4" w:space="0" w:color="auto"/>
              <w:right w:val="single" w:sz="4" w:space="0" w:color="auto"/>
            </w:tcBorders>
            <w:shd w:val="clear" w:color="000000" w:fill="FFFFFF"/>
            <w:noWrap/>
            <w:vAlign w:val="bottom"/>
            <w:hideMark/>
          </w:tcPr>
          <w:p w14:paraId="2C4B7A73"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47,518.8 </w:t>
            </w:r>
          </w:p>
        </w:tc>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14:paraId="66A546CC"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54,863.3 </w:t>
            </w:r>
          </w:p>
        </w:tc>
        <w:tc>
          <w:tcPr>
            <w:tcW w:w="1134" w:type="dxa"/>
            <w:tcBorders>
              <w:top w:val="nil"/>
              <w:left w:val="nil"/>
              <w:bottom w:val="single" w:sz="4" w:space="0" w:color="auto"/>
              <w:right w:val="single" w:sz="4" w:space="0" w:color="auto"/>
            </w:tcBorders>
            <w:shd w:val="clear" w:color="000000" w:fill="FFFFFF"/>
            <w:noWrap/>
            <w:vAlign w:val="bottom"/>
            <w:hideMark/>
          </w:tcPr>
          <w:p w14:paraId="6D99E2B6"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7,344.5 </w:t>
            </w:r>
          </w:p>
        </w:tc>
        <w:tc>
          <w:tcPr>
            <w:tcW w:w="1134" w:type="dxa"/>
            <w:tcBorders>
              <w:top w:val="nil"/>
              <w:left w:val="single" w:sz="4" w:space="0" w:color="auto"/>
              <w:bottom w:val="single" w:sz="4" w:space="0" w:color="auto"/>
              <w:right w:val="single" w:sz="8" w:space="0" w:color="auto"/>
            </w:tcBorders>
            <w:shd w:val="clear" w:color="000000" w:fill="FFFFFF"/>
            <w:noWrap/>
            <w:vAlign w:val="bottom"/>
            <w:hideMark/>
          </w:tcPr>
          <w:p w14:paraId="439B61D1"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15.5%</w:t>
            </w:r>
          </w:p>
        </w:tc>
        <w:tc>
          <w:tcPr>
            <w:tcW w:w="1134" w:type="dxa"/>
            <w:tcBorders>
              <w:top w:val="nil"/>
              <w:left w:val="single" w:sz="8" w:space="0" w:color="auto"/>
              <w:bottom w:val="nil"/>
              <w:right w:val="single" w:sz="8" w:space="0" w:color="auto"/>
            </w:tcBorders>
            <w:shd w:val="clear" w:color="000000" w:fill="FFFFFF"/>
            <w:noWrap/>
            <w:vAlign w:val="bottom"/>
            <w:hideMark/>
          </w:tcPr>
          <w:p w14:paraId="3B0478F3"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100.0%</w:t>
            </w:r>
          </w:p>
        </w:tc>
      </w:tr>
      <w:tr w:rsidR="005F2EE7" w:rsidRPr="00D91DA7" w14:paraId="7ABBEC05" w14:textId="77777777" w:rsidTr="00D91DA7">
        <w:trPr>
          <w:trHeight w:val="180"/>
          <w:jc w:val="center"/>
        </w:trPr>
        <w:tc>
          <w:tcPr>
            <w:tcW w:w="3194" w:type="dxa"/>
            <w:tcBorders>
              <w:top w:val="nil"/>
              <w:left w:val="single" w:sz="8" w:space="0" w:color="auto"/>
              <w:bottom w:val="nil"/>
              <w:right w:val="single" w:sz="4" w:space="0" w:color="auto"/>
            </w:tcBorders>
            <w:shd w:val="clear" w:color="auto" w:fill="auto"/>
            <w:noWrap/>
            <w:vAlign w:val="bottom"/>
            <w:hideMark/>
          </w:tcPr>
          <w:p w14:paraId="7748DB25" w14:textId="21297292" w:rsidR="005F2EE7" w:rsidRPr="00D91DA7" w:rsidRDefault="005F2EE7" w:rsidP="0042480D">
            <w:pPr>
              <w:rPr>
                <w:b/>
                <w:bCs/>
                <w:color w:val="000000"/>
                <w:sz w:val="20"/>
                <w:szCs w:val="22"/>
                <w:lang w:val="es-GT" w:eastAsia="es-GT"/>
              </w:rPr>
            </w:pPr>
            <w:r w:rsidRPr="00D91DA7">
              <w:rPr>
                <w:b/>
                <w:bCs/>
                <w:color w:val="000000"/>
                <w:sz w:val="20"/>
                <w:szCs w:val="22"/>
                <w:lang w:val="es-GT" w:eastAsia="es-GT"/>
              </w:rPr>
              <w:t xml:space="preserve">Total </w:t>
            </w:r>
            <w:r w:rsidR="00F65AF6">
              <w:rPr>
                <w:b/>
                <w:bCs/>
                <w:color w:val="000000"/>
                <w:sz w:val="20"/>
                <w:szCs w:val="22"/>
                <w:lang w:val="es-GT" w:eastAsia="es-GT"/>
              </w:rPr>
              <w:t>F</w:t>
            </w:r>
            <w:r w:rsidRPr="00D91DA7">
              <w:rPr>
                <w:b/>
                <w:bCs/>
                <w:color w:val="000000"/>
                <w:sz w:val="20"/>
                <w:szCs w:val="22"/>
                <w:lang w:val="es-GT" w:eastAsia="es-GT"/>
              </w:rPr>
              <w:t xml:space="preserve">uentes </w:t>
            </w:r>
            <w:r w:rsidR="00F65AF6">
              <w:rPr>
                <w:b/>
                <w:bCs/>
                <w:color w:val="000000"/>
                <w:sz w:val="20"/>
                <w:szCs w:val="22"/>
                <w:lang w:val="es-GT" w:eastAsia="es-GT"/>
              </w:rPr>
              <w:t>I</w:t>
            </w:r>
            <w:r w:rsidRPr="00D91DA7">
              <w:rPr>
                <w:b/>
                <w:bCs/>
                <w:color w:val="000000"/>
                <w:sz w:val="20"/>
                <w:szCs w:val="22"/>
                <w:lang w:val="es-GT" w:eastAsia="es-GT"/>
              </w:rPr>
              <w:t>nternas</w:t>
            </w:r>
          </w:p>
        </w:tc>
        <w:tc>
          <w:tcPr>
            <w:tcW w:w="1191" w:type="dxa"/>
            <w:tcBorders>
              <w:top w:val="nil"/>
              <w:left w:val="single" w:sz="4" w:space="0" w:color="auto"/>
              <w:bottom w:val="nil"/>
              <w:right w:val="single" w:sz="4" w:space="0" w:color="auto"/>
            </w:tcBorders>
            <w:shd w:val="clear" w:color="000000" w:fill="FFFFFF"/>
            <w:noWrap/>
            <w:vAlign w:val="bottom"/>
            <w:hideMark/>
          </w:tcPr>
          <w:p w14:paraId="410C133A"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42,600.4 </w:t>
            </w:r>
          </w:p>
        </w:tc>
        <w:tc>
          <w:tcPr>
            <w:tcW w:w="1134" w:type="dxa"/>
            <w:tcBorders>
              <w:top w:val="nil"/>
              <w:left w:val="single" w:sz="4" w:space="0" w:color="auto"/>
              <w:bottom w:val="nil"/>
              <w:right w:val="single" w:sz="4" w:space="0" w:color="auto"/>
            </w:tcBorders>
            <w:shd w:val="clear" w:color="000000" w:fill="FFFFFF"/>
            <w:noWrap/>
            <w:vAlign w:val="bottom"/>
            <w:hideMark/>
          </w:tcPr>
          <w:p w14:paraId="074A6A6C"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52,654.0 </w:t>
            </w:r>
          </w:p>
        </w:tc>
        <w:tc>
          <w:tcPr>
            <w:tcW w:w="1134" w:type="dxa"/>
            <w:tcBorders>
              <w:top w:val="nil"/>
              <w:left w:val="nil"/>
              <w:bottom w:val="nil"/>
              <w:right w:val="single" w:sz="4" w:space="0" w:color="auto"/>
            </w:tcBorders>
            <w:shd w:val="clear" w:color="000000" w:fill="FFFFFF"/>
            <w:noWrap/>
            <w:vAlign w:val="bottom"/>
            <w:hideMark/>
          </w:tcPr>
          <w:p w14:paraId="4CE15640"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10,053.6 </w:t>
            </w:r>
          </w:p>
        </w:tc>
        <w:tc>
          <w:tcPr>
            <w:tcW w:w="1134" w:type="dxa"/>
            <w:tcBorders>
              <w:top w:val="nil"/>
              <w:left w:val="single" w:sz="4" w:space="0" w:color="auto"/>
              <w:bottom w:val="nil"/>
              <w:right w:val="single" w:sz="8" w:space="0" w:color="auto"/>
            </w:tcBorders>
            <w:shd w:val="clear" w:color="000000" w:fill="FFFFFF"/>
            <w:noWrap/>
            <w:vAlign w:val="bottom"/>
            <w:hideMark/>
          </w:tcPr>
          <w:p w14:paraId="7BB6A4BF"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23.6%</w:t>
            </w:r>
          </w:p>
        </w:tc>
        <w:tc>
          <w:tcPr>
            <w:tcW w:w="1134" w:type="dxa"/>
            <w:tcBorders>
              <w:top w:val="single" w:sz="4" w:space="0" w:color="auto"/>
              <w:left w:val="single" w:sz="8" w:space="0" w:color="auto"/>
              <w:bottom w:val="nil"/>
              <w:right w:val="single" w:sz="8" w:space="0" w:color="auto"/>
            </w:tcBorders>
            <w:shd w:val="clear" w:color="000000" w:fill="FFFFFF"/>
            <w:noWrap/>
            <w:vAlign w:val="bottom"/>
            <w:hideMark/>
          </w:tcPr>
          <w:p w14:paraId="28DB28E0"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96.0%</w:t>
            </w:r>
          </w:p>
        </w:tc>
      </w:tr>
      <w:tr w:rsidR="005F2EE7" w:rsidRPr="00D91DA7" w14:paraId="40D4C71D"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165A6312"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Ingresos Corrientes</w:t>
            </w:r>
          </w:p>
        </w:tc>
        <w:tc>
          <w:tcPr>
            <w:tcW w:w="1191" w:type="dxa"/>
            <w:tcBorders>
              <w:top w:val="nil"/>
              <w:left w:val="single" w:sz="4" w:space="0" w:color="auto"/>
              <w:bottom w:val="nil"/>
              <w:right w:val="single" w:sz="4" w:space="0" w:color="auto"/>
            </w:tcBorders>
            <w:shd w:val="clear" w:color="000000" w:fill="FFFFFF"/>
            <w:noWrap/>
            <w:vAlign w:val="bottom"/>
            <w:hideMark/>
          </w:tcPr>
          <w:p w14:paraId="249768B5"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26,128.0 </w:t>
            </w:r>
          </w:p>
        </w:tc>
        <w:tc>
          <w:tcPr>
            <w:tcW w:w="1134" w:type="dxa"/>
            <w:tcBorders>
              <w:top w:val="nil"/>
              <w:left w:val="single" w:sz="4" w:space="0" w:color="auto"/>
              <w:bottom w:val="nil"/>
              <w:right w:val="single" w:sz="4" w:space="0" w:color="auto"/>
            </w:tcBorders>
            <w:shd w:val="clear" w:color="000000" w:fill="FFFFFF"/>
            <w:noWrap/>
            <w:vAlign w:val="bottom"/>
            <w:hideMark/>
          </w:tcPr>
          <w:p w14:paraId="5F989FF3"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30,033.7 </w:t>
            </w:r>
          </w:p>
        </w:tc>
        <w:tc>
          <w:tcPr>
            <w:tcW w:w="1134" w:type="dxa"/>
            <w:tcBorders>
              <w:top w:val="nil"/>
              <w:left w:val="nil"/>
              <w:bottom w:val="nil"/>
              <w:right w:val="single" w:sz="4" w:space="0" w:color="auto"/>
            </w:tcBorders>
            <w:shd w:val="clear" w:color="000000" w:fill="FFFFFF"/>
            <w:noWrap/>
            <w:vAlign w:val="bottom"/>
            <w:hideMark/>
          </w:tcPr>
          <w:p w14:paraId="7D3D0FF4"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3,905.7 </w:t>
            </w:r>
          </w:p>
        </w:tc>
        <w:tc>
          <w:tcPr>
            <w:tcW w:w="1134" w:type="dxa"/>
            <w:tcBorders>
              <w:top w:val="nil"/>
              <w:left w:val="single" w:sz="4" w:space="0" w:color="auto"/>
              <w:bottom w:val="nil"/>
              <w:right w:val="single" w:sz="8" w:space="0" w:color="auto"/>
            </w:tcBorders>
            <w:shd w:val="clear" w:color="000000" w:fill="FFFFFF"/>
            <w:noWrap/>
            <w:vAlign w:val="bottom"/>
            <w:hideMark/>
          </w:tcPr>
          <w:p w14:paraId="2A9A0C50"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14.9%</w:t>
            </w:r>
          </w:p>
        </w:tc>
        <w:tc>
          <w:tcPr>
            <w:tcW w:w="1134" w:type="dxa"/>
            <w:tcBorders>
              <w:top w:val="nil"/>
              <w:left w:val="nil"/>
              <w:bottom w:val="nil"/>
              <w:right w:val="single" w:sz="8" w:space="0" w:color="auto"/>
            </w:tcBorders>
            <w:shd w:val="clear" w:color="000000" w:fill="FFFFFF"/>
            <w:noWrap/>
            <w:vAlign w:val="bottom"/>
            <w:hideMark/>
          </w:tcPr>
          <w:p w14:paraId="72D71886"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57.0%</w:t>
            </w:r>
          </w:p>
        </w:tc>
      </w:tr>
      <w:tr w:rsidR="005F2EE7" w:rsidRPr="00D91DA7" w14:paraId="5F5D8760"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3DE775E2" w14:textId="68FE9BF8" w:rsidR="005F2EE7" w:rsidRPr="00D91DA7" w:rsidRDefault="00D91DA7" w:rsidP="0042480D">
            <w:pPr>
              <w:ind w:firstLineChars="200" w:firstLine="400"/>
              <w:rPr>
                <w:color w:val="000000"/>
                <w:sz w:val="20"/>
                <w:szCs w:val="22"/>
                <w:lang w:val="es-GT" w:eastAsia="es-GT"/>
              </w:rPr>
            </w:pPr>
            <w:r>
              <w:rPr>
                <w:color w:val="000000"/>
                <w:sz w:val="20"/>
                <w:szCs w:val="22"/>
                <w:lang w:val="es-GT" w:eastAsia="es-GT"/>
              </w:rPr>
              <w:t>Saldo</w:t>
            </w:r>
            <w:r w:rsidR="005F2EE7" w:rsidRPr="00D91DA7">
              <w:rPr>
                <w:color w:val="000000"/>
                <w:sz w:val="20"/>
                <w:szCs w:val="22"/>
                <w:lang w:val="es-GT" w:eastAsia="es-GT"/>
              </w:rPr>
              <w:t xml:space="preserve"> </w:t>
            </w:r>
            <w:r w:rsidR="00F65AF6">
              <w:rPr>
                <w:color w:val="000000"/>
                <w:sz w:val="20"/>
                <w:szCs w:val="22"/>
                <w:lang w:val="es-GT" w:eastAsia="es-GT"/>
              </w:rPr>
              <w:t xml:space="preserve">de </w:t>
            </w:r>
            <w:r w:rsidR="005F2EE7" w:rsidRPr="00D91DA7">
              <w:rPr>
                <w:color w:val="000000"/>
                <w:sz w:val="20"/>
                <w:szCs w:val="22"/>
                <w:lang w:val="es-GT" w:eastAsia="es-GT"/>
              </w:rPr>
              <w:t>Recursos del Tesoro</w:t>
            </w:r>
          </w:p>
        </w:tc>
        <w:tc>
          <w:tcPr>
            <w:tcW w:w="1191" w:type="dxa"/>
            <w:tcBorders>
              <w:top w:val="nil"/>
              <w:left w:val="single" w:sz="4" w:space="0" w:color="auto"/>
              <w:bottom w:val="nil"/>
              <w:right w:val="single" w:sz="4" w:space="0" w:color="auto"/>
            </w:tcBorders>
            <w:shd w:val="clear" w:color="000000" w:fill="FFFFFF"/>
            <w:noWrap/>
            <w:vAlign w:val="bottom"/>
            <w:hideMark/>
          </w:tcPr>
          <w:p w14:paraId="73A22A7A"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5,179.5 </w:t>
            </w:r>
          </w:p>
        </w:tc>
        <w:tc>
          <w:tcPr>
            <w:tcW w:w="1134" w:type="dxa"/>
            <w:tcBorders>
              <w:top w:val="nil"/>
              <w:left w:val="single" w:sz="4" w:space="0" w:color="auto"/>
              <w:bottom w:val="nil"/>
              <w:right w:val="single" w:sz="4" w:space="0" w:color="auto"/>
            </w:tcBorders>
            <w:shd w:val="clear" w:color="000000" w:fill="FFFFFF"/>
            <w:noWrap/>
            <w:vAlign w:val="bottom"/>
            <w:hideMark/>
          </w:tcPr>
          <w:p w14:paraId="2F44802F"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7,966.2 </w:t>
            </w:r>
          </w:p>
        </w:tc>
        <w:tc>
          <w:tcPr>
            <w:tcW w:w="1134" w:type="dxa"/>
            <w:tcBorders>
              <w:top w:val="nil"/>
              <w:left w:val="nil"/>
              <w:bottom w:val="nil"/>
              <w:right w:val="single" w:sz="4" w:space="0" w:color="auto"/>
            </w:tcBorders>
            <w:shd w:val="clear" w:color="000000" w:fill="FFFFFF"/>
            <w:noWrap/>
            <w:vAlign w:val="bottom"/>
            <w:hideMark/>
          </w:tcPr>
          <w:p w14:paraId="71F65A45"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2,786.6 </w:t>
            </w:r>
          </w:p>
        </w:tc>
        <w:tc>
          <w:tcPr>
            <w:tcW w:w="1134" w:type="dxa"/>
            <w:tcBorders>
              <w:top w:val="nil"/>
              <w:left w:val="single" w:sz="4" w:space="0" w:color="auto"/>
              <w:bottom w:val="nil"/>
              <w:right w:val="single" w:sz="8" w:space="0" w:color="auto"/>
            </w:tcBorders>
            <w:shd w:val="clear" w:color="000000" w:fill="FFFFFF"/>
            <w:noWrap/>
            <w:vAlign w:val="bottom"/>
            <w:hideMark/>
          </w:tcPr>
          <w:p w14:paraId="12F2090C"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53.8%</w:t>
            </w:r>
          </w:p>
        </w:tc>
        <w:tc>
          <w:tcPr>
            <w:tcW w:w="1134" w:type="dxa"/>
            <w:tcBorders>
              <w:top w:val="nil"/>
              <w:left w:val="nil"/>
              <w:bottom w:val="nil"/>
              <w:right w:val="single" w:sz="8" w:space="0" w:color="auto"/>
            </w:tcBorders>
            <w:shd w:val="clear" w:color="000000" w:fill="FFFFFF"/>
            <w:noWrap/>
            <w:vAlign w:val="bottom"/>
            <w:hideMark/>
          </w:tcPr>
          <w:p w14:paraId="6A51CE20"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15.1%</w:t>
            </w:r>
          </w:p>
        </w:tc>
      </w:tr>
      <w:tr w:rsidR="005F2EE7" w:rsidRPr="00D91DA7" w14:paraId="6EF16DF0"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221F6157"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Otros Recursos del Tesoro</w:t>
            </w:r>
          </w:p>
        </w:tc>
        <w:tc>
          <w:tcPr>
            <w:tcW w:w="1191" w:type="dxa"/>
            <w:tcBorders>
              <w:top w:val="nil"/>
              <w:left w:val="single" w:sz="4" w:space="0" w:color="auto"/>
              <w:bottom w:val="nil"/>
              <w:right w:val="single" w:sz="4" w:space="0" w:color="auto"/>
            </w:tcBorders>
            <w:shd w:val="clear" w:color="000000" w:fill="FFFFFF"/>
            <w:noWrap/>
            <w:vAlign w:val="bottom"/>
            <w:hideMark/>
          </w:tcPr>
          <w:p w14:paraId="28E61CED"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0.0 </w:t>
            </w:r>
          </w:p>
        </w:tc>
        <w:tc>
          <w:tcPr>
            <w:tcW w:w="1134" w:type="dxa"/>
            <w:tcBorders>
              <w:top w:val="nil"/>
              <w:left w:val="single" w:sz="4" w:space="0" w:color="auto"/>
              <w:bottom w:val="nil"/>
              <w:right w:val="single" w:sz="4" w:space="0" w:color="auto"/>
            </w:tcBorders>
            <w:shd w:val="clear" w:color="000000" w:fill="FFFFFF"/>
            <w:noWrap/>
            <w:vAlign w:val="bottom"/>
            <w:hideMark/>
          </w:tcPr>
          <w:p w14:paraId="1EF06D2B"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335.6 </w:t>
            </w:r>
          </w:p>
        </w:tc>
        <w:tc>
          <w:tcPr>
            <w:tcW w:w="1134" w:type="dxa"/>
            <w:tcBorders>
              <w:top w:val="nil"/>
              <w:left w:val="nil"/>
              <w:bottom w:val="nil"/>
              <w:right w:val="single" w:sz="4" w:space="0" w:color="auto"/>
            </w:tcBorders>
            <w:shd w:val="clear" w:color="000000" w:fill="FFFFFF"/>
            <w:noWrap/>
            <w:vAlign w:val="bottom"/>
            <w:hideMark/>
          </w:tcPr>
          <w:p w14:paraId="0898BF86"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335.6 </w:t>
            </w:r>
          </w:p>
        </w:tc>
        <w:tc>
          <w:tcPr>
            <w:tcW w:w="1134" w:type="dxa"/>
            <w:tcBorders>
              <w:top w:val="nil"/>
              <w:left w:val="single" w:sz="4" w:space="0" w:color="auto"/>
              <w:bottom w:val="nil"/>
              <w:right w:val="single" w:sz="8" w:space="0" w:color="auto"/>
            </w:tcBorders>
            <w:shd w:val="clear" w:color="000000" w:fill="FFFFFF"/>
            <w:noWrap/>
            <w:vAlign w:val="bottom"/>
            <w:hideMark/>
          </w:tcPr>
          <w:p w14:paraId="66F8344B" w14:textId="77777777" w:rsidR="005F2EE7" w:rsidRPr="00D91DA7" w:rsidRDefault="005F2EE7" w:rsidP="0042480D">
            <w:pPr>
              <w:rPr>
                <w:color w:val="000000"/>
                <w:sz w:val="20"/>
                <w:szCs w:val="22"/>
                <w:lang w:val="es-GT" w:eastAsia="es-GT"/>
              </w:rPr>
            </w:pPr>
            <w:r w:rsidRPr="00D91DA7">
              <w:rPr>
                <w:color w:val="000000"/>
                <w:sz w:val="20"/>
                <w:szCs w:val="22"/>
                <w:lang w:val="es-GT" w:eastAsia="es-GT"/>
              </w:rPr>
              <w:t> </w:t>
            </w:r>
          </w:p>
        </w:tc>
        <w:tc>
          <w:tcPr>
            <w:tcW w:w="1134" w:type="dxa"/>
            <w:tcBorders>
              <w:top w:val="nil"/>
              <w:left w:val="nil"/>
              <w:bottom w:val="nil"/>
              <w:right w:val="single" w:sz="8" w:space="0" w:color="auto"/>
            </w:tcBorders>
            <w:shd w:val="clear" w:color="000000" w:fill="FFFFFF"/>
            <w:noWrap/>
            <w:vAlign w:val="bottom"/>
            <w:hideMark/>
          </w:tcPr>
          <w:p w14:paraId="5AFB1F6D"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0.6%</w:t>
            </w:r>
          </w:p>
        </w:tc>
      </w:tr>
      <w:tr w:rsidR="005F2EE7" w:rsidRPr="00D91DA7" w14:paraId="3F13DCDF"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1653E052" w14:textId="484E5E9A" w:rsidR="005F2EE7" w:rsidRPr="00D91DA7" w:rsidRDefault="00D91DA7" w:rsidP="0042480D">
            <w:pPr>
              <w:ind w:firstLineChars="200" w:firstLine="400"/>
              <w:rPr>
                <w:color w:val="000000"/>
                <w:sz w:val="20"/>
                <w:szCs w:val="22"/>
                <w:lang w:val="es-GT" w:eastAsia="es-GT"/>
              </w:rPr>
            </w:pPr>
            <w:r>
              <w:rPr>
                <w:color w:val="000000"/>
                <w:sz w:val="20"/>
                <w:szCs w:val="22"/>
                <w:lang w:val="es-GT" w:eastAsia="es-GT"/>
              </w:rPr>
              <w:t>Saldo</w:t>
            </w:r>
            <w:r w:rsidR="005F2EE7" w:rsidRPr="00D91DA7">
              <w:rPr>
                <w:color w:val="000000"/>
                <w:sz w:val="20"/>
                <w:szCs w:val="22"/>
                <w:lang w:val="es-GT" w:eastAsia="es-GT"/>
              </w:rPr>
              <w:t xml:space="preserve"> </w:t>
            </w:r>
            <w:r w:rsidR="00F65AF6">
              <w:rPr>
                <w:color w:val="000000"/>
                <w:sz w:val="20"/>
                <w:szCs w:val="22"/>
                <w:lang w:val="es-GT" w:eastAsia="es-GT"/>
              </w:rPr>
              <w:t xml:space="preserve">de </w:t>
            </w:r>
            <w:r w:rsidR="005F2EE7" w:rsidRPr="00D91DA7">
              <w:rPr>
                <w:color w:val="000000"/>
                <w:sz w:val="20"/>
                <w:szCs w:val="22"/>
                <w:lang w:val="es-GT" w:eastAsia="es-GT"/>
              </w:rPr>
              <w:t>Extinción de Dominio</w:t>
            </w:r>
          </w:p>
        </w:tc>
        <w:tc>
          <w:tcPr>
            <w:tcW w:w="1191" w:type="dxa"/>
            <w:tcBorders>
              <w:top w:val="nil"/>
              <w:left w:val="single" w:sz="4" w:space="0" w:color="auto"/>
              <w:bottom w:val="nil"/>
              <w:right w:val="single" w:sz="4" w:space="0" w:color="auto"/>
            </w:tcBorders>
            <w:shd w:val="clear" w:color="000000" w:fill="FFFFFF"/>
            <w:noWrap/>
            <w:vAlign w:val="bottom"/>
            <w:hideMark/>
          </w:tcPr>
          <w:p w14:paraId="2AD15FBD"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6.6 </w:t>
            </w:r>
          </w:p>
        </w:tc>
        <w:tc>
          <w:tcPr>
            <w:tcW w:w="1134" w:type="dxa"/>
            <w:tcBorders>
              <w:top w:val="nil"/>
              <w:left w:val="single" w:sz="4" w:space="0" w:color="auto"/>
              <w:bottom w:val="nil"/>
              <w:right w:val="single" w:sz="4" w:space="0" w:color="auto"/>
            </w:tcBorders>
            <w:shd w:val="clear" w:color="000000" w:fill="FFFFFF"/>
            <w:noWrap/>
            <w:vAlign w:val="bottom"/>
            <w:hideMark/>
          </w:tcPr>
          <w:p w14:paraId="3D52A71C"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8.8 </w:t>
            </w:r>
          </w:p>
        </w:tc>
        <w:tc>
          <w:tcPr>
            <w:tcW w:w="1134" w:type="dxa"/>
            <w:tcBorders>
              <w:top w:val="nil"/>
              <w:left w:val="nil"/>
              <w:bottom w:val="nil"/>
              <w:right w:val="single" w:sz="4" w:space="0" w:color="auto"/>
            </w:tcBorders>
            <w:shd w:val="clear" w:color="000000" w:fill="FFFFFF"/>
            <w:noWrap/>
            <w:vAlign w:val="bottom"/>
            <w:hideMark/>
          </w:tcPr>
          <w:p w14:paraId="26E1A1A8"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2.2 </w:t>
            </w:r>
          </w:p>
        </w:tc>
        <w:tc>
          <w:tcPr>
            <w:tcW w:w="1134" w:type="dxa"/>
            <w:tcBorders>
              <w:top w:val="nil"/>
              <w:left w:val="single" w:sz="4" w:space="0" w:color="auto"/>
              <w:bottom w:val="nil"/>
              <w:right w:val="single" w:sz="8" w:space="0" w:color="auto"/>
            </w:tcBorders>
            <w:shd w:val="clear" w:color="000000" w:fill="FFFFFF"/>
            <w:noWrap/>
            <w:vAlign w:val="bottom"/>
            <w:hideMark/>
          </w:tcPr>
          <w:p w14:paraId="3903849F" w14:textId="77777777" w:rsidR="005F2EE7" w:rsidRPr="00D91DA7" w:rsidRDefault="005F2EE7" w:rsidP="0042480D">
            <w:pPr>
              <w:jc w:val="right"/>
              <w:rPr>
                <w:sz w:val="20"/>
                <w:szCs w:val="22"/>
                <w:lang w:val="es-GT" w:eastAsia="es-GT"/>
              </w:rPr>
            </w:pPr>
            <w:r w:rsidRPr="00D91DA7">
              <w:rPr>
                <w:sz w:val="20"/>
                <w:szCs w:val="22"/>
                <w:lang w:val="es-GT" w:eastAsia="es-GT"/>
              </w:rPr>
              <w:t>33.9%</w:t>
            </w:r>
          </w:p>
        </w:tc>
        <w:tc>
          <w:tcPr>
            <w:tcW w:w="1134" w:type="dxa"/>
            <w:tcBorders>
              <w:top w:val="nil"/>
              <w:left w:val="nil"/>
              <w:bottom w:val="nil"/>
              <w:right w:val="single" w:sz="8" w:space="0" w:color="auto"/>
            </w:tcBorders>
            <w:shd w:val="clear" w:color="000000" w:fill="FFFFFF"/>
            <w:noWrap/>
            <w:vAlign w:val="bottom"/>
            <w:hideMark/>
          </w:tcPr>
          <w:p w14:paraId="57039264"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0.0%</w:t>
            </w:r>
          </w:p>
        </w:tc>
      </w:tr>
      <w:tr w:rsidR="005F2EE7" w:rsidRPr="00D91DA7" w14:paraId="412DF4B0"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780D28FB"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Canje de Deuda</w:t>
            </w:r>
          </w:p>
        </w:tc>
        <w:tc>
          <w:tcPr>
            <w:tcW w:w="1191" w:type="dxa"/>
            <w:tcBorders>
              <w:top w:val="nil"/>
              <w:left w:val="single" w:sz="4" w:space="0" w:color="auto"/>
              <w:bottom w:val="nil"/>
              <w:right w:val="single" w:sz="4" w:space="0" w:color="auto"/>
            </w:tcBorders>
            <w:shd w:val="clear" w:color="000000" w:fill="FFFFFF"/>
            <w:noWrap/>
            <w:vAlign w:val="bottom"/>
            <w:hideMark/>
          </w:tcPr>
          <w:p w14:paraId="2BEA1A73"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4.7 </w:t>
            </w:r>
          </w:p>
        </w:tc>
        <w:tc>
          <w:tcPr>
            <w:tcW w:w="1134" w:type="dxa"/>
            <w:tcBorders>
              <w:top w:val="nil"/>
              <w:left w:val="single" w:sz="4" w:space="0" w:color="auto"/>
              <w:bottom w:val="nil"/>
              <w:right w:val="single" w:sz="4" w:space="0" w:color="auto"/>
            </w:tcBorders>
            <w:shd w:val="clear" w:color="000000" w:fill="FFFFFF"/>
            <w:noWrap/>
            <w:vAlign w:val="bottom"/>
            <w:hideMark/>
          </w:tcPr>
          <w:p w14:paraId="4F056B98"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5.0 </w:t>
            </w:r>
          </w:p>
        </w:tc>
        <w:tc>
          <w:tcPr>
            <w:tcW w:w="1134" w:type="dxa"/>
            <w:tcBorders>
              <w:top w:val="nil"/>
              <w:left w:val="nil"/>
              <w:bottom w:val="nil"/>
              <w:right w:val="single" w:sz="4" w:space="0" w:color="auto"/>
            </w:tcBorders>
            <w:shd w:val="clear" w:color="000000" w:fill="FFFFFF"/>
            <w:noWrap/>
            <w:vAlign w:val="bottom"/>
            <w:hideMark/>
          </w:tcPr>
          <w:p w14:paraId="1DFD7A71"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0.2 </w:t>
            </w:r>
          </w:p>
        </w:tc>
        <w:tc>
          <w:tcPr>
            <w:tcW w:w="1134" w:type="dxa"/>
            <w:tcBorders>
              <w:top w:val="nil"/>
              <w:left w:val="single" w:sz="4" w:space="0" w:color="auto"/>
              <w:bottom w:val="nil"/>
              <w:right w:val="single" w:sz="8" w:space="0" w:color="auto"/>
            </w:tcBorders>
            <w:shd w:val="clear" w:color="000000" w:fill="FFFFFF"/>
            <w:noWrap/>
            <w:vAlign w:val="bottom"/>
            <w:hideMark/>
          </w:tcPr>
          <w:p w14:paraId="204EFAD3"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5.0%</w:t>
            </w:r>
          </w:p>
        </w:tc>
        <w:tc>
          <w:tcPr>
            <w:tcW w:w="1134" w:type="dxa"/>
            <w:tcBorders>
              <w:top w:val="nil"/>
              <w:left w:val="nil"/>
              <w:bottom w:val="nil"/>
              <w:right w:val="single" w:sz="8" w:space="0" w:color="auto"/>
            </w:tcBorders>
            <w:shd w:val="clear" w:color="000000" w:fill="FFFFFF"/>
            <w:noWrap/>
            <w:vAlign w:val="bottom"/>
            <w:hideMark/>
          </w:tcPr>
          <w:p w14:paraId="10F925DB"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0.0%</w:t>
            </w:r>
          </w:p>
        </w:tc>
      </w:tr>
      <w:tr w:rsidR="005F2EE7" w:rsidRPr="00D91DA7" w14:paraId="04E9E4B3"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1B10CB46" w14:textId="22B6A57A"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Ingresos</w:t>
            </w:r>
            <w:r w:rsidR="00F65AF6">
              <w:rPr>
                <w:color w:val="000000"/>
                <w:sz w:val="20"/>
                <w:szCs w:val="22"/>
                <w:lang w:val="es-GT" w:eastAsia="es-GT"/>
              </w:rPr>
              <w:t xml:space="preserve"> Tributarios</w:t>
            </w:r>
            <w:r w:rsidRPr="00D91DA7">
              <w:rPr>
                <w:color w:val="000000"/>
                <w:sz w:val="20"/>
                <w:szCs w:val="22"/>
                <w:lang w:val="es-GT" w:eastAsia="es-GT"/>
              </w:rPr>
              <w:t xml:space="preserve"> IVA-Paz</w:t>
            </w:r>
          </w:p>
        </w:tc>
        <w:tc>
          <w:tcPr>
            <w:tcW w:w="1191" w:type="dxa"/>
            <w:tcBorders>
              <w:top w:val="nil"/>
              <w:left w:val="single" w:sz="4" w:space="0" w:color="auto"/>
              <w:bottom w:val="nil"/>
              <w:right w:val="single" w:sz="4" w:space="0" w:color="auto"/>
            </w:tcBorders>
            <w:shd w:val="clear" w:color="000000" w:fill="FFFFFF"/>
            <w:noWrap/>
            <w:vAlign w:val="bottom"/>
            <w:hideMark/>
          </w:tcPr>
          <w:p w14:paraId="6E52ECE8"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6,030.5 </w:t>
            </w:r>
          </w:p>
        </w:tc>
        <w:tc>
          <w:tcPr>
            <w:tcW w:w="1134" w:type="dxa"/>
            <w:tcBorders>
              <w:top w:val="nil"/>
              <w:left w:val="single" w:sz="4" w:space="0" w:color="auto"/>
              <w:bottom w:val="nil"/>
              <w:right w:val="single" w:sz="4" w:space="0" w:color="auto"/>
            </w:tcBorders>
            <w:shd w:val="clear" w:color="000000" w:fill="FFFFFF"/>
            <w:noWrap/>
            <w:vAlign w:val="bottom"/>
            <w:hideMark/>
          </w:tcPr>
          <w:p w14:paraId="7E576E1F"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7,837.1 </w:t>
            </w:r>
          </w:p>
        </w:tc>
        <w:tc>
          <w:tcPr>
            <w:tcW w:w="1134" w:type="dxa"/>
            <w:tcBorders>
              <w:top w:val="nil"/>
              <w:left w:val="nil"/>
              <w:bottom w:val="nil"/>
              <w:right w:val="single" w:sz="4" w:space="0" w:color="auto"/>
            </w:tcBorders>
            <w:shd w:val="clear" w:color="000000" w:fill="FFFFFF"/>
            <w:noWrap/>
            <w:vAlign w:val="bottom"/>
            <w:hideMark/>
          </w:tcPr>
          <w:p w14:paraId="7B28A68D"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1,806.6 </w:t>
            </w:r>
          </w:p>
        </w:tc>
        <w:tc>
          <w:tcPr>
            <w:tcW w:w="1134" w:type="dxa"/>
            <w:tcBorders>
              <w:top w:val="nil"/>
              <w:left w:val="single" w:sz="4" w:space="0" w:color="auto"/>
              <w:bottom w:val="nil"/>
              <w:right w:val="single" w:sz="8" w:space="0" w:color="auto"/>
            </w:tcBorders>
            <w:shd w:val="clear" w:color="000000" w:fill="FFFFFF"/>
            <w:noWrap/>
            <w:vAlign w:val="bottom"/>
            <w:hideMark/>
          </w:tcPr>
          <w:p w14:paraId="618A62D6"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30.0%</w:t>
            </w:r>
          </w:p>
        </w:tc>
        <w:tc>
          <w:tcPr>
            <w:tcW w:w="1134" w:type="dxa"/>
            <w:tcBorders>
              <w:top w:val="nil"/>
              <w:left w:val="nil"/>
              <w:bottom w:val="nil"/>
              <w:right w:val="single" w:sz="8" w:space="0" w:color="auto"/>
            </w:tcBorders>
            <w:shd w:val="clear" w:color="000000" w:fill="FFFFFF"/>
            <w:noWrap/>
            <w:vAlign w:val="bottom"/>
            <w:hideMark/>
          </w:tcPr>
          <w:p w14:paraId="14FE9013"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14.9%</w:t>
            </w:r>
          </w:p>
        </w:tc>
      </w:tr>
      <w:tr w:rsidR="005F2EE7" w:rsidRPr="00D91DA7" w14:paraId="34BF3AD9"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1BF7588F" w14:textId="47033073"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Aportes Constitucional</w:t>
            </w:r>
            <w:r w:rsidR="00F65AF6">
              <w:rPr>
                <w:color w:val="000000"/>
                <w:sz w:val="20"/>
                <w:szCs w:val="22"/>
                <w:lang w:val="es-GT" w:eastAsia="es-GT"/>
              </w:rPr>
              <w:t>es</w:t>
            </w:r>
          </w:p>
        </w:tc>
        <w:tc>
          <w:tcPr>
            <w:tcW w:w="1191" w:type="dxa"/>
            <w:tcBorders>
              <w:top w:val="nil"/>
              <w:left w:val="single" w:sz="4" w:space="0" w:color="auto"/>
              <w:bottom w:val="nil"/>
              <w:right w:val="single" w:sz="4" w:space="0" w:color="auto"/>
            </w:tcBorders>
            <w:shd w:val="clear" w:color="000000" w:fill="FFFFFF"/>
            <w:noWrap/>
            <w:vAlign w:val="bottom"/>
            <w:hideMark/>
          </w:tcPr>
          <w:p w14:paraId="7B0D1BE5"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3,752.0 </w:t>
            </w:r>
          </w:p>
        </w:tc>
        <w:tc>
          <w:tcPr>
            <w:tcW w:w="1134" w:type="dxa"/>
            <w:tcBorders>
              <w:top w:val="nil"/>
              <w:left w:val="single" w:sz="4" w:space="0" w:color="auto"/>
              <w:bottom w:val="nil"/>
              <w:right w:val="single" w:sz="4" w:space="0" w:color="auto"/>
            </w:tcBorders>
            <w:shd w:val="clear" w:color="000000" w:fill="FFFFFF"/>
            <w:noWrap/>
            <w:vAlign w:val="bottom"/>
            <w:hideMark/>
          </w:tcPr>
          <w:p w14:paraId="40F41801"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4,454.3 </w:t>
            </w:r>
          </w:p>
        </w:tc>
        <w:tc>
          <w:tcPr>
            <w:tcW w:w="1134" w:type="dxa"/>
            <w:tcBorders>
              <w:top w:val="nil"/>
              <w:left w:val="nil"/>
              <w:bottom w:val="nil"/>
              <w:right w:val="single" w:sz="4" w:space="0" w:color="auto"/>
            </w:tcBorders>
            <w:shd w:val="clear" w:color="000000" w:fill="FFFFFF"/>
            <w:noWrap/>
            <w:vAlign w:val="bottom"/>
            <w:hideMark/>
          </w:tcPr>
          <w:p w14:paraId="6F49A2EC"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702.3 </w:t>
            </w:r>
          </w:p>
        </w:tc>
        <w:tc>
          <w:tcPr>
            <w:tcW w:w="1134" w:type="dxa"/>
            <w:tcBorders>
              <w:top w:val="nil"/>
              <w:left w:val="single" w:sz="4" w:space="0" w:color="auto"/>
              <w:bottom w:val="nil"/>
              <w:right w:val="single" w:sz="8" w:space="0" w:color="auto"/>
            </w:tcBorders>
            <w:shd w:val="clear" w:color="000000" w:fill="FFFFFF"/>
            <w:noWrap/>
            <w:vAlign w:val="bottom"/>
            <w:hideMark/>
          </w:tcPr>
          <w:p w14:paraId="76FC194A"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18.7%</w:t>
            </w:r>
          </w:p>
        </w:tc>
        <w:tc>
          <w:tcPr>
            <w:tcW w:w="1134" w:type="dxa"/>
            <w:tcBorders>
              <w:top w:val="nil"/>
              <w:left w:val="nil"/>
              <w:bottom w:val="nil"/>
              <w:right w:val="single" w:sz="8" w:space="0" w:color="auto"/>
            </w:tcBorders>
            <w:shd w:val="clear" w:color="000000" w:fill="FFFFFF"/>
            <w:noWrap/>
            <w:vAlign w:val="bottom"/>
            <w:hideMark/>
          </w:tcPr>
          <w:p w14:paraId="406318E7"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8.5%</w:t>
            </w:r>
          </w:p>
        </w:tc>
      </w:tr>
      <w:tr w:rsidR="005F2EE7" w:rsidRPr="00D91DA7" w14:paraId="0571AEAF"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27416403"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Afectación Específica</w:t>
            </w:r>
          </w:p>
        </w:tc>
        <w:tc>
          <w:tcPr>
            <w:tcW w:w="1191" w:type="dxa"/>
            <w:tcBorders>
              <w:top w:val="nil"/>
              <w:left w:val="single" w:sz="4" w:space="0" w:color="auto"/>
              <w:bottom w:val="nil"/>
              <w:right w:val="single" w:sz="4" w:space="0" w:color="auto"/>
            </w:tcBorders>
            <w:shd w:val="clear" w:color="000000" w:fill="FFFFFF"/>
            <w:noWrap/>
            <w:vAlign w:val="bottom"/>
            <w:hideMark/>
          </w:tcPr>
          <w:p w14:paraId="12A67E04"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1,126.8 </w:t>
            </w:r>
          </w:p>
        </w:tc>
        <w:tc>
          <w:tcPr>
            <w:tcW w:w="1134" w:type="dxa"/>
            <w:tcBorders>
              <w:top w:val="nil"/>
              <w:left w:val="single" w:sz="4" w:space="0" w:color="auto"/>
              <w:bottom w:val="nil"/>
              <w:right w:val="single" w:sz="4" w:space="0" w:color="auto"/>
            </w:tcBorders>
            <w:shd w:val="clear" w:color="000000" w:fill="FFFFFF"/>
            <w:noWrap/>
            <w:vAlign w:val="bottom"/>
            <w:hideMark/>
          </w:tcPr>
          <w:p w14:paraId="183D1867"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1,352.5 </w:t>
            </w:r>
          </w:p>
        </w:tc>
        <w:tc>
          <w:tcPr>
            <w:tcW w:w="1134" w:type="dxa"/>
            <w:tcBorders>
              <w:top w:val="nil"/>
              <w:left w:val="nil"/>
              <w:bottom w:val="nil"/>
              <w:right w:val="single" w:sz="4" w:space="0" w:color="auto"/>
            </w:tcBorders>
            <w:shd w:val="clear" w:color="000000" w:fill="FFFFFF"/>
            <w:noWrap/>
            <w:vAlign w:val="bottom"/>
            <w:hideMark/>
          </w:tcPr>
          <w:p w14:paraId="7ADDDCB0"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225.8 </w:t>
            </w:r>
          </w:p>
        </w:tc>
        <w:tc>
          <w:tcPr>
            <w:tcW w:w="1134" w:type="dxa"/>
            <w:tcBorders>
              <w:top w:val="nil"/>
              <w:left w:val="single" w:sz="4" w:space="0" w:color="auto"/>
              <w:bottom w:val="nil"/>
              <w:right w:val="single" w:sz="8" w:space="0" w:color="auto"/>
            </w:tcBorders>
            <w:shd w:val="clear" w:color="000000" w:fill="FFFFFF"/>
            <w:noWrap/>
            <w:vAlign w:val="bottom"/>
            <w:hideMark/>
          </w:tcPr>
          <w:p w14:paraId="2C6851C3"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20.0%</w:t>
            </w:r>
          </w:p>
        </w:tc>
        <w:tc>
          <w:tcPr>
            <w:tcW w:w="1134" w:type="dxa"/>
            <w:tcBorders>
              <w:top w:val="nil"/>
              <w:left w:val="nil"/>
              <w:bottom w:val="nil"/>
              <w:right w:val="single" w:sz="8" w:space="0" w:color="auto"/>
            </w:tcBorders>
            <w:shd w:val="clear" w:color="000000" w:fill="FFFFFF"/>
            <w:noWrap/>
            <w:vAlign w:val="bottom"/>
            <w:hideMark/>
          </w:tcPr>
          <w:p w14:paraId="39156933"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2.6%</w:t>
            </w:r>
          </w:p>
        </w:tc>
      </w:tr>
      <w:tr w:rsidR="005F2EE7" w:rsidRPr="00D91DA7" w14:paraId="60EB9581"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75472B4A"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Ingresos Propios</w:t>
            </w:r>
          </w:p>
        </w:tc>
        <w:tc>
          <w:tcPr>
            <w:tcW w:w="1191" w:type="dxa"/>
            <w:tcBorders>
              <w:top w:val="nil"/>
              <w:left w:val="single" w:sz="4" w:space="0" w:color="auto"/>
              <w:bottom w:val="nil"/>
              <w:right w:val="single" w:sz="4" w:space="0" w:color="auto"/>
            </w:tcBorders>
            <w:shd w:val="clear" w:color="000000" w:fill="FFFFFF"/>
            <w:noWrap/>
            <w:vAlign w:val="bottom"/>
            <w:hideMark/>
          </w:tcPr>
          <w:p w14:paraId="4654AD2B"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291.1 </w:t>
            </w:r>
          </w:p>
        </w:tc>
        <w:tc>
          <w:tcPr>
            <w:tcW w:w="1134" w:type="dxa"/>
            <w:tcBorders>
              <w:top w:val="nil"/>
              <w:left w:val="single" w:sz="4" w:space="0" w:color="auto"/>
              <w:bottom w:val="nil"/>
              <w:right w:val="single" w:sz="4" w:space="0" w:color="auto"/>
            </w:tcBorders>
            <w:shd w:val="clear" w:color="000000" w:fill="FFFFFF"/>
            <w:noWrap/>
            <w:vAlign w:val="bottom"/>
            <w:hideMark/>
          </w:tcPr>
          <w:p w14:paraId="39842B0E"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421.6 </w:t>
            </w:r>
          </w:p>
        </w:tc>
        <w:tc>
          <w:tcPr>
            <w:tcW w:w="1134" w:type="dxa"/>
            <w:tcBorders>
              <w:top w:val="nil"/>
              <w:left w:val="nil"/>
              <w:bottom w:val="nil"/>
              <w:right w:val="single" w:sz="4" w:space="0" w:color="auto"/>
            </w:tcBorders>
            <w:shd w:val="clear" w:color="000000" w:fill="FFFFFF"/>
            <w:noWrap/>
            <w:vAlign w:val="bottom"/>
            <w:hideMark/>
          </w:tcPr>
          <w:p w14:paraId="1E748929"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130.5 </w:t>
            </w:r>
          </w:p>
        </w:tc>
        <w:tc>
          <w:tcPr>
            <w:tcW w:w="1134" w:type="dxa"/>
            <w:tcBorders>
              <w:top w:val="nil"/>
              <w:left w:val="single" w:sz="4" w:space="0" w:color="auto"/>
              <w:bottom w:val="nil"/>
              <w:right w:val="single" w:sz="8" w:space="0" w:color="auto"/>
            </w:tcBorders>
            <w:shd w:val="clear" w:color="000000" w:fill="FFFFFF"/>
            <w:noWrap/>
            <w:vAlign w:val="bottom"/>
            <w:hideMark/>
          </w:tcPr>
          <w:p w14:paraId="77BEB1E6"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44.8%</w:t>
            </w:r>
          </w:p>
        </w:tc>
        <w:tc>
          <w:tcPr>
            <w:tcW w:w="1134" w:type="dxa"/>
            <w:tcBorders>
              <w:top w:val="nil"/>
              <w:left w:val="nil"/>
              <w:bottom w:val="nil"/>
              <w:right w:val="single" w:sz="8" w:space="0" w:color="auto"/>
            </w:tcBorders>
            <w:shd w:val="clear" w:color="000000" w:fill="FFFFFF"/>
            <w:noWrap/>
            <w:vAlign w:val="bottom"/>
            <w:hideMark/>
          </w:tcPr>
          <w:p w14:paraId="69BBB3BF"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0.8%</w:t>
            </w:r>
          </w:p>
        </w:tc>
      </w:tr>
      <w:tr w:rsidR="005F2EE7" w:rsidRPr="00D91DA7" w14:paraId="263D2E11" w14:textId="77777777" w:rsidTr="00D91DA7">
        <w:trPr>
          <w:trHeight w:val="180"/>
          <w:jc w:val="center"/>
        </w:trPr>
        <w:tc>
          <w:tcPr>
            <w:tcW w:w="3194" w:type="dxa"/>
            <w:tcBorders>
              <w:top w:val="nil"/>
              <w:left w:val="single" w:sz="8" w:space="0" w:color="auto"/>
              <w:bottom w:val="single" w:sz="4" w:space="0" w:color="auto"/>
              <w:right w:val="single" w:sz="4" w:space="0" w:color="auto"/>
            </w:tcBorders>
            <w:shd w:val="clear" w:color="000000" w:fill="FFFFFF"/>
            <w:noWrap/>
            <w:vAlign w:val="bottom"/>
            <w:hideMark/>
          </w:tcPr>
          <w:p w14:paraId="48D35E03" w14:textId="0C519FE4" w:rsidR="005F2EE7" w:rsidRPr="00D91DA7" w:rsidRDefault="00F65AF6" w:rsidP="0042480D">
            <w:pPr>
              <w:ind w:firstLineChars="200" w:firstLine="400"/>
              <w:rPr>
                <w:color w:val="000000"/>
                <w:sz w:val="20"/>
                <w:szCs w:val="22"/>
                <w:lang w:val="es-GT" w:eastAsia="es-GT"/>
              </w:rPr>
            </w:pPr>
            <w:r>
              <w:rPr>
                <w:color w:val="000000"/>
                <w:sz w:val="20"/>
                <w:szCs w:val="22"/>
                <w:lang w:val="es-GT" w:eastAsia="es-GT"/>
              </w:rPr>
              <w:t>Saldo de</w:t>
            </w:r>
            <w:r w:rsidR="005F2EE7" w:rsidRPr="00D91DA7">
              <w:rPr>
                <w:color w:val="000000"/>
                <w:sz w:val="20"/>
                <w:szCs w:val="22"/>
                <w:lang w:val="es-GT" w:eastAsia="es-GT"/>
              </w:rPr>
              <w:t xml:space="preserve"> Ingresos Propios</w:t>
            </w:r>
          </w:p>
        </w:tc>
        <w:tc>
          <w:tcPr>
            <w:tcW w:w="1191" w:type="dxa"/>
            <w:tcBorders>
              <w:top w:val="nil"/>
              <w:left w:val="single" w:sz="4" w:space="0" w:color="auto"/>
              <w:bottom w:val="single" w:sz="4" w:space="0" w:color="auto"/>
              <w:right w:val="single" w:sz="4" w:space="0" w:color="auto"/>
            </w:tcBorders>
            <w:shd w:val="clear" w:color="000000" w:fill="FFFFFF"/>
            <w:noWrap/>
            <w:vAlign w:val="bottom"/>
            <w:hideMark/>
          </w:tcPr>
          <w:p w14:paraId="6FCA855C"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81.2 </w:t>
            </w:r>
          </w:p>
        </w:tc>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14:paraId="476B0652"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239.2 </w:t>
            </w:r>
          </w:p>
        </w:tc>
        <w:tc>
          <w:tcPr>
            <w:tcW w:w="1134" w:type="dxa"/>
            <w:tcBorders>
              <w:top w:val="nil"/>
              <w:left w:val="nil"/>
              <w:bottom w:val="single" w:sz="4" w:space="0" w:color="auto"/>
              <w:right w:val="single" w:sz="4" w:space="0" w:color="auto"/>
            </w:tcBorders>
            <w:shd w:val="clear" w:color="000000" w:fill="FFFFFF"/>
            <w:noWrap/>
            <w:vAlign w:val="bottom"/>
            <w:hideMark/>
          </w:tcPr>
          <w:p w14:paraId="6FDE40D7"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158.0 </w:t>
            </w:r>
          </w:p>
        </w:tc>
        <w:tc>
          <w:tcPr>
            <w:tcW w:w="1134" w:type="dxa"/>
            <w:tcBorders>
              <w:top w:val="nil"/>
              <w:left w:val="single" w:sz="4" w:space="0" w:color="auto"/>
              <w:bottom w:val="single" w:sz="4" w:space="0" w:color="auto"/>
              <w:right w:val="single" w:sz="8" w:space="0" w:color="auto"/>
            </w:tcBorders>
            <w:shd w:val="clear" w:color="000000" w:fill="FFFFFF"/>
            <w:noWrap/>
            <w:vAlign w:val="bottom"/>
            <w:hideMark/>
          </w:tcPr>
          <w:p w14:paraId="3C6A7C21"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194.7%</w:t>
            </w:r>
          </w:p>
        </w:tc>
        <w:tc>
          <w:tcPr>
            <w:tcW w:w="1134" w:type="dxa"/>
            <w:tcBorders>
              <w:top w:val="nil"/>
              <w:left w:val="single" w:sz="8" w:space="0" w:color="auto"/>
              <w:bottom w:val="nil"/>
              <w:right w:val="single" w:sz="8" w:space="0" w:color="auto"/>
            </w:tcBorders>
            <w:shd w:val="clear" w:color="000000" w:fill="FFFFFF"/>
            <w:noWrap/>
            <w:vAlign w:val="bottom"/>
            <w:hideMark/>
          </w:tcPr>
          <w:p w14:paraId="5C28D9ED"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0.5%</w:t>
            </w:r>
          </w:p>
        </w:tc>
      </w:tr>
      <w:tr w:rsidR="005F2EE7" w:rsidRPr="00D91DA7" w14:paraId="38B28318" w14:textId="77777777" w:rsidTr="00D91DA7">
        <w:trPr>
          <w:trHeight w:val="180"/>
          <w:jc w:val="center"/>
        </w:trPr>
        <w:tc>
          <w:tcPr>
            <w:tcW w:w="3194" w:type="dxa"/>
            <w:tcBorders>
              <w:top w:val="single" w:sz="4" w:space="0" w:color="auto"/>
              <w:left w:val="single" w:sz="8" w:space="0" w:color="auto"/>
              <w:bottom w:val="nil"/>
              <w:right w:val="single" w:sz="4" w:space="0" w:color="auto"/>
            </w:tcBorders>
            <w:shd w:val="clear" w:color="000000" w:fill="FFFFFF"/>
            <w:noWrap/>
            <w:vAlign w:val="bottom"/>
            <w:hideMark/>
          </w:tcPr>
          <w:p w14:paraId="141D1B45" w14:textId="12884C02" w:rsidR="005F2EE7" w:rsidRPr="00D91DA7" w:rsidRDefault="005F2EE7" w:rsidP="0042480D">
            <w:pPr>
              <w:rPr>
                <w:b/>
                <w:bCs/>
                <w:color w:val="000000"/>
                <w:sz w:val="20"/>
                <w:szCs w:val="22"/>
                <w:lang w:val="es-GT" w:eastAsia="es-GT"/>
              </w:rPr>
            </w:pPr>
            <w:r w:rsidRPr="00D91DA7">
              <w:rPr>
                <w:b/>
                <w:bCs/>
                <w:color w:val="000000"/>
                <w:sz w:val="20"/>
                <w:szCs w:val="22"/>
                <w:lang w:val="es-GT" w:eastAsia="es-GT"/>
              </w:rPr>
              <w:t xml:space="preserve">Total </w:t>
            </w:r>
            <w:r w:rsidR="00F65AF6">
              <w:rPr>
                <w:b/>
                <w:bCs/>
                <w:color w:val="000000"/>
                <w:sz w:val="20"/>
                <w:szCs w:val="22"/>
                <w:lang w:val="es-GT" w:eastAsia="es-GT"/>
              </w:rPr>
              <w:t>F</w:t>
            </w:r>
            <w:r w:rsidRPr="00D91DA7">
              <w:rPr>
                <w:b/>
                <w:bCs/>
                <w:color w:val="000000"/>
                <w:sz w:val="20"/>
                <w:szCs w:val="22"/>
                <w:lang w:val="es-GT" w:eastAsia="es-GT"/>
              </w:rPr>
              <w:t xml:space="preserve">uentes de </w:t>
            </w:r>
            <w:r w:rsidR="00F65AF6">
              <w:rPr>
                <w:b/>
                <w:bCs/>
                <w:color w:val="000000"/>
                <w:sz w:val="20"/>
                <w:szCs w:val="22"/>
                <w:lang w:val="es-GT" w:eastAsia="es-GT"/>
              </w:rPr>
              <w:t>D</w:t>
            </w:r>
            <w:r w:rsidRPr="00D91DA7">
              <w:rPr>
                <w:b/>
                <w:bCs/>
                <w:color w:val="000000"/>
                <w:sz w:val="20"/>
                <w:szCs w:val="22"/>
                <w:lang w:val="es-GT" w:eastAsia="es-GT"/>
              </w:rPr>
              <w:t>euda</w:t>
            </w:r>
            <w:r w:rsidR="005237BC">
              <w:rPr>
                <w:b/>
                <w:bCs/>
                <w:color w:val="000000"/>
                <w:sz w:val="20"/>
                <w:szCs w:val="22"/>
                <w:lang w:val="es-GT" w:eastAsia="es-GT"/>
              </w:rPr>
              <w:t xml:space="preserve"> Pública</w:t>
            </w:r>
          </w:p>
        </w:tc>
        <w:tc>
          <w:tcPr>
            <w:tcW w:w="1191" w:type="dxa"/>
            <w:tcBorders>
              <w:top w:val="nil"/>
              <w:left w:val="nil"/>
              <w:bottom w:val="nil"/>
              <w:right w:val="single" w:sz="4" w:space="0" w:color="auto"/>
            </w:tcBorders>
            <w:shd w:val="clear" w:color="000000" w:fill="FFFFFF"/>
            <w:noWrap/>
            <w:vAlign w:val="bottom"/>
            <w:hideMark/>
          </w:tcPr>
          <w:p w14:paraId="3BABD86B"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4,797.3 </w:t>
            </w:r>
          </w:p>
        </w:tc>
        <w:tc>
          <w:tcPr>
            <w:tcW w:w="1134" w:type="dxa"/>
            <w:tcBorders>
              <w:top w:val="nil"/>
              <w:left w:val="single" w:sz="4" w:space="0" w:color="auto"/>
              <w:bottom w:val="nil"/>
              <w:right w:val="single" w:sz="4" w:space="0" w:color="auto"/>
            </w:tcBorders>
            <w:shd w:val="clear" w:color="000000" w:fill="FFFFFF"/>
            <w:noWrap/>
            <w:vAlign w:val="bottom"/>
            <w:hideMark/>
          </w:tcPr>
          <w:p w14:paraId="4A9A5D1C"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2,186.3 </w:t>
            </w:r>
          </w:p>
        </w:tc>
        <w:tc>
          <w:tcPr>
            <w:tcW w:w="1134" w:type="dxa"/>
            <w:tcBorders>
              <w:top w:val="nil"/>
              <w:left w:val="nil"/>
              <w:bottom w:val="nil"/>
              <w:right w:val="single" w:sz="4" w:space="0" w:color="auto"/>
            </w:tcBorders>
            <w:shd w:val="clear" w:color="000000" w:fill="FFFFFF"/>
            <w:noWrap/>
            <w:vAlign w:val="bottom"/>
            <w:hideMark/>
          </w:tcPr>
          <w:p w14:paraId="1EF2C5A7"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-2,611.0 </w:t>
            </w:r>
          </w:p>
        </w:tc>
        <w:tc>
          <w:tcPr>
            <w:tcW w:w="1134" w:type="dxa"/>
            <w:tcBorders>
              <w:top w:val="nil"/>
              <w:left w:val="single" w:sz="4" w:space="0" w:color="auto"/>
              <w:bottom w:val="nil"/>
              <w:right w:val="single" w:sz="8" w:space="0" w:color="auto"/>
            </w:tcBorders>
            <w:shd w:val="clear" w:color="000000" w:fill="FFFFFF"/>
            <w:noWrap/>
            <w:vAlign w:val="bottom"/>
            <w:hideMark/>
          </w:tcPr>
          <w:p w14:paraId="62956046"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-54.4%</w:t>
            </w:r>
          </w:p>
        </w:tc>
        <w:tc>
          <w:tcPr>
            <w:tcW w:w="1134" w:type="dxa"/>
            <w:tcBorders>
              <w:top w:val="single" w:sz="4" w:space="0" w:color="auto"/>
              <w:left w:val="nil"/>
              <w:bottom w:val="nil"/>
              <w:right w:val="single" w:sz="8" w:space="0" w:color="auto"/>
            </w:tcBorders>
            <w:shd w:val="clear" w:color="000000" w:fill="FFFFFF"/>
            <w:noWrap/>
            <w:vAlign w:val="bottom"/>
            <w:hideMark/>
          </w:tcPr>
          <w:p w14:paraId="179B37A5"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4.0%</w:t>
            </w:r>
          </w:p>
        </w:tc>
      </w:tr>
      <w:tr w:rsidR="005F2EE7" w:rsidRPr="00D91DA7" w14:paraId="375EA5B3"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335BF481"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Colocaciones Internas</w:t>
            </w:r>
          </w:p>
        </w:tc>
        <w:tc>
          <w:tcPr>
            <w:tcW w:w="1191" w:type="dxa"/>
            <w:tcBorders>
              <w:top w:val="nil"/>
              <w:left w:val="single" w:sz="4" w:space="0" w:color="auto"/>
              <w:bottom w:val="nil"/>
              <w:right w:val="single" w:sz="4" w:space="0" w:color="auto"/>
            </w:tcBorders>
            <w:shd w:val="clear" w:color="000000" w:fill="FFFFFF"/>
            <w:noWrap/>
            <w:vAlign w:val="bottom"/>
            <w:hideMark/>
          </w:tcPr>
          <w:p w14:paraId="69BFC8F6"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4,317.9 </w:t>
            </w:r>
          </w:p>
        </w:tc>
        <w:tc>
          <w:tcPr>
            <w:tcW w:w="1134" w:type="dxa"/>
            <w:tcBorders>
              <w:top w:val="nil"/>
              <w:left w:val="single" w:sz="4" w:space="0" w:color="auto"/>
              <w:bottom w:val="nil"/>
              <w:right w:val="single" w:sz="4" w:space="0" w:color="auto"/>
            </w:tcBorders>
            <w:shd w:val="clear" w:color="000000" w:fill="FFFFFF"/>
            <w:noWrap/>
            <w:vAlign w:val="bottom"/>
            <w:hideMark/>
          </w:tcPr>
          <w:p w14:paraId="7D8D65DF"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718.2 </w:t>
            </w:r>
          </w:p>
        </w:tc>
        <w:tc>
          <w:tcPr>
            <w:tcW w:w="1134" w:type="dxa"/>
            <w:tcBorders>
              <w:top w:val="nil"/>
              <w:left w:val="nil"/>
              <w:bottom w:val="nil"/>
              <w:right w:val="single" w:sz="4" w:space="0" w:color="auto"/>
            </w:tcBorders>
            <w:shd w:val="clear" w:color="000000" w:fill="FFFFFF"/>
            <w:noWrap/>
            <w:vAlign w:val="bottom"/>
            <w:hideMark/>
          </w:tcPr>
          <w:p w14:paraId="348A1A6B"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-3,599.8 </w:t>
            </w:r>
          </w:p>
        </w:tc>
        <w:tc>
          <w:tcPr>
            <w:tcW w:w="1134" w:type="dxa"/>
            <w:tcBorders>
              <w:top w:val="nil"/>
              <w:left w:val="single" w:sz="4" w:space="0" w:color="auto"/>
              <w:bottom w:val="nil"/>
              <w:right w:val="single" w:sz="8" w:space="0" w:color="auto"/>
            </w:tcBorders>
            <w:shd w:val="clear" w:color="000000" w:fill="FFFFFF"/>
            <w:noWrap/>
            <w:vAlign w:val="bottom"/>
            <w:hideMark/>
          </w:tcPr>
          <w:p w14:paraId="31243ED5"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-83.4%</w:t>
            </w:r>
          </w:p>
        </w:tc>
        <w:tc>
          <w:tcPr>
            <w:tcW w:w="1134" w:type="dxa"/>
            <w:tcBorders>
              <w:top w:val="nil"/>
              <w:left w:val="nil"/>
              <w:bottom w:val="nil"/>
              <w:right w:val="single" w:sz="8" w:space="0" w:color="auto"/>
            </w:tcBorders>
            <w:shd w:val="clear" w:color="000000" w:fill="FFFFFF"/>
            <w:noWrap/>
            <w:vAlign w:val="bottom"/>
            <w:hideMark/>
          </w:tcPr>
          <w:p w14:paraId="568B418D"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32.8%</w:t>
            </w:r>
          </w:p>
        </w:tc>
      </w:tr>
      <w:tr w:rsidR="005F2EE7" w:rsidRPr="00D91DA7" w14:paraId="0AC486CD"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450797F2" w14:textId="39560460" w:rsidR="005F2EE7" w:rsidRPr="00D91DA7" w:rsidRDefault="00F65AF6" w:rsidP="0042480D">
            <w:pPr>
              <w:ind w:firstLineChars="200" w:firstLine="400"/>
              <w:rPr>
                <w:color w:val="000000"/>
                <w:sz w:val="20"/>
                <w:szCs w:val="22"/>
                <w:lang w:val="es-GT" w:eastAsia="es-GT"/>
              </w:rPr>
            </w:pPr>
            <w:r>
              <w:rPr>
                <w:color w:val="000000"/>
                <w:sz w:val="20"/>
                <w:szCs w:val="22"/>
                <w:lang w:val="es-GT" w:eastAsia="es-GT"/>
              </w:rPr>
              <w:t xml:space="preserve">Saldo de </w:t>
            </w:r>
            <w:r w:rsidR="005F2EE7" w:rsidRPr="00D91DA7">
              <w:rPr>
                <w:color w:val="000000"/>
                <w:sz w:val="20"/>
                <w:szCs w:val="22"/>
                <w:lang w:val="es-GT" w:eastAsia="es-GT"/>
              </w:rPr>
              <w:t>Colocaciones Internas</w:t>
            </w:r>
          </w:p>
        </w:tc>
        <w:tc>
          <w:tcPr>
            <w:tcW w:w="1191" w:type="dxa"/>
            <w:tcBorders>
              <w:top w:val="nil"/>
              <w:left w:val="single" w:sz="4" w:space="0" w:color="auto"/>
              <w:bottom w:val="nil"/>
              <w:right w:val="single" w:sz="4" w:space="0" w:color="auto"/>
            </w:tcBorders>
            <w:shd w:val="clear" w:color="000000" w:fill="FFFFFF"/>
            <w:noWrap/>
            <w:vAlign w:val="bottom"/>
            <w:hideMark/>
          </w:tcPr>
          <w:p w14:paraId="4F5D0989"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292.0 </w:t>
            </w:r>
          </w:p>
        </w:tc>
        <w:tc>
          <w:tcPr>
            <w:tcW w:w="1134" w:type="dxa"/>
            <w:tcBorders>
              <w:top w:val="nil"/>
              <w:left w:val="single" w:sz="4" w:space="0" w:color="auto"/>
              <w:bottom w:val="nil"/>
              <w:right w:val="single" w:sz="4" w:space="0" w:color="auto"/>
            </w:tcBorders>
            <w:shd w:val="clear" w:color="000000" w:fill="FFFFFF"/>
            <w:noWrap/>
            <w:vAlign w:val="bottom"/>
            <w:hideMark/>
          </w:tcPr>
          <w:p w14:paraId="3F43B8D1"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10.3 </w:t>
            </w:r>
          </w:p>
        </w:tc>
        <w:tc>
          <w:tcPr>
            <w:tcW w:w="1134" w:type="dxa"/>
            <w:tcBorders>
              <w:top w:val="nil"/>
              <w:left w:val="nil"/>
              <w:bottom w:val="nil"/>
              <w:right w:val="single" w:sz="4" w:space="0" w:color="auto"/>
            </w:tcBorders>
            <w:shd w:val="clear" w:color="000000" w:fill="FFFFFF"/>
            <w:noWrap/>
            <w:vAlign w:val="bottom"/>
            <w:hideMark/>
          </w:tcPr>
          <w:p w14:paraId="241600EB"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-281.7 </w:t>
            </w:r>
          </w:p>
        </w:tc>
        <w:tc>
          <w:tcPr>
            <w:tcW w:w="1134" w:type="dxa"/>
            <w:tcBorders>
              <w:top w:val="nil"/>
              <w:left w:val="single" w:sz="4" w:space="0" w:color="auto"/>
              <w:bottom w:val="nil"/>
              <w:right w:val="single" w:sz="8" w:space="0" w:color="auto"/>
            </w:tcBorders>
            <w:shd w:val="clear" w:color="000000" w:fill="FFFFFF"/>
            <w:noWrap/>
            <w:vAlign w:val="bottom"/>
            <w:hideMark/>
          </w:tcPr>
          <w:p w14:paraId="7B2E0CC9"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-96.5%</w:t>
            </w:r>
          </w:p>
        </w:tc>
        <w:tc>
          <w:tcPr>
            <w:tcW w:w="1134" w:type="dxa"/>
            <w:tcBorders>
              <w:top w:val="nil"/>
              <w:left w:val="nil"/>
              <w:bottom w:val="nil"/>
              <w:right w:val="single" w:sz="8" w:space="0" w:color="auto"/>
            </w:tcBorders>
            <w:shd w:val="clear" w:color="000000" w:fill="FFFFFF"/>
            <w:noWrap/>
            <w:vAlign w:val="bottom"/>
            <w:hideMark/>
          </w:tcPr>
          <w:p w14:paraId="30AD7DEC"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0.5%</w:t>
            </w:r>
          </w:p>
        </w:tc>
      </w:tr>
      <w:tr w:rsidR="005F2EE7" w:rsidRPr="00D91DA7" w14:paraId="4F54C2CF"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30742590"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Colocaciones Externas</w:t>
            </w:r>
          </w:p>
        </w:tc>
        <w:tc>
          <w:tcPr>
            <w:tcW w:w="1191" w:type="dxa"/>
            <w:tcBorders>
              <w:top w:val="nil"/>
              <w:left w:val="single" w:sz="4" w:space="0" w:color="auto"/>
              <w:bottom w:val="nil"/>
              <w:right w:val="single" w:sz="4" w:space="0" w:color="auto"/>
            </w:tcBorders>
            <w:shd w:val="clear" w:color="000000" w:fill="FFFFFF"/>
            <w:noWrap/>
            <w:vAlign w:val="bottom"/>
            <w:hideMark/>
          </w:tcPr>
          <w:p w14:paraId="72D1DCE7"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0.0 </w:t>
            </w:r>
          </w:p>
        </w:tc>
        <w:tc>
          <w:tcPr>
            <w:tcW w:w="1134" w:type="dxa"/>
            <w:tcBorders>
              <w:top w:val="nil"/>
              <w:left w:val="single" w:sz="4" w:space="0" w:color="auto"/>
              <w:bottom w:val="nil"/>
              <w:right w:val="single" w:sz="4" w:space="0" w:color="auto"/>
            </w:tcBorders>
            <w:shd w:val="clear" w:color="000000" w:fill="FFFFFF"/>
            <w:noWrap/>
            <w:vAlign w:val="bottom"/>
            <w:hideMark/>
          </w:tcPr>
          <w:p w14:paraId="781470B7"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851.8 </w:t>
            </w:r>
          </w:p>
        </w:tc>
        <w:tc>
          <w:tcPr>
            <w:tcW w:w="1134" w:type="dxa"/>
            <w:tcBorders>
              <w:top w:val="nil"/>
              <w:left w:val="nil"/>
              <w:bottom w:val="nil"/>
              <w:right w:val="single" w:sz="4" w:space="0" w:color="auto"/>
            </w:tcBorders>
            <w:shd w:val="clear" w:color="000000" w:fill="FFFFFF"/>
            <w:noWrap/>
            <w:vAlign w:val="bottom"/>
            <w:hideMark/>
          </w:tcPr>
          <w:p w14:paraId="433524C6"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851.8 </w:t>
            </w:r>
          </w:p>
        </w:tc>
        <w:tc>
          <w:tcPr>
            <w:tcW w:w="1134" w:type="dxa"/>
            <w:tcBorders>
              <w:top w:val="nil"/>
              <w:left w:val="single" w:sz="4" w:space="0" w:color="auto"/>
              <w:bottom w:val="nil"/>
              <w:right w:val="single" w:sz="8" w:space="0" w:color="auto"/>
            </w:tcBorders>
            <w:shd w:val="clear" w:color="000000" w:fill="FFFFFF"/>
            <w:noWrap/>
            <w:vAlign w:val="bottom"/>
            <w:hideMark/>
          </w:tcPr>
          <w:p w14:paraId="68D0A95A" w14:textId="77777777" w:rsidR="005F2EE7" w:rsidRPr="00D91DA7" w:rsidRDefault="005F2EE7" w:rsidP="0042480D">
            <w:pPr>
              <w:rPr>
                <w:color w:val="000000"/>
                <w:sz w:val="20"/>
                <w:szCs w:val="22"/>
                <w:lang w:val="es-GT" w:eastAsia="es-GT"/>
              </w:rPr>
            </w:pPr>
            <w:r w:rsidRPr="00D91DA7">
              <w:rPr>
                <w:color w:val="000000"/>
                <w:sz w:val="20"/>
                <w:szCs w:val="22"/>
                <w:lang w:val="es-GT" w:eastAsia="es-GT"/>
              </w:rPr>
              <w:t> </w:t>
            </w:r>
          </w:p>
        </w:tc>
        <w:tc>
          <w:tcPr>
            <w:tcW w:w="1134" w:type="dxa"/>
            <w:tcBorders>
              <w:top w:val="nil"/>
              <w:left w:val="nil"/>
              <w:bottom w:val="nil"/>
              <w:right w:val="single" w:sz="8" w:space="0" w:color="auto"/>
            </w:tcBorders>
            <w:shd w:val="clear" w:color="000000" w:fill="FFFFFF"/>
            <w:noWrap/>
            <w:vAlign w:val="bottom"/>
            <w:hideMark/>
          </w:tcPr>
          <w:p w14:paraId="27FDD157"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39.0%</w:t>
            </w:r>
          </w:p>
        </w:tc>
      </w:tr>
      <w:tr w:rsidR="005F2EE7" w:rsidRPr="00D91DA7" w14:paraId="1A97B301"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01C24EA1"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Préstamos Externos</w:t>
            </w:r>
          </w:p>
        </w:tc>
        <w:tc>
          <w:tcPr>
            <w:tcW w:w="1191" w:type="dxa"/>
            <w:tcBorders>
              <w:top w:val="nil"/>
              <w:left w:val="single" w:sz="4" w:space="0" w:color="auto"/>
              <w:bottom w:val="nil"/>
              <w:right w:val="single" w:sz="4" w:space="0" w:color="auto"/>
            </w:tcBorders>
            <w:shd w:val="clear" w:color="000000" w:fill="FFFFFF"/>
            <w:noWrap/>
            <w:vAlign w:val="bottom"/>
            <w:hideMark/>
          </w:tcPr>
          <w:p w14:paraId="164F1849"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187.3 </w:t>
            </w:r>
          </w:p>
        </w:tc>
        <w:tc>
          <w:tcPr>
            <w:tcW w:w="1134" w:type="dxa"/>
            <w:tcBorders>
              <w:top w:val="nil"/>
              <w:left w:val="single" w:sz="4" w:space="0" w:color="auto"/>
              <w:bottom w:val="nil"/>
              <w:right w:val="single" w:sz="4" w:space="0" w:color="auto"/>
            </w:tcBorders>
            <w:shd w:val="clear" w:color="000000" w:fill="FFFFFF"/>
            <w:noWrap/>
            <w:vAlign w:val="bottom"/>
            <w:hideMark/>
          </w:tcPr>
          <w:p w14:paraId="736358EC"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476.5 </w:t>
            </w:r>
          </w:p>
        </w:tc>
        <w:tc>
          <w:tcPr>
            <w:tcW w:w="1134" w:type="dxa"/>
            <w:tcBorders>
              <w:top w:val="nil"/>
              <w:left w:val="nil"/>
              <w:bottom w:val="nil"/>
              <w:right w:val="single" w:sz="4" w:space="0" w:color="auto"/>
            </w:tcBorders>
            <w:shd w:val="clear" w:color="000000" w:fill="FFFFFF"/>
            <w:noWrap/>
            <w:vAlign w:val="bottom"/>
            <w:hideMark/>
          </w:tcPr>
          <w:p w14:paraId="4557539D"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289.2 </w:t>
            </w:r>
          </w:p>
        </w:tc>
        <w:tc>
          <w:tcPr>
            <w:tcW w:w="1134" w:type="dxa"/>
            <w:tcBorders>
              <w:top w:val="nil"/>
              <w:left w:val="single" w:sz="4" w:space="0" w:color="auto"/>
              <w:bottom w:val="nil"/>
              <w:right w:val="single" w:sz="8" w:space="0" w:color="auto"/>
            </w:tcBorders>
            <w:shd w:val="clear" w:color="000000" w:fill="FFFFFF"/>
            <w:noWrap/>
            <w:vAlign w:val="bottom"/>
            <w:hideMark/>
          </w:tcPr>
          <w:p w14:paraId="422F8DDE"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154.4%</w:t>
            </w:r>
          </w:p>
        </w:tc>
        <w:tc>
          <w:tcPr>
            <w:tcW w:w="1134" w:type="dxa"/>
            <w:tcBorders>
              <w:top w:val="nil"/>
              <w:left w:val="nil"/>
              <w:bottom w:val="nil"/>
              <w:right w:val="single" w:sz="8" w:space="0" w:color="auto"/>
            </w:tcBorders>
            <w:shd w:val="clear" w:color="000000" w:fill="FFFFFF"/>
            <w:noWrap/>
            <w:vAlign w:val="bottom"/>
            <w:hideMark/>
          </w:tcPr>
          <w:p w14:paraId="356263B4"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21.8%</w:t>
            </w:r>
          </w:p>
        </w:tc>
      </w:tr>
      <w:tr w:rsidR="005F2EE7" w:rsidRPr="00D91DA7" w14:paraId="0B509316" w14:textId="77777777" w:rsidTr="00D91DA7">
        <w:trPr>
          <w:trHeight w:val="180"/>
          <w:jc w:val="center"/>
        </w:trPr>
        <w:tc>
          <w:tcPr>
            <w:tcW w:w="3194" w:type="dxa"/>
            <w:tcBorders>
              <w:top w:val="nil"/>
              <w:left w:val="single" w:sz="8" w:space="0" w:color="auto"/>
              <w:bottom w:val="single" w:sz="4" w:space="0" w:color="auto"/>
              <w:right w:val="single" w:sz="4" w:space="0" w:color="auto"/>
            </w:tcBorders>
            <w:shd w:val="clear" w:color="000000" w:fill="FFFFFF"/>
            <w:noWrap/>
            <w:vAlign w:val="bottom"/>
            <w:hideMark/>
          </w:tcPr>
          <w:p w14:paraId="48BAF332" w14:textId="65C2575D" w:rsidR="005F2EE7" w:rsidRPr="00D91DA7" w:rsidRDefault="00F65AF6" w:rsidP="0042480D">
            <w:pPr>
              <w:ind w:firstLineChars="200" w:firstLine="400"/>
              <w:rPr>
                <w:color w:val="000000"/>
                <w:sz w:val="20"/>
                <w:szCs w:val="22"/>
                <w:lang w:val="es-GT" w:eastAsia="es-GT"/>
              </w:rPr>
            </w:pPr>
            <w:r>
              <w:rPr>
                <w:color w:val="000000"/>
                <w:sz w:val="20"/>
                <w:szCs w:val="22"/>
                <w:lang w:val="es-GT" w:eastAsia="es-GT"/>
              </w:rPr>
              <w:t>Saldo de</w:t>
            </w:r>
            <w:r w:rsidR="005F2EE7" w:rsidRPr="00D91DA7">
              <w:rPr>
                <w:color w:val="000000"/>
                <w:sz w:val="20"/>
                <w:szCs w:val="22"/>
                <w:lang w:val="es-GT" w:eastAsia="es-GT"/>
              </w:rPr>
              <w:t xml:space="preserve"> Colocaciones Externas</w:t>
            </w:r>
          </w:p>
        </w:tc>
        <w:tc>
          <w:tcPr>
            <w:tcW w:w="1191" w:type="dxa"/>
            <w:tcBorders>
              <w:top w:val="nil"/>
              <w:left w:val="single" w:sz="4" w:space="0" w:color="auto"/>
              <w:bottom w:val="single" w:sz="4" w:space="0" w:color="auto"/>
              <w:right w:val="single" w:sz="4" w:space="0" w:color="auto"/>
            </w:tcBorders>
            <w:shd w:val="clear" w:color="000000" w:fill="FFFFFF"/>
            <w:noWrap/>
            <w:vAlign w:val="bottom"/>
            <w:hideMark/>
          </w:tcPr>
          <w:p w14:paraId="4710AA18"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0.0 </w:t>
            </w:r>
          </w:p>
        </w:tc>
        <w:tc>
          <w:tcPr>
            <w:tcW w:w="1134" w:type="dxa"/>
            <w:tcBorders>
              <w:top w:val="nil"/>
              <w:left w:val="single" w:sz="4" w:space="0" w:color="auto"/>
              <w:bottom w:val="nil"/>
              <w:right w:val="single" w:sz="4" w:space="0" w:color="auto"/>
            </w:tcBorders>
            <w:shd w:val="clear" w:color="000000" w:fill="FFFFFF"/>
            <w:noWrap/>
            <w:vAlign w:val="bottom"/>
            <w:hideMark/>
          </w:tcPr>
          <w:p w14:paraId="655A27E5"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129.6 </w:t>
            </w:r>
          </w:p>
        </w:tc>
        <w:tc>
          <w:tcPr>
            <w:tcW w:w="1134" w:type="dxa"/>
            <w:tcBorders>
              <w:top w:val="nil"/>
              <w:left w:val="nil"/>
              <w:bottom w:val="nil"/>
              <w:right w:val="single" w:sz="4" w:space="0" w:color="auto"/>
            </w:tcBorders>
            <w:shd w:val="clear" w:color="000000" w:fill="FFFFFF"/>
            <w:noWrap/>
            <w:vAlign w:val="bottom"/>
            <w:hideMark/>
          </w:tcPr>
          <w:p w14:paraId="4EB9597A"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129.6 </w:t>
            </w:r>
          </w:p>
        </w:tc>
        <w:tc>
          <w:tcPr>
            <w:tcW w:w="1134" w:type="dxa"/>
            <w:tcBorders>
              <w:top w:val="nil"/>
              <w:left w:val="single" w:sz="4" w:space="0" w:color="auto"/>
              <w:bottom w:val="single" w:sz="4" w:space="0" w:color="auto"/>
              <w:right w:val="single" w:sz="8" w:space="0" w:color="auto"/>
            </w:tcBorders>
            <w:shd w:val="clear" w:color="000000" w:fill="FFFFFF"/>
            <w:noWrap/>
            <w:vAlign w:val="bottom"/>
            <w:hideMark/>
          </w:tcPr>
          <w:p w14:paraId="37AA7CA1" w14:textId="77777777" w:rsidR="005F2EE7" w:rsidRPr="00D91DA7" w:rsidRDefault="005F2EE7" w:rsidP="0042480D">
            <w:pPr>
              <w:rPr>
                <w:color w:val="000000"/>
                <w:sz w:val="20"/>
                <w:szCs w:val="22"/>
                <w:lang w:val="es-GT" w:eastAsia="es-GT"/>
              </w:rPr>
            </w:pPr>
            <w:r w:rsidRPr="00D91DA7">
              <w:rPr>
                <w:color w:val="000000"/>
                <w:sz w:val="20"/>
                <w:szCs w:val="22"/>
                <w:lang w:val="es-GT" w:eastAsia="es-GT"/>
              </w:rPr>
              <w:t> </w:t>
            </w:r>
          </w:p>
        </w:tc>
        <w:tc>
          <w:tcPr>
            <w:tcW w:w="1134" w:type="dxa"/>
            <w:tcBorders>
              <w:top w:val="nil"/>
              <w:left w:val="single" w:sz="8" w:space="0" w:color="auto"/>
              <w:bottom w:val="single" w:sz="4" w:space="0" w:color="auto"/>
              <w:right w:val="single" w:sz="8" w:space="0" w:color="auto"/>
            </w:tcBorders>
            <w:shd w:val="clear" w:color="000000" w:fill="FFFFFF"/>
            <w:noWrap/>
            <w:vAlign w:val="bottom"/>
            <w:hideMark/>
          </w:tcPr>
          <w:p w14:paraId="227C0821"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5.9%</w:t>
            </w:r>
          </w:p>
        </w:tc>
      </w:tr>
      <w:tr w:rsidR="005F2EE7" w:rsidRPr="00D91DA7" w14:paraId="6B4B2A66"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2D277634" w14:textId="7E648DC0" w:rsidR="005F2EE7" w:rsidRPr="00D91DA7" w:rsidRDefault="005F2EE7" w:rsidP="0042480D">
            <w:pPr>
              <w:rPr>
                <w:b/>
                <w:bCs/>
                <w:color w:val="000000"/>
                <w:sz w:val="20"/>
                <w:szCs w:val="22"/>
                <w:lang w:val="es-GT" w:eastAsia="es-GT"/>
              </w:rPr>
            </w:pPr>
            <w:r w:rsidRPr="00D91DA7">
              <w:rPr>
                <w:b/>
                <w:bCs/>
                <w:color w:val="000000"/>
                <w:sz w:val="20"/>
                <w:szCs w:val="22"/>
                <w:lang w:val="es-GT" w:eastAsia="es-GT"/>
              </w:rPr>
              <w:t xml:space="preserve">Total </w:t>
            </w:r>
            <w:r w:rsidR="00F65AF6">
              <w:rPr>
                <w:b/>
                <w:bCs/>
                <w:color w:val="000000"/>
                <w:sz w:val="20"/>
                <w:szCs w:val="22"/>
                <w:lang w:val="es-GT" w:eastAsia="es-GT"/>
              </w:rPr>
              <w:t>D</w:t>
            </w:r>
            <w:r w:rsidRPr="00D91DA7">
              <w:rPr>
                <w:b/>
                <w:bCs/>
                <w:color w:val="000000"/>
                <w:sz w:val="20"/>
                <w:szCs w:val="22"/>
                <w:lang w:val="es-GT" w:eastAsia="es-GT"/>
              </w:rPr>
              <w:t>onaciones</w:t>
            </w:r>
          </w:p>
        </w:tc>
        <w:tc>
          <w:tcPr>
            <w:tcW w:w="1191" w:type="dxa"/>
            <w:tcBorders>
              <w:top w:val="nil"/>
              <w:left w:val="single" w:sz="4" w:space="0" w:color="auto"/>
              <w:bottom w:val="nil"/>
              <w:right w:val="single" w:sz="4" w:space="0" w:color="auto"/>
            </w:tcBorders>
            <w:shd w:val="clear" w:color="000000" w:fill="FFFFFF"/>
            <w:noWrap/>
            <w:vAlign w:val="bottom"/>
            <w:hideMark/>
          </w:tcPr>
          <w:p w14:paraId="5DEE801B"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121.1 </w:t>
            </w:r>
          </w:p>
        </w:tc>
        <w:tc>
          <w:tcPr>
            <w:tcW w:w="1134" w:type="dxa"/>
            <w:tcBorders>
              <w:top w:val="single" w:sz="4" w:space="0" w:color="auto"/>
              <w:left w:val="single" w:sz="4" w:space="0" w:color="auto"/>
              <w:bottom w:val="nil"/>
              <w:right w:val="single" w:sz="4" w:space="0" w:color="auto"/>
            </w:tcBorders>
            <w:shd w:val="clear" w:color="000000" w:fill="FFFFFF"/>
            <w:noWrap/>
            <w:vAlign w:val="bottom"/>
            <w:hideMark/>
          </w:tcPr>
          <w:p w14:paraId="21B57622"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23.0 </w:t>
            </w:r>
          </w:p>
        </w:tc>
        <w:tc>
          <w:tcPr>
            <w:tcW w:w="1134" w:type="dxa"/>
            <w:tcBorders>
              <w:top w:val="single" w:sz="4" w:space="0" w:color="auto"/>
              <w:left w:val="nil"/>
              <w:bottom w:val="nil"/>
              <w:right w:val="single" w:sz="4" w:space="0" w:color="auto"/>
            </w:tcBorders>
            <w:shd w:val="clear" w:color="000000" w:fill="FFFFFF"/>
            <w:noWrap/>
            <w:vAlign w:val="bottom"/>
            <w:hideMark/>
          </w:tcPr>
          <w:p w14:paraId="4981C686"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 xml:space="preserve">-98.2 </w:t>
            </w:r>
          </w:p>
        </w:tc>
        <w:tc>
          <w:tcPr>
            <w:tcW w:w="1134" w:type="dxa"/>
            <w:tcBorders>
              <w:top w:val="nil"/>
              <w:left w:val="single" w:sz="4" w:space="0" w:color="auto"/>
              <w:bottom w:val="nil"/>
              <w:right w:val="single" w:sz="8" w:space="0" w:color="auto"/>
            </w:tcBorders>
            <w:shd w:val="clear" w:color="000000" w:fill="FFFFFF"/>
            <w:noWrap/>
            <w:vAlign w:val="bottom"/>
            <w:hideMark/>
          </w:tcPr>
          <w:p w14:paraId="12A9EA29"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-81.0%</w:t>
            </w:r>
          </w:p>
        </w:tc>
        <w:tc>
          <w:tcPr>
            <w:tcW w:w="1134" w:type="dxa"/>
            <w:tcBorders>
              <w:top w:val="nil"/>
              <w:left w:val="nil"/>
              <w:bottom w:val="nil"/>
              <w:right w:val="single" w:sz="8" w:space="0" w:color="auto"/>
            </w:tcBorders>
            <w:shd w:val="clear" w:color="000000" w:fill="FFFFFF"/>
            <w:noWrap/>
            <w:vAlign w:val="bottom"/>
            <w:hideMark/>
          </w:tcPr>
          <w:p w14:paraId="1B88D474" w14:textId="77777777" w:rsidR="005F2EE7" w:rsidRPr="00D91DA7" w:rsidRDefault="005F2EE7" w:rsidP="0042480D">
            <w:pPr>
              <w:jc w:val="right"/>
              <w:rPr>
                <w:b/>
                <w:bCs/>
                <w:color w:val="000000"/>
                <w:sz w:val="20"/>
                <w:szCs w:val="22"/>
                <w:lang w:val="es-GT" w:eastAsia="es-GT"/>
              </w:rPr>
            </w:pPr>
            <w:r w:rsidRPr="00D91DA7">
              <w:rPr>
                <w:b/>
                <w:bCs/>
                <w:color w:val="000000"/>
                <w:sz w:val="20"/>
                <w:szCs w:val="22"/>
                <w:lang w:val="es-GT" w:eastAsia="es-GT"/>
              </w:rPr>
              <w:t>0.04%</w:t>
            </w:r>
          </w:p>
        </w:tc>
      </w:tr>
      <w:tr w:rsidR="005F2EE7" w:rsidRPr="00D91DA7" w14:paraId="32FA3620" w14:textId="77777777" w:rsidTr="00D91DA7">
        <w:trPr>
          <w:trHeight w:val="180"/>
          <w:jc w:val="center"/>
        </w:trPr>
        <w:tc>
          <w:tcPr>
            <w:tcW w:w="3194" w:type="dxa"/>
            <w:tcBorders>
              <w:top w:val="nil"/>
              <w:left w:val="single" w:sz="8" w:space="0" w:color="auto"/>
              <w:bottom w:val="nil"/>
              <w:right w:val="single" w:sz="4" w:space="0" w:color="auto"/>
            </w:tcBorders>
            <w:shd w:val="clear" w:color="000000" w:fill="FFFFFF"/>
            <w:noWrap/>
            <w:vAlign w:val="bottom"/>
            <w:hideMark/>
          </w:tcPr>
          <w:p w14:paraId="3DA6771A"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Donaciones Externas</w:t>
            </w:r>
          </w:p>
        </w:tc>
        <w:tc>
          <w:tcPr>
            <w:tcW w:w="1191" w:type="dxa"/>
            <w:tcBorders>
              <w:top w:val="nil"/>
              <w:left w:val="single" w:sz="4" w:space="0" w:color="auto"/>
              <w:bottom w:val="nil"/>
              <w:right w:val="single" w:sz="4" w:space="0" w:color="auto"/>
            </w:tcBorders>
            <w:shd w:val="clear" w:color="000000" w:fill="FFFFFF"/>
            <w:noWrap/>
            <w:vAlign w:val="bottom"/>
            <w:hideMark/>
          </w:tcPr>
          <w:p w14:paraId="3633F796"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120.4 </w:t>
            </w:r>
          </w:p>
        </w:tc>
        <w:tc>
          <w:tcPr>
            <w:tcW w:w="1134" w:type="dxa"/>
            <w:tcBorders>
              <w:top w:val="nil"/>
              <w:left w:val="single" w:sz="4" w:space="0" w:color="auto"/>
              <w:bottom w:val="nil"/>
              <w:right w:val="single" w:sz="4" w:space="0" w:color="auto"/>
            </w:tcBorders>
            <w:shd w:val="clear" w:color="000000" w:fill="FFFFFF"/>
            <w:noWrap/>
            <w:vAlign w:val="bottom"/>
            <w:hideMark/>
          </w:tcPr>
          <w:p w14:paraId="02AE18DA"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21.5 </w:t>
            </w:r>
          </w:p>
        </w:tc>
        <w:tc>
          <w:tcPr>
            <w:tcW w:w="1134" w:type="dxa"/>
            <w:tcBorders>
              <w:top w:val="nil"/>
              <w:left w:val="nil"/>
              <w:bottom w:val="nil"/>
              <w:right w:val="single" w:sz="4" w:space="0" w:color="auto"/>
            </w:tcBorders>
            <w:shd w:val="clear" w:color="000000" w:fill="FFFFFF"/>
            <w:noWrap/>
            <w:vAlign w:val="bottom"/>
            <w:hideMark/>
          </w:tcPr>
          <w:p w14:paraId="6BFC1120"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-98.9 </w:t>
            </w:r>
          </w:p>
        </w:tc>
        <w:tc>
          <w:tcPr>
            <w:tcW w:w="1134" w:type="dxa"/>
            <w:tcBorders>
              <w:top w:val="nil"/>
              <w:left w:val="single" w:sz="4" w:space="0" w:color="auto"/>
              <w:bottom w:val="nil"/>
              <w:right w:val="single" w:sz="8" w:space="0" w:color="auto"/>
            </w:tcBorders>
            <w:shd w:val="clear" w:color="000000" w:fill="FFFFFF"/>
            <w:noWrap/>
            <w:vAlign w:val="bottom"/>
            <w:hideMark/>
          </w:tcPr>
          <w:p w14:paraId="4029DFBB"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-82.2%</w:t>
            </w:r>
          </w:p>
        </w:tc>
        <w:tc>
          <w:tcPr>
            <w:tcW w:w="1134" w:type="dxa"/>
            <w:tcBorders>
              <w:top w:val="nil"/>
              <w:left w:val="nil"/>
              <w:bottom w:val="nil"/>
              <w:right w:val="single" w:sz="8" w:space="0" w:color="auto"/>
            </w:tcBorders>
            <w:shd w:val="clear" w:color="000000" w:fill="FFFFFF"/>
            <w:noWrap/>
            <w:vAlign w:val="bottom"/>
            <w:hideMark/>
          </w:tcPr>
          <w:p w14:paraId="2178D117"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0.04%</w:t>
            </w:r>
          </w:p>
        </w:tc>
      </w:tr>
      <w:tr w:rsidR="005F2EE7" w:rsidRPr="00D91DA7" w14:paraId="559A9AA9" w14:textId="77777777" w:rsidTr="00D91DA7">
        <w:trPr>
          <w:trHeight w:val="180"/>
          <w:jc w:val="center"/>
        </w:trPr>
        <w:tc>
          <w:tcPr>
            <w:tcW w:w="3194" w:type="dxa"/>
            <w:tcBorders>
              <w:top w:val="nil"/>
              <w:left w:val="single" w:sz="8" w:space="0" w:color="auto"/>
              <w:bottom w:val="single" w:sz="8" w:space="0" w:color="auto"/>
              <w:right w:val="single" w:sz="4" w:space="0" w:color="auto"/>
            </w:tcBorders>
            <w:shd w:val="clear" w:color="000000" w:fill="FFFFFF"/>
            <w:noWrap/>
            <w:vAlign w:val="bottom"/>
            <w:hideMark/>
          </w:tcPr>
          <w:p w14:paraId="43FB2A23" w14:textId="77777777" w:rsidR="005F2EE7" w:rsidRPr="00D91DA7" w:rsidRDefault="005F2EE7" w:rsidP="0042480D">
            <w:pPr>
              <w:ind w:firstLineChars="200" w:firstLine="400"/>
              <w:rPr>
                <w:color w:val="000000"/>
                <w:sz w:val="20"/>
                <w:szCs w:val="22"/>
                <w:lang w:val="es-GT" w:eastAsia="es-GT"/>
              </w:rPr>
            </w:pPr>
            <w:r w:rsidRPr="00D91DA7">
              <w:rPr>
                <w:color w:val="000000"/>
                <w:sz w:val="20"/>
                <w:szCs w:val="22"/>
                <w:lang w:val="es-GT" w:eastAsia="es-GT"/>
              </w:rPr>
              <w:t>Donaciones Internas</w:t>
            </w:r>
          </w:p>
        </w:tc>
        <w:tc>
          <w:tcPr>
            <w:tcW w:w="1191" w:type="dxa"/>
            <w:tcBorders>
              <w:top w:val="nil"/>
              <w:left w:val="single" w:sz="4" w:space="0" w:color="auto"/>
              <w:bottom w:val="single" w:sz="8" w:space="0" w:color="auto"/>
              <w:right w:val="single" w:sz="4" w:space="0" w:color="auto"/>
            </w:tcBorders>
            <w:shd w:val="clear" w:color="000000" w:fill="FFFFFF"/>
            <w:noWrap/>
            <w:vAlign w:val="bottom"/>
            <w:hideMark/>
          </w:tcPr>
          <w:p w14:paraId="158C699E"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0.8 </w:t>
            </w:r>
          </w:p>
        </w:tc>
        <w:tc>
          <w:tcPr>
            <w:tcW w:w="1134" w:type="dxa"/>
            <w:tcBorders>
              <w:top w:val="nil"/>
              <w:left w:val="single" w:sz="4" w:space="0" w:color="auto"/>
              <w:bottom w:val="single" w:sz="8" w:space="0" w:color="auto"/>
              <w:right w:val="single" w:sz="4" w:space="0" w:color="auto"/>
            </w:tcBorders>
            <w:shd w:val="clear" w:color="000000" w:fill="FFFFFF"/>
            <w:noWrap/>
            <w:vAlign w:val="bottom"/>
            <w:hideMark/>
          </w:tcPr>
          <w:p w14:paraId="46BC9143"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1.5 </w:t>
            </w:r>
          </w:p>
        </w:tc>
        <w:tc>
          <w:tcPr>
            <w:tcW w:w="1134" w:type="dxa"/>
            <w:tcBorders>
              <w:top w:val="nil"/>
              <w:left w:val="nil"/>
              <w:bottom w:val="single" w:sz="8" w:space="0" w:color="auto"/>
              <w:right w:val="single" w:sz="4" w:space="0" w:color="auto"/>
            </w:tcBorders>
            <w:shd w:val="clear" w:color="000000" w:fill="FFFFFF"/>
            <w:noWrap/>
            <w:vAlign w:val="bottom"/>
            <w:hideMark/>
          </w:tcPr>
          <w:p w14:paraId="4B1DA064"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 xml:space="preserve">0.7 </w:t>
            </w:r>
          </w:p>
        </w:tc>
        <w:tc>
          <w:tcPr>
            <w:tcW w:w="1134" w:type="dxa"/>
            <w:tcBorders>
              <w:top w:val="nil"/>
              <w:left w:val="single" w:sz="4" w:space="0" w:color="auto"/>
              <w:bottom w:val="single" w:sz="8" w:space="0" w:color="auto"/>
              <w:right w:val="single" w:sz="8" w:space="0" w:color="auto"/>
            </w:tcBorders>
            <w:shd w:val="clear" w:color="000000" w:fill="FFFFFF"/>
            <w:noWrap/>
            <w:vAlign w:val="bottom"/>
            <w:hideMark/>
          </w:tcPr>
          <w:p w14:paraId="4A9EE921"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94.6%</w:t>
            </w:r>
          </w:p>
        </w:tc>
        <w:tc>
          <w:tcPr>
            <w:tcW w:w="1134" w:type="dxa"/>
            <w:tcBorders>
              <w:top w:val="nil"/>
              <w:left w:val="nil"/>
              <w:bottom w:val="single" w:sz="8" w:space="0" w:color="auto"/>
              <w:right w:val="single" w:sz="8" w:space="0" w:color="auto"/>
            </w:tcBorders>
            <w:shd w:val="clear" w:color="000000" w:fill="FFFFFF"/>
            <w:noWrap/>
            <w:vAlign w:val="bottom"/>
            <w:hideMark/>
          </w:tcPr>
          <w:p w14:paraId="4D6277CC" w14:textId="77777777" w:rsidR="005F2EE7" w:rsidRPr="00D91DA7" w:rsidRDefault="005F2EE7" w:rsidP="0042480D">
            <w:pPr>
              <w:jc w:val="right"/>
              <w:rPr>
                <w:color w:val="000000"/>
                <w:sz w:val="20"/>
                <w:szCs w:val="22"/>
                <w:lang w:val="es-GT" w:eastAsia="es-GT"/>
              </w:rPr>
            </w:pPr>
            <w:r w:rsidRPr="00D91DA7">
              <w:rPr>
                <w:color w:val="000000"/>
                <w:sz w:val="20"/>
                <w:szCs w:val="22"/>
                <w:lang w:val="es-GT" w:eastAsia="es-GT"/>
              </w:rPr>
              <w:t>0.00%</w:t>
            </w:r>
          </w:p>
        </w:tc>
      </w:tr>
    </w:tbl>
    <w:p w14:paraId="272C1F29" w14:textId="77777777" w:rsidR="005F2EE7" w:rsidRPr="008B33DA" w:rsidRDefault="005F2EE7" w:rsidP="005F2EE7">
      <w:pPr>
        <w:rPr>
          <w:sz w:val="18"/>
          <w:lang w:val="es-MX"/>
        </w:rPr>
      </w:pPr>
      <w:r w:rsidRPr="008B33DA">
        <w:rPr>
          <w:sz w:val="18"/>
          <w:lang w:val="es-MX"/>
        </w:rPr>
        <w:t>* Cifras preliminares</w:t>
      </w:r>
    </w:p>
    <w:p w14:paraId="62B43299" w14:textId="77777777" w:rsidR="005F2EE7" w:rsidRPr="008B33DA" w:rsidRDefault="005F2EE7" w:rsidP="005F2EE7">
      <w:pPr>
        <w:tabs>
          <w:tab w:val="left" w:pos="5954"/>
        </w:tabs>
        <w:rPr>
          <w:sz w:val="18"/>
          <w:lang w:val="es-MX"/>
        </w:rPr>
      </w:pPr>
      <w:r w:rsidRPr="008B33DA">
        <w:rPr>
          <w:sz w:val="18"/>
          <w:lang w:val="es-MX"/>
        </w:rPr>
        <w:t xml:space="preserve">   Fuente: Ministerio de Finanzas Públicas con base al SICOIN.</w:t>
      </w:r>
    </w:p>
    <w:p w14:paraId="3605F518" w14:textId="77777777" w:rsidR="005F2EE7" w:rsidRPr="008B33DA" w:rsidRDefault="005F2EE7" w:rsidP="005F2EE7">
      <w:pPr>
        <w:jc w:val="both"/>
        <w:rPr>
          <w:sz w:val="32"/>
          <w:lang w:val="es-MX"/>
        </w:rPr>
      </w:pPr>
    </w:p>
    <w:p w14:paraId="1D986792" w14:textId="7E5A82BF" w:rsidR="005F2EE7" w:rsidRPr="008B33DA" w:rsidRDefault="005F2EE7" w:rsidP="005F2EE7">
      <w:pPr>
        <w:jc w:val="both"/>
        <w:rPr>
          <w:lang w:val="es-MX"/>
        </w:rPr>
      </w:pPr>
      <w:r w:rsidRPr="008B33DA">
        <w:rPr>
          <w:lang w:val="es-MX"/>
        </w:rPr>
        <w:t>Al observar las variaciones netas de la ejecución presupuestaria por entidad y fuente</w:t>
      </w:r>
      <w:r w:rsidR="00EC7AD7">
        <w:rPr>
          <w:lang w:val="es-MX"/>
        </w:rPr>
        <w:t>s internas</w:t>
      </w:r>
      <w:r w:rsidRPr="008B33DA">
        <w:rPr>
          <w:lang w:val="es-MX"/>
        </w:rPr>
        <w:t xml:space="preserve"> de financiamiento, las diferencias más importantes se ubican en las Obligaciones del Estado a Cargo del Tesoro, con un aumento en su ejecución de Q.3,472.7 millones; los Servicios de la Deuda Pública tuvo un aumento por valor de Q.1,661.6 millones; el Ministerio de Educación de Q.909.3 millones; el Ministerio de Comunicaciones, Infraestructura y Vivienda de Q.2,873.6 millones; el Ministerio de Gobernación tuvo un aumento de Q</w:t>
      </w:r>
      <w:r w:rsidR="00EC7AD7">
        <w:rPr>
          <w:lang w:val="es-MX"/>
        </w:rPr>
        <w:t>.</w:t>
      </w:r>
      <w:r w:rsidRPr="008B33DA">
        <w:rPr>
          <w:lang w:val="es-MX"/>
        </w:rPr>
        <w:t>586.8 millones; el Ministerio de Salud Pública y Asistencia Social de Q</w:t>
      </w:r>
      <w:r w:rsidR="00EC7AD7">
        <w:rPr>
          <w:lang w:val="es-MX"/>
        </w:rPr>
        <w:t>.</w:t>
      </w:r>
      <w:r w:rsidRPr="008B33DA">
        <w:rPr>
          <w:lang w:val="es-MX"/>
        </w:rPr>
        <w:t xml:space="preserve">480.9 millones; el Ministerio de la Defensa </w:t>
      </w:r>
      <w:r w:rsidR="00EC7AD7">
        <w:rPr>
          <w:lang w:val="es-MX"/>
        </w:rPr>
        <w:t xml:space="preserve">Nacional </w:t>
      </w:r>
      <w:r w:rsidRPr="008B33DA">
        <w:rPr>
          <w:lang w:val="es-MX"/>
        </w:rPr>
        <w:t xml:space="preserve">también se ubica entre las entidades que aumentaron su ejecución respecto </w:t>
      </w:r>
      <w:r w:rsidR="00EC7AD7">
        <w:rPr>
          <w:lang w:val="es-MX"/>
        </w:rPr>
        <w:t>de</w:t>
      </w:r>
      <w:r w:rsidRPr="008B33DA">
        <w:rPr>
          <w:lang w:val="es-MX"/>
        </w:rPr>
        <w:t>l año anterior, con Q</w:t>
      </w:r>
      <w:r w:rsidR="00EC7AD7">
        <w:rPr>
          <w:lang w:val="es-MX"/>
        </w:rPr>
        <w:t>.</w:t>
      </w:r>
      <w:r w:rsidRPr="008B33DA">
        <w:rPr>
          <w:lang w:val="es-MX"/>
        </w:rPr>
        <w:t>236.6 millones</w:t>
      </w:r>
      <w:r w:rsidR="00EC7AD7">
        <w:rPr>
          <w:lang w:val="es-MX"/>
        </w:rPr>
        <w:t>;</w:t>
      </w:r>
      <w:r w:rsidRPr="008B33DA">
        <w:rPr>
          <w:lang w:val="es-MX"/>
        </w:rPr>
        <w:t xml:space="preserve"> el</w:t>
      </w:r>
      <w:r w:rsidR="00EC7AD7">
        <w:rPr>
          <w:lang w:val="es-MX"/>
        </w:rPr>
        <w:t xml:space="preserve"> Ministerio</w:t>
      </w:r>
      <w:r w:rsidRPr="008B33DA">
        <w:rPr>
          <w:lang w:val="es-MX"/>
        </w:rPr>
        <w:t xml:space="preserve"> de Cultura y Deportes con Q</w:t>
      </w:r>
      <w:r w:rsidR="00EC7AD7">
        <w:rPr>
          <w:lang w:val="es-MX"/>
        </w:rPr>
        <w:t>.</w:t>
      </w:r>
      <w:r w:rsidRPr="008B33DA">
        <w:rPr>
          <w:lang w:val="es-MX"/>
        </w:rPr>
        <w:t>200.3 millones</w:t>
      </w:r>
      <w:r w:rsidR="00EC7AD7">
        <w:rPr>
          <w:lang w:val="es-MX"/>
        </w:rPr>
        <w:t>;</w:t>
      </w:r>
      <w:r w:rsidRPr="008B33DA">
        <w:rPr>
          <w:lang w:val="es-MX"/>
        </w:rPr>
        <w:t xml:space="preserve"> el Ministerio de Agricultura</w:t>
      </w:r>
      <w:r w:rsidR="00EC7AD7">
        <w:rPr>
          <w:lang w:val="es-MX"/>
        </w:rPr>
        <w:t>, Ganadería y Alimentación</w:t>
      </w:r>
      <w:r w:rsidRPr="008B33DA">
        <w:rPr>
          <w:lang w:val="es-MX"/>
        </w:rPr>
        <w:t xml:space="preserve"> aumentó su ejecución en Q</w:t>
      </w:r>
      <w:r w:rsidR="00EC7AD7">
        <w:rPr>
          <w:lang w:val="es-MX"/>
        </w:rPr>
        <w:t>.</w:t>
      </w:r>
      <w:r w:rsidRPr="008B33DA">
        <w:rPr>
          <w:lang w:val="es-MX"/>
        </w:rPr>
        <w:t>197.1 millones</w:t>
      </w:r>
      <w:r w:rsidR="00EC7AD7">
        <w:rPr>
          <w:lang w:val="es-MX"/>
        </w:rPr>
        <w:t>;</w:t>
      </w:r>
      <w:r w:rsidRPr="008B33DA">
        <w:rPr>
          <w:lang w:val="es-MX"/>
        </w:rPr>
        <w:t xml:space="preserve"> el Ministerio de Trabajo</w:t>
      </w:r>
      <w:r w:rsidR="00EC7AD7">
        <w:rPr>
          <w:lang w:val="es-MX"/>
        </w:rPr>
        <w:t xml:space="preserve"> y Previsión Social</w:t>
      </w:r>
      <w:r w:rsidRPr="008B33DA">
        <w:rPr>
          <w:lang w:val="es-MX"/>
        </w:rPr>
        <w:t xml:space="preserve"> con Q</w:t>
      </w:r>
      <w:r w:rsidR="00EC7AD7">
        <w:rPr>
          <w:lang w:val="es-MX"/>
        </w:rPr>
        <w:t>.</w:t>
      </w:r>
      <w:r w:rsidRPr="008B33DA">
        <w:rPr>
          <w:lang w:val="es-MX"/>
        </w:rPr>
        <w:t>136.2 millones; el Ministerio de Desarrollo</w:t>
      </w:r>
      <w:r w:rsidR="00EC7AD7">
        <w:rPr>
          <w:lang w:val="es-MX"/>
        </w:rPr>
        <w:t xml:space="preserve"> Social</w:t>
      </w:r>
      <w:r w:rsidRPr="008B33DA">
        <w:rPr>
          <w:lang w:val="es-MX"/>
        </w:rPr>
        <w:t xml:space="preserve"> tuvo un aumento de Q</w:t>
      </w:r>
      <w:r w:rsidR="00EC7AD7">
        <w:rPr>
          <w:lang w:val="es-MX"/>
        </w:rPr>
        <w:t>.</w:t>
      </w:r>
      <w:r w:rsidRPr="008B33DA">
        <w:rPr>
          <w:lang w:val="es-MX"/>
        </w:rPr>
        <w:t xml:space="preserve">323.8 millones; </w:t>
      </w:r>
      <w:r w:rsidR="00EC7AD7">
        <w:rPr>
          <w:lang w:val="es-MX"/>
        </w:rPr>
        <w:t xml:space="preserve">mientras que </w:t>
      </w:r>
      <w:r w:rsidRPr="008B33DA">
        <w:rPr>
          <w:lang w:val="es-MX"/>
        </w:rPr>
        <w:t xml:space="preserve">el resto de aumentos fueron poco significativos y el Ministerio de Energía y Minas tuvo una ejecución menor a la observada en 2022 de Q.1,1971 millones; en virtud que para 2023 ya no hubo subsidio </w:t>
      </w:r>
      <w:r w:rsidR="00EC7AD7">
        <w:rPr>
          <w:lang w:val="es-MX"/>
        </w:rPr>
        <w:t>a los</w:t>
      </w:r>
      <w:r w:rsidRPr="008B33DA">
        <w:rPr>
          <w:lang w:val="es-MX"/>
        </w:rPr>
        <w:t xml:space="preserve"> combustibles.</w:t>
      </w:r>
    </w:p>
    <w:p w14:paraId="7ACA1B4F" w14:textId="77777777" w:rsidR="005F2EE7" w:rsidRPr="008B33DA" w:rsidRDefault="005F2EE7" w:rsidP="005F2EE7">
      <w:pPr>
        <w:jc w:val="both"/>
        <w:rPr>
          <w:sz w:val="32"/>
          <w:lang w:val="es-MX"/>
        </w:rPr>
      </w:pPr>
    </w:p>
    <w:p w14:paraId="3686ACA5" w14:textId="4C188182" w:rsidR="005F2EE7" w:rsidRPr="008B33DA" w:rsidRDefault="005F2EE7" w:rsidP="005F2EE7">
      <w:pPr>
        <w:jc w:val="both"/>
        <w:rPr>
          <w:lang w:val="es-MX"/>
        </w:rPr>
      </w:pPr>
      <w:r w:rsidRPr="008B33DA">
        <w:rPr>
          <w:lang w:val="es-MX"/>
        </w:rPr>
        <w:t>La ejecución presupuestaria con fuentes provenientes de la Deuda Pública fue menor en Q.2,611.0 millones y dentro de las entidades que tuvieron la mayor diferencia, menor a la observada en 2022, se ubican los Servicios de la Deuda Pública con Q.1,136.2 millones, al pasar de una ejecución de Q</w:t>
      </w:r>
      <w:r w:rsidR="006C3123">
        <w:rPr>
          <w:lang w:val="es-MX"/>
        </w:rPr>
        <w:t>.</w:t>
      </w:r>
      <w:r w:rsidRPr="008B33DA">
        <w:rPr>
          <w:lang w:val="es-MX"/>
        </w:rPr>
        <w:t>2,069.3 millones en 2022 a Q</w:t>
      </w:r>
      <w:r w:rsidR="006C3123">
        <w:rPr>
          <w:lang w:val="es-MX"/>
        </w:rPr>
        <w:t>.</w:t>
      </w:r>
      <w:r w:rsidRPr="008B33DA">
        <w:rPr>
          <w:lang w:val="es-MX"/>
        </w:rPr>
        <w:t>933.1 millones en 2023, es decir, que se utilizaron recursos de deuda para pagar deuda en un 43.1% en 2022 y en un 42.7% en 2023; las Obligaciones del Estado</w:t>
      </w:r>
      <w:r w:rsidR="006C3123">
        <w:rPr>
          <w:lang w:val="es-MX"/>
        </w:rPr>
        <w:t xml:space="preserve"> a Cargo del Tesoro</w:t>
      </w:r>
      <w:r w:rsidRPr="008B33DA">
        <w:rPr>
          <w:lang w:val="es-MX"/>
        </w:rPr>
        <w:t xml:space="preserve"> ejecutaron un monto menor en Q</w:t>
      </w:r>
      <w:r w:rsidR="006C3123">
        <w:rPr>
          <w:lang w:val="es-MX"/>
        </w:rPr>
        <w:t>.</w:t>
      </w:r>
      <w:r w:rsidRPr="008B33DA">
        <w:rPr>
          <w:lang w:val="es-MX"/>
        </w:rPr>
        <w:t>853.2 millones</w:t>
      </w:r>
      <w:r w:rsidR="006C3123">
        <w:rPr>
          <w:lang w:val="es-MX"/>
        </w:rPr>
        <w:t>;</w:t>
      </w:r>
      <w:r w:rsidRPr="008B33DA">
        <w:rPr>
          <w:lang w:val="es-MX"/>
        </w:rPr>
        <w:t xml:space="preserve"> el Ministerio de Comunicaciones, Infraestructura y Vivienda con Q.89.8 millones; el Ministerio de Salud </w:t>
      </w:r>
      <w:r w:rsidR="006C3123">
        <w:rPr>
          <w:lang w:val="es-MX"/>
        </w:rPr>
        <w:t xml:space="preserve">Pública y Asistencia Social </w:t>
      </w:r>
      <w:r w:rsidRPr="008B33DA">
        <w:rPr>
          <w:lang w:val="es-MX"/>
        </w:rPr>
        <w:t xml:space="preserve">ejecutó menos con estas fuentes </w:t>
      </w:r>
      <w:r w:rsidR="006C3123">
        <w:rPr>
          <w:lang w:val="es-MX"/>
        </w:rPr>
        <w:t>por</w:t>
      </w:r>
      <w:r w:rsidRPr="008B33DA">
        <w:rPr>
          <w:lang w:val="es-MX"/>
        </w:rPr>
        <w:t xml:space="preserve"> un monto de Q</w:t>
      </w:r>
      <w:r w:rsidR="006C3123">
        <w:rPr>
          <w:lang w:val="es-MX"/>
        </w:rPr>
        <w:t>.</w:t>
      </w:r>
      <w:r w:rsidRPr="008B33DA">
        <w:rPr>
          <w:lang w:val="es-MX"/>
        </w:rPr>
        <w:t xml:space="preserve">505.7 millones; el Ministerio de la Defensa </w:t>
      </w:r>
      <w:r w:rsidR="006C3123">
        <w:rPr>
          <w:lang w:val="es-MX"/>
        </w:rPr>
        <w:t xml:space="preserve">Nacional </w:t>
      </w:r>
      <w:r w:rsidRPr="008B33DA">
        <w:rPr>
          <w:lang w:val="es-MX"/>
        </w:rPr>
        <w:t xml:space="preserve">ejecutó un monto menor a lo observado en 2022 </w:t>
      </w:r>
      <w:r w:rsidR="00621C73">
        <w:rPr>
          <w:lang w:val="es-MX"/>
        </w:rPr>
        <w:t>de</w:t>
      </w:r>
      <w:r w:rsidRPr="008B33DA">
        <w:rPr>
          <w:lang w:val="es-MX"/>
        </w:rPr>
        <w:t xml:space="preserve"> Q</w:t>
      </w:r>
      <w:r w:rsidR="00621C73">
        <w:rPr>
          <w:lang w:val="es-MX"/>
        </w:rPr>
        <w:t>.</w:t>
      </w:r>
      <w:r w:rsidRPr="008B33DA">
        <w:rPr>
          <w:lang w:val="es-MX"/>
        </w:rPr>
        <w:t>243.6 millones; las demás entidades tuvieron diferencias menores.</w:t>
      </w:r>
    </w:p>
    <w:p w14:paraId="679A1506" w14:textId="77777777" w:rsidR="005F2EE7" w:rsidRPr="002211BF" w:rsidRDefault="005F2EE7" w:rsidP="005F2EE7">
      <w:pPr>
        <w:jc w:val="both"/>
        <w:rPr>
          <w:sz w:val="32"/>
          <w:lang w:val="es-MX"/>
        </w:rPr>
      </w:pPr>
    </w:p>
    <w:p w14:paraId="1D257447" w14:textId="77777777" w:rsidR="005F2EE7" w:rsidRPr="008B33DA" w:rsidRDefault="005F2EE7" w:rsidP="005F2EE7">
      <w:pPr>
        <w:jc w:val="center"/>
        <w:rPr>
          <w:b/>
          <w:szCs w:val="22"/>
          <w:lang w:val="es-MX"/>
        </w:rPr>
      </w:pPr>
      <w:r w:rsidRPr="008B33DA">
        <w:rPr>
          <w:b/>
          <w:szCs w:val="22"/>
          <w:lang w:val="es-MX"/>
        </w:rPr>
        <w:t>Cuadro 8</w:t>
      </w:r>
    </w:p>
    <w:p w14:paraId="40EA8D40" w14:textId="77777777" w:rsidR="005F2EE7" w:rsidRPr="008B33DA" w:rsidRDefault="005F2EE7" w:rsidP="005F2EE7">
      <w:pPr>
        <w:jc w:val="center"/>
        <w:rPr>
          <w:b/>
          <w:szCs w:val="22"/>
          <w:lang w:val="es-MX"/>
        </w:rPr>
      </w:pPr>
      <w:r w:rsidRPr="008B33DA">
        <w:rPr>
          <w:b/>
          <w:szCs w:val="22"/>
          <w:lang w:val="es-MX"/>
        </w:rPr>
        <w:t>Ejecución Presupuestaria por Fuente Agrupada de Financiamiento</w:t>
      </w:r>
    </w:p>
    <w:p w14:paraId="0139B8B4" w14:textId="49906E2B" w:rsidR="005F2EE7" w:rsidRPr="008B33DA" w:rsidRDefault="005F2EE7" w:rsidP="005F2EE7">
      <w:pPr>
        <w:jc w:val="center"/>
        <w:rPr>
          <w:b/>
          <w:szCs w:val="22"/>
          <w:lang w:val="es-MX"/>
        </w:rPr>
      </w:pPr>
      <w:r w:rsidRPr="008B33DA">
        <w:rPr>
          <w:b/>
          <w:szCs w:val="22"/>
          <w:lang w:val="es-MX"/>
        </w:rPr>
        <w:t xml:space="preserve">Al 30 de junio de 2022 </w:t>
      </w:r>
      <w:r w:rsidR="005D6F39">
        <w:rPr>
          <w:b/>
          <w:szCs w:val="22"/>
          <w:lang w:val="es-MX"/>
        </w:rPr>
        <w:t>y</w:t>
      </w:r>
      <w:r w:rsidRPr="008B33DA">
        <w:rPr>
          <w:b/>
          <w:szCs w:val="22"/>
          <w:lang w:val="es-MX"/>
        </w:rPr>
        <w:t xml:space="preserve"> 2023*</w:t>
      </w:r>
    </w:p>
    <w:p w14:paraId="1E6F8CD0" w14:textId="77777777" w:rsidR="005F2EE7" w:rsidRPr="008B33DA" w:rsidRDefault="005F2EE7" w:rsidP="005F2EE7">
      <w:pPr>
        <w:jc w:val="center"/>
        <w:rPr>
          <w:sz w:val="18"/>
          <w:lang w:val="es-MX"/>
        </w:rPr>
      </w:pPr>
      <w:r w:rsidRPr="008B33DA">
        <w:rPr>
          <w:b/>
          <w:szCs w:val="22"/>
          <w:lang w:val="es-MX"/>
        </w:rPr>
        <w:t>(En Millones de Quetzales)</w:t>
      </w:r>
    </w:p>
    <w:tbl>
      <w:tblPr>
        <w:tblW w:w="9346" w:type="dxa"/>
        <w:jc w:val="center"/>
        <w:tblCellMar>
          <w:left w:w="70" w:type="dxa"/>
          <w:right w:w="70" w:type="dxa"/>
        </w:tblCellMar>
        <w:tblLook w:val="04A0" w:firstRow="1" w:lastRow="0" w:firstColumn="1" w:lastColumn="0" w:noHBand="0" w:noVBand="1"/>
      </w:tblPr>
      <w:tblGrid>
        <w:gridCol w:w="1550"/>
        <w:gridCol w:w="992"/>
        <w:gridCol w:w="992"/>
        <w:gridCol w:w="912"/>
        <w:gridCol w:w="789"/>
        <w:gridCol w:w="851"/>
        <w:gridCol w:w="882"/>
        <w:gridCol w:w="819"/>
        <w:gridCol w:w="850"/>
        <w:gridCol w:w="709"/>
      </w:tblGrid>
      <w:tr w:rsidR="005F2EE7" w:rsidRPr="00BD10C8" w14:paraId="08CDFEAF" w14:textId="77777777" w:rsidTr="00400B3E">
        <w:trPr>
          <w:trHeight w:val="180"/>
          <w:jc w:val="center"/>
        </w:trPr>
        <w:tc>
          <w:tcPr>
            <w:tcW w:w="1550" w:type="dxa"/>
            <w:vMerge w:val="restart"/>
            <w:tcBorders>
              <w:top w:val="single" w:sz="8" w:space="0" w:color="auto"/>
              <w:left w:val="single" w:sz="8" w:space="0" w:color="auto"/>
              <w:bottom w:val="single" w:sz="4" w:space="0" w:color="000000"/>
              <w:right w:val="single" w:sz="4" w:space="0" w:color="auto"/>
            </w:tcBorders>
            <w:shd w:val="clear" w:color="auto" w:fill="00B0F0"/>
            <w:vAlign w:val="center"/>
            <w:hideMark/>
          </w:tcPr>
          <w:p w14:paraId="3879BC9D"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Entidad</w:t>
            </w:r>
          </w:p>
        </w:tc>
        <w:tc>
          <w:tcPr>
            <w:tcW w:w="2896" w:type="dxa"/>
            <w:gridSpan w:val="3"/>
            <w:tcBorders>
              <w:top w:val="single" w:sz="8" w:space="0" w:color="auto"/>
              <w:left w:val="single" w:sz="4" w:space="0" w:color="auto"/>
              <w:bottom w:val="single" w:sz="4" w:space="0" w:color="auto"/>
              <w:right w:val="single" w:sz="4" w:space="0" w:color="000000"/>
            </w:tcBorders>
            <w:shd w:val="clear" w:color="auto" w:fill="00B0F0"/>
            <w:noWrap/>
            <w:vAlign w:val="bottom"/>
            <w:hideMark/>
          </w:tcPr>
          <w:p w14:paraId="3145A917"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Fuentes Internas</w:t>
            </w:r>
          </w:p>
        </w:tc>
        <w:tc>
          <w:tcPr>
            <w:tcW w:w="2522" w:type="dxa"/>
            <w:gridSpan w:val="3"/>
            <w:tcBorders>
              <w:top w:val="single" w:sz="8" w:space="0" w:color="auto"/>
              <w:left w:val="nil"/>
              <w:bottom w:val="single" w:sz="4" w:space="0" w:color="auto"/>
              <w:right w:val="nil"/>
            </w:tcBorders>
            <w:shd w:val="clear" w:color="auto" w:fill="00B0F0"/>
            <w:noWrap/>
            <w:vAlign w:val="bottom"/>
            <w:hideMark/>
          </w:tcPr>
          <w:p w14:paraId="5874B59D"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Deuda Pública</w:t>
            </w:r>
          </w:p>
        </w:tc>
        <w:tc>
          <w:tcPr>
            <w:tcW w:w="2378" w:type="dxa"/>
            <w:gridSpan w:val="3"/>
            <w:tcBorders>
              <w:top w:val="single" w:sz="8" w:space="0" w:color="auto"/>
              <w:left w:val="single" w:sz="4" w:space="0" w:color="auto"/>
              <w:bottom w:val="single" w:sz="4" w:space="0" w:color="auto"/>
              <w:right w:val="single" w:sz="8" w:space="0" w:color="000000"/>
            </w:tcBorders>
            <w:shd w:val="clear" w:color="auto" w:fill="00B0F0"/>
            <w:noWrap/>
            <w:vAlign w:val="bottom"/>
            <w:hideMark/>
          </w:tcPr>
          <w:p w14:paraId="10683535"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Donaciones</w:t>
            </w:r>
          </w:p>
        </w:tc>
      </w:tr>
      <w:tr w:rsidR="00BD10C8" w:rsidRPr="00BD10C8" w14:paraId="392A3F07" w14:textId="77777777" w:rsidTr="00400B3E">
        <w:trPr>
          <w:trHeight w:val="180"/>
          <w:jc w:val="center"/>
        </w:trPr>
        <w:tc>
          <w:tcPr>
            <w:tcW w:w="1550" w:type="dxa"/>
            <w:vMerge/>
            <w:tcBorders>
              <w:top w:val="single" w:sz="8" w:space="0" w:color="auto"/>
              <w:left w:val="single" w:sz="8" w:space="0" w:color="auto"/>
              <w:bottom w:val="single" w:sz="4" w:space="0" w:color="000000"/>
              <w:right w:val="single" w:sz="4" w:space="0" w:color="auto"/>
            </w:tcBorders>
            <w:shd w:val="clear" w:color="auto" w:fill="37AFD5"/>
            <w:vAlign w:val="center"/>
            <w:hideMark/>
          </w:tcPr>
          <w:p w14:paraId="61B03D8A" w14:textId="77777777" w:rsidR="005F2EE7" w:rsidRPr="00BD10C8" w:rsidRDefault="005F2EE7" w:rsidP="0042480D">
            <w:pPr>
              <w:rPr>
                <w:b/>
                <w:bCs/>
                <w:color w:val="000000"/>
                <w:sz w:val="18"/>
                <w:szCs w:val="18"/>
                <w:lang w:val="es-GT" w:eastAsia="es-GT"/>
              </w:rPr>
            </w:pPr>
          </w:p>
        </w:tc>
        <w:tc>
          <w:tcPr>
            <w:tcW w:w="992"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4135B94A"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2022</w:t>
            </w:r>
          </w:p>
        </w:tc>
        <w:tc>
          <w:tcPr>
            <w:tcW w:w="992"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451223C6"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2023</w:t>
            </w:r>
          </w:p>
        </w:tc>
        <w:tc>
          <w:tcPr>
            <w:tcW w:w="912"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63F33F3D"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Difer</w:t>
            </w:r>
          </w:p>
        </w:tc>
        <w:tc>
          <w:tcPr>
            <w:tcW w:w="789"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05CDFEF9"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2022</w:t>
            </w:r>
          </w:p>
        </w:tc>
        <w:tc>
          <w:tcPr>
            <w:tcW w:w="851"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4ABB5AF1"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2023</w:t>
            </w:r>
          </w:p>
        </w:tc>
        <w:tc>
          <w:tcPr>
            <w:tcW w:w="882"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109CAA24"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Difer</w:t>
            </w:r>
          </w:p>
        </w:tc>
        <w:tc>
          <w:tcPr>
            <w:tcW w:w="819"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6537F1B4"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2022</w:t>
            </w:r>
          </w:p>
        </w:tc>
        <w:tc>
          <w:tcPr>
            <w:tcW w:w="85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2E40834C"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2023</w:t>
            </w:r>
          </w:p>
        </w:tc>
        <w:tc>
          <w:tcPr>
            <w:tcW w:w="709"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7BF9CC94" w14:textId="77777777"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Difer</w:t>
            </w:r>
          </w:p>
        </w:tc>
      </w:tr>
      <w:tr w:rsidR="00F12F8B" w:rsidRPr="00BD10C8" w14:paraId="0D48B8AA"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24C0D3B9" w14:textId="6B68666D" w:rsidR="005F2EE7" w:rsidRPr="00BD10C8" w:rsidRDefault="005F2EE7" w:rsidP="0042480D">
            <w:pPr>
              <w:jc w:val="center"/>
              <w:rPr>
                <w:b/>
                <w:bCs/>
                <w:color w:val="000000"/>
                <w:sz w:val="18"/>
                <w:szCs w:val="18"/>
                <w:lang w:val="es-GT" w:eastAsia="es-GT"/>
              </w:rPr>
            </w:pPr>
            <w:r w:rsidRPr="00BD10C8">
              <w:rPr>
                <w:b/>
                <w:bCs/>
                <w:color w:val="000000"/>
                <w:sz w:val="18"/>
                <w:szCs w:val="18"/>
                <w:lang w:val="es-GT" w:eastAsia="es-GT"/>
              </w:rPr>
              <w:t>Total</w:t>
            </w:r>
          </w:p>
        </w:tc>
        <w:tc>
          <w:tcPr>
            <w:tcW w:w="992" w:type="dxa"/>
            <w:tcBorders>
              <w:top w:val="nil"/>
              <w:left w:val="single" w:sz="4" w:space="0" w:color="auto"/>
              <w:bottom w:val="nil"/>
              <w:right w:val="single" w:sz="4" w:space="0" w:color="auto"/>
            </w:tcBorders>
            <w:shd w:val="clear" w:color="000000" w:fill="FFFFFF"/>
            <w:noWrap/>
            <w:vAlign w:val="bottom"/>
            <w:hideMark/>
          </w:tcPr>
          <w:p w14:paraId="1487346E"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42,600.4</w:t>
            </w:r>
          </w:p>
        </w:tc>
        <w:tc>
          <w:tcPr>
            <w:tcW w:w="992" w:type="dxa"/>
            <w:tcBorders>
              <w:top w:val="nil"/>
              <w:left w:val="single" w:sz="4" w:space="0" w:color="auto"/>
              <w:bottom w:val="nil"/>
              <w:right w:val="single" w:sz="4" w:space="0" w:color="auto"/>
            </w:tcBorders>
            <w:shd w:val="clear" w:color="000000" w:fill="FFFFFF"/>
            <w:noWrap/>
            <w:vAlign w:val="bottom"/>
            <w:hideMark/>
          </w:tcPr>
          <w:p w14:paraId="21F319BC"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52,654.0</w:t>
            </w:r>
          </w:p>
        </w:tc>
        <w:tc>
          <w:tcPr>
            <w:tcW w:w="912" w:type="dxa"/>
            <w:tcBorders>
              <w:top w:val="nil"/>
              <w:left w:val="single" w:sz="4" w:space="0" w:color="auto"/>
              <w:bottom w:val="nil"/>
              <w:right w:val="single" w:sz="4" w:space="0" w:color="auto"/>
            </w:tcBorders>
            <w:shd w:val="clear" w:color="000000" w:fill="FFFFFF"/>
            <w:noWrap/>
            <w:vAlign w:val="bottom"/>
            <w:hideMark/>
          </w:tcPr>
          <w:p w14:paraId="062EF680"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10,053.6</w:t>
            </w:r>
          </w:p>
        </w:tc>
        <w:tc>
          <w:tcPr>
            <w:tcW w:w="789" w:type="dxa"/>
            <w:tcBorders>
              <w:top w:val="nil"/>
              <w:left w:val="single" w:sz="4" w:space="0" w:color="auto"/>
              <w:bottom w:val="nil"/>
              <w:right w:val="single" w:sz="4" w:space="0" w:color="auto"/>
            </w:tcBorders>
            <w:shd w:val="clear" w:color="000000" w:fill="FFFFFF"/>
            <w:noWrap/>
            <w:vAlign w:val="bottom"/>
            <w:hideMark/>
          </w:tcPr>
          <w:p w14:paraId="52B33EA0"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4,797.3</w:t>
            </w:r>
          </w:p>
        </w:tc>
        <w:tc>
          <w:tcPr>
            <w:tcW w:w="851" w:type="dxa"/>
            <w:tcBorders>
              <w:top w:val="nil"/>
              <w:left w:val="single" w:sz="4" w:space="0" w:color="auto"/>
              <w:bottom w:val="nil"/>
              <w:right w:val="single" w:sz="4" w:space="0" w:color="auto"/>
            </w:tcBorders>
            <w:shd w:val="clear" w:color="000000" w:fill="FFFFFF"/>
            <w:noWrap/>
            <w:vAlign w:val="bottom"/>
            <w:hideMark/>
          </w:tcPr>
          <w:p w14:paraId="41766DD2"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2,186.3</w:t>
            </w:r>
          </w:p>
        </w:tc>
        <w:tc>
          <w:tcPr>
            <w:tcW w:w="882" w:type="dxa"/>
            <w:tcBorders>
              <w:top w:val="nil"/>
              <w:left w:val="single" w:sz="4" w:space="0" w:color="auto"/>
              <w:bottom w:val="nil"/>
              <w:right w:val="single" w:sz="4" w:space="0" w:color="auto"/>
            </w:tcBorders>
            <w:shd w:val="clear" w:color="000000" w:fill="FFFFFF"/>
            <w:noWrap/>
            <w:vAlign w:val="bottom"/>
            <w:hideMark/>
          </w:tcPr>
          <w:p w14:paraId="775FE821"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-2,611.0</w:t>
            </w:r>
          </w:p>
        </w:tc>
        <w:tc>
          <w:tcPr>
            <w:tcW w:w="819" w:type="dxa"/>
            <w:tcBorders>
              <w:top w:val="nil"/>
              <w:left w:val="single" w:sz="4" w:space="0" w:color="auto"/>
              <w:bottom w:val="nil"/>
              <w:right w:val="single" w:sz="4" w:space="0" w:color="auto"/>
            </w:tcBorders>
            <w:shd w:val="clear" w:color="000000" w:fill="FFFFFF"/>
            <w:noWrap/>
            <w:vAlign w:val="bottom"/>
            <w:hideMark/>
          </w:tcPr>
          <w:p w14:paraId="355927D6"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121.1</w:t>
            </w:r>
          </w:p>
        </w:tc>
        <w:tc>
          <w:tcPr>
            <w:tcW w:w="850" w:type="dxa"/>
            <w:tcBorders>
              <w:top w:val="nil"/>
              <w:left w:val="single" w:sz="4" w:space="0" w:color="auto"/>
              <w:bottom w:val="nil"/>
              <w:right w:val="single" w:sz="4" w:space="0" w:color="auto"/>
            </w:tcBorders>
            <w:shd w:val="clear" w:color="000000" w:fill="FFFFFF"/>
            <w:noWrap/>
            <w:vAlign w:val="bottom"/>
            <w:hideMark/>
          </w:tcPr>
          <w:p w14:paraId="3859FB4F"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23.0</w:t>
            </w:r>
          </w:p>
        </w:tc>
        <w:tc>
          <w:tcPr>
            <w:tcW w:w="709" w:type="dxa"/>
            <w:tcBorders>
              <w:top w:val="nil"/>
              <w:left w:val="single" w:sz="4" w:space="0" w:color="auto"/>
              <w:bottom w:val="nil"/>
              <w:right w:val="single" w:sz="4" w:space="0" w:color="auto"/>
            </w:tcBorders>
            <w:shd w:val="clear" w:color="000000" w:fill="FFFFFF"/>
            <w:noWrap/>
            <w:vAlign w:val="bottom"/>
            <w:hideMark/>
          </w:tcPr>
          <w:p w14:paraId="6F0AD2DF" w14:textId="77777777" w:rsidR="005F2EE7" w:rsidRPr="00BD10C8" w:rsidRDefault="005F2EE7" w:rsidP="00F12F8B">
            <w:pPr>
              <w:jc w:val="right"/>
              <w:rPr>
                <w:b/>
                <w:bCs/>
                <w:color w:val="000000"/>
                <w:sz w:val="18"/>
                <w:szCs w:val="18"/>
                <w:lang w:val="es-GT" w:eastAsia="es-GT"/>
              </w:rPr>
            </w:pPr>
            <w:r w:rsidRPr="00BD10C8">
              <w:rPr>
                <w:b/>
                <w:bCs/>
                <w:color w:val="000000"/>
                <w:sz w:val="18"/>
                <w:szCs w:val="18"/>
                <w:lang w:val="es-GT" w:eastAsia="es-GT"/>
              </w:rPr>
              <w:t>-98.2</w:t>
            </w:r>
          </w:p>
        </w:tc>
      </w:tr>
      <w:tr w:rsidR="00BD10C8" w:rsidRPr="00BD10C8" w14:paraId="09B02ED9"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39E10AC7"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Presidencia</w:t>
            </w:r>
          </w:p>
        </w:tc>
        <w:tc>
          <w:tcPr>
            <w:tcW w:w="992" w:type="dxa"/>
            <w:tcBorders>
              <w:top w:val="nil"/>
              <w:left w:val="single" w:sz="4" w:space="0" w:color="auto"/>
              <w:bottom w:val="nil"/>
              <w:right w:val="single" w:sz="4" w:space="0" w:color="auto"/>
            </w:tcBorders>
            <w:shd w:val="clear" w:color="000000" w:fill="FFFFFF"/>
            <w:noWrap/>
            <w:vAlign w:val="bottom"/>
            <w:hideMark/>
          </w:tcPr>
          <w:p w14:paraId="096756E7"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94.4</w:t>
            </w:r>
          </w:p>
        </w:tc>
        <w:tc>
          <w:tcPr>
            <w:tcW w:w="992" w:type="dxa"/>
            <w:tcBorders>
              <w:top w:val="nil"/>
              <w:left w:val="single" w:sz="4" w:space="0" w:color="auto"/>
              <w:bottom w:val="nil"/>
              <w:right w:val="single" w:sz="4" w:space="0" w:color="auto"/>
            </w:tcBorders>
            <w:shd w:val="clear" w:color="000000" w:fill="FFFFFF"/>
            <w:noWrap/>
            <w:vAlign w:val="bottom"/>
            <w:hideMark/>
          </w:tcPr>
          <w:p w14:paraId="5C7D90E4"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93.5</w:t>
            </w:r>
          </w:p>
        </w:tc>
        <w:tc>
          <w:tcPr>
            <w:tcW w:w="912" w:type="dxa"/>
            <w:tcBorders>
              <w:top w:val="nil"/>
              <w:left w:val="single" w:sz="4" w:space="0" w:color="auto"/>
              <w:bottom w:val="nil"/>
              <w:right w:val="single" w:sz="4" w:space="0" w:color="auto"/>
            </w:tcBorders>
            <w:shd w:val="clear" w:color="000000" w:fill="FFFFFF"/>
            <w:noWrap/>
            <w:vAlign w:val="bottom"/>
            <w:hideMark/>
          </w:tcPr>
          <w:p w14:paraId="582C64C7"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-1.0</w:t>
            </w:r>
          </w:p>
        </w:tc>
        <w:tc>
          <w:tcPr>
            <w:tcW w:w="789" w:type="dxa"/>
            <w:tcBorders>
              <w:top w:val="nil"/>
              <w:left w:val="single" w:sz="4" w:space="0" w:color="auto"/>
              <w:bottom w:val="nil"/>
              <w:right w:val="single" w:sz="4" w:space="0" w:color="auto"/>
            </w:tcBorders>
            <w:shd w:val="clear" w:color="000000" w:fill="FFFFFF"/>
            <w:noWrap/>
            <w:vAlign w:val="bottom"/>
          </w:tcPr>
          <w:p w14:paraId="3A22F9FD" w14:textId="1B625D1E"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tcPr>
          <w:p w14:paraId="6ADD34A0" w14:textId="5DA4EE99"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4338D689" w14:textId="6C82CCE9"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nil"/>
              <w:right w:val="single" w:sz="4" w:space="0" w:color="auto"/>
            </w:tcBorders>
            <w:shd w:val="clear" w:color="000000" w:fill="FFFFFF"/>
            <w:noWrap/>
            <w:vAlign w:val="bottom"/>
          </w:tcPr>
          <w:p w14:paraId="768B1BB6" w14:textId="7FAB27BF"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tcPr>
          <w:p w14:paraId="51B2FC11" w14:textId="3B59D0C7"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tcPr>
          <w:p w14:paraId="5A7D0831" w14:textId="50111B86" w:rsidR="005F2EE7" w:rsidRPr="00BD10C8" w:rsidRDefault="005F2EE7" w:rsidP="00F12F8B">
            <w:pPr>
              <w:jc w:val="right"/>
              <w:rPr>
                <w:color w:val="000000"/>
                <w:sz w:val="18"/>
                <w:szCs w:val="18"/>
                <w:lang w:val="es-GT" w:eastAsia="es-GT"/>
              </w:rPr>
            </w:pPr>
          </w:p>
        </w:tc>
      </w:tr>
      <w:tr w:rsidR="00BD10C8" w:rsidRPr="00BD10C8" w14:paraId="4B3318D7"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4701F5A7" w14:textId="703718DC" w:rsidR="005F2EE7" w:rsidRPr="00BD10C8" w:rsidRDefault="00EB776A" w:rsidP="0042480D">
            <w:pPr>
              <w:rPr>
                <w:color w:val="000000"/>
                <w:sz w:val="18"/>
                <w:szCs w:val="18"/>
                <w:lang w:val="es-GT" w:eastAsia="es-GT"/>
              </w:rPr>
            </w:pPr>
            <w:r>
              <w:rPr>
                <w:color w:val="000000"/>
                <w:sz w:val="18"/>
                <w:szCs w:val="18"/>
                <w:lang w:val="es-GT" w:eastAsia="es-GT"/>
              </w:rPr>
              <w:t>R. Exteriores</w:t>
            </w:r>
          </w:p>
        </w:tc>
        <w:tc>
          <w:tcPr>
            <w:tcW w:w="992" w:type="dxa"/>
            <w:tcBorders>
              <w:top w:val="nil"/>
              <w:left w:val="single" w:sz="4" w:space="0" w:color="auto"/>
              <w:bottom w:val="nil"/>
              <w:right w:val="single" w:sz="4" w:space="0" w:color="auto"/>
            </w:tcBorders>
            <w:shd w:val="clear" w:color="000000" w:fill="FFFFFF"/>
            <w:noWrap/>
            <w:vAlign w:val="bottom"/>
            <w:hideMark/>
          </w:tcPr>
          <w:p w14:paraId="3139D1B3"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268.9</w:t>
            </w:r>
          </w:p>
        </w:tc>
        <w:tc>
          <w:tcPr>
            <w:tcW w:w="992" w:type="dxa"/>
            <w:tcBorders>
              <w:top w:val="nil"/>
              <w:left w:val="single" w:sz="4" w:space="0" w:color="auto"/>
              <w:bottom w:val="nil"/>
              <w:right w:val="single" w:sz="4" w:space="0" w:color="auto"/>
            </w:tcBorders>
            <w:shd w:val="clear" w:color="000000" w:fill="FFFFFF"/>
            <w:noWrap/>
            <w:vAlign w:val="bottom"/>
            <w:hideMark/>
          </w:tcPr>
          <w:p w14:paraId="122E8530"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321.0</w:t>
            </w:r>
          </w:p>
        </w:tc>
        <w:tc>
          <w:tcPr>
            <w:tcW w:w="912" w:type="dxa"/>
            <w:tcBorders>
              <w:top w:val="nil"/>
              <w:left w:val="single" w:sz="4" w:space="0" w:color="auto"/>
              <w:bottom w:val="nil"/>
              <w:right w:val="single" w:sz="4" w:space="0" w:color="auto"/>
            </w:tcBorders>
            <w:shd w:val="clear" w:color="000000" w:fill="FFFFFF"/>
            <w:noWrap/>
            <w:vAlign w:val="bottom"/>
            <w:hideMark/>
          </w:tcPr>
          <w:p w14:paraId="1DB84F04"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52.1</w:t>
            </w:r>
          </w:p>
        </w:tc>
        <w:tc>
          <w:tcPr>
            <w:tcW w:w="789" w:type="dxa"/>
            <w:tcBorders>
              <w:top w:val="nil"/>
              <w:left w:val="single" w:sz="4" w:space="0" w:color="auto"/>
              <w:bottom w:val="nil"/>
              <w:right w:val="single" w:sz="4" w:space="0" w:color="auto"/>
            </w:tcBorders>
            <w:shd w:val="clear" w:color="000000" w:fill="FFFFFF"/>
            <w:noWrap/>
            <w:vAlign w:val="bottom"/>
          </w:tcPr>
          <w:p w14:paraId="42BC185B" w14:textId="033C7A6D"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tcPr>
          <w:p w14:paraId="44FF34F9" w14:textId="279B1334"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0DA00D1A" w14:textId="233C5467"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nil"/>
              <w:right w:val="single" w:sz="4" w:space="0" w:color="auto"/>
            </w:tcBorders>
            <w:shd w:val="clear" w:color="000000" w:fill="FFFFFF"/>
            <w:noWrap/>
            <w:vAlign w:val="bottom"/>
          </w:tcPr>
          <w:p w14:paraId="50234D5A" w14:textId="427680DA"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tcPr>
          <w:p w14:paraId="755B444B" w14:textId="5B395B75"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tcPr>
          <w:p w14:paraId="4957DFD7" w14:textId="6420D933" w:rsidR="005F2EE7" w:rsidRPr="00BD10C8" w:rsidRDefault="005F2EE7" w:rsidP="00F12F8B">
            <w:pPr>
              <w:jc w:val="right"/>
              <w:rPr>
                <w:color w:val="000000"/>
                <w:sz w:val="18"/>
                <w:szCs w:val="18"/>
                <w:lang w:val="es-GT" w:eastAsia="es-GT"/>
              </w:rPr>
            </w:pPr>
          </w:p>
        </w:tc>
      </w:tr>
      <w:tr w:rsidR="00F12F8B" w:rsidRPr="00BD10C8" w14:paraId="4DA364BB"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024CD2DD"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Gobernación</w:t>
            </w:r>
          </w:p>
        </w:tc>
        <w:tc>
          <w:tcPr>
            <w:tcW w:w="992" w:type="dxa"/>
            <w:tcBorders>
              <w:top w:val="nil"/>
              <w:left w:val="single" w:sz="4" w:space="0" w:color="auto"/>
              <w:bottom w:val="nil"/>
              <w:right w:val="single" w:sz="4" w:space="0" w:color="auto"/>
            </w:tcBorders>
            <w:shd w:val="clear" w:color="000000" w:fill="FFFFFF"/>
            <w:noWrap/>
            <w:vAlign w:val="bottom"/>
            <w:hideMark/>
          </w:tcPr>
          <w:p w14:paraId="58422B32"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2,503.9</w:t>
            </w:r>
          </w:p>
        </w:tc>
        <w:tc>
          <w:tcPr>
            <w:tcW w:w="992" w:type="dxa"/>
            <w:tcBorders>
              <w:top w:val="nil"/>
              <w:left w:val="single" w:sz="4" w:space="0" w:color="auto"/>
              <w:bottom w:val="nil"/>
              <w:right w:val="single" w:sz="4" w:space="0" w:color="auto"/>
            </w:tcBorders>
            <w:shd w:val="clear" w:color="000000" w:fill="FFFFFF"/>
            <w:noWrap/>
            <w:vAlign w:val="bottom"/>
            <w:hideMark/>
          </w:tcPr>
          <w:p w14:paraId="7D7FFEDF"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3,090.7</w:t>
            </w:r>
          </w:p>
        </w:tc>
        <w:tc>
          <w:tcPr>
            <w:tcW w:w="912" w:type="dxa"/>
            <w:tcBorders>
              <w:top w:val="nil"/>
              <w:left w:val="single" w:sz="4" w:space="0" w:color="auto"/>
              <w:bottom w:val="nil"/>
              <w:right w:val="single" w:sz="4" w:space="0" w:color="auto"/>
            </w:tcBorders>
            <w:shd w:val="clear" w:color="000000" w:fill="FFFFFF"/>
            <w:noWrap/>
            <w:vAlign w:val="bottom"/>
            <w:hideMark/>
          </w:tcPr>
          <w:p w14:paraId="32619C76"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586.8</w:t>
            </w:r>
          </w:p>
        </w:tc>
        <w:tc>
          <w:tcPr>
            <w:tcW w:w="789" w:type="dxa"/>
            <w:tcBorders>
              <w:top w:val="nil"/>
              <w:left w:val="single" w:sz="4" w:space="0" w:color="auto"/>
              <w:bottom w:val="nil"/>
              <w:right w:val="single" w:sz="4" w:space="0" w:color="auto"/>
            </w:tcBorders>
            <w:shd w:val="clear" w:color="000000" w:fill="FFFFFF"/>
            <w:noWrap/>
            <w:vAlign w:val="bottom"/>
            <w:hideMark/>
          </w:tcPr>
          <w:p w14:paraId="65BC20A0" w14:textId="101D5C90"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hideMark/>
          </w:tcPr>
          <w:p w14:paraId="7D3C7815" w14:textId="18BADBE7"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48.3 </w:t>
            </w:r>
          </w:p>
        </w:tc>
        <w:tc>
          <w:tcPr>
            <w:tcW w:w="882" w:type="dxa"/>
            <w:tcBorders>
              <w:top w:val="nil"/>
              <w:left w:val="single" w:sz="4" w:space="0" w:color="auto"/>
              <w:bottom w:val="nil"/>
              <w:right w:val="single" w:sz="4" w:space="0" w:color="auto"/>
            </w:tcBorders>
            <w:shd w:val="clear" w:color="000000" w:fill="FFFFFF"/>
            <w:noWrap/>
            <w:vAlign w:val="bottom"/>
            <w:hideMark/>
          </w:tcPr>
          <w:p w14:paraId="13D7B54B"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47.6</w:t>
            </w:r>
          </w:p>
        </w:tc>
        <w:tc>
          <w:tcPr>
            <w:tcW w:w="819" w:type="dxa"/>
            <w:tcBorders>
              <w:top w:val="nil"/>
              <w:left w:val="single" w:sz="4" w:space="0" w:color="auto"/>
              <w:bottom w:val="nil"/>
              <w:right w:val="single" w:sz="4" w:space="0" w:color="auto"/>
            </w:tcBorders>
            <w:shd w:val="clear" w:color="000000" w:fill="FFFFFF"/>
            <w:noWrap/>
            <w:vAlign w:val="bottom"/>
          </w:tcPr>
          <w:p w14:paraId="5552B4DE" w14:textId="61470C4A"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tcPr>
          <w:p w14:paraId="60F19272" w14:textId="6A192255"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tcPr>
          <w:p w14:paraId="2E8C0B89" w14:textId="573A13DE" w:rsidR="005F2EE7" w:rsidRPr="00BD10C8" w:rsidRDefault="005F2EE7" w:rsidP="00F12F8B">
            <w:pPr>
              <w:jc w:val="right"/>
              <w:rPr>
                <w:color w:val="000000"/>
                <w:sz w:val="18"/>
                <w:szCs w:val="18"/>
                <w:lang w:val="es-GT" w:eastAsia="es-GT"/>
              </w:rPr>
            </w:pPr>
          </w:p>
        </w:tc>
      </w:tr>
      <w:tr w:rsidR="00F12F8B" w:rsidRPr="00BD10C8" w14:paraId="6D98268C"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105C2B3C" w14:textId="3A52D64B" w:rsidR="005F2EE7" w:rsidRPr="00BD10C8" w:rsidRDefault="005F2EE7" w:rsidP="0042480D">
            <w:pPr>
              <w:rPr>
                <w:color w:val="000000"/>
                <w:sz w:val="18"/>
                <w:szCs w:val="18"/>
                <w:lang w:val="es-GT" w:eastAsia="es-GT"/>
              </w:rPr>
            </w:pPr>
            <w:r w:rsidRPr="00BD10C8">
              <w:rPr>
                <w:color w:val="000000"/>
                <w:sz w:val="18"/>
                <w:szCs w:val="18"/>
                <w:lang w:val="es-GT" w:eastAsia="es-GT"/>
              </w:rPr>
              <w:t>Defensa</w:t>
            </w:r>
            <w:r w:rsidR="009E0BEB">
              <w:rPr>
                <w:color w:val="000000"/>
                <w:sz w:val="18"/>
                <w:szCs w:val="18"/>
                <w:lang w:val="es-GT" w:eastAsia="es-GT"/>
              </w:rPr>
              <w:t xml:space="preserve"> Nacional</w:t>
            </w:r>
          </w:p>
        </w:tc>
        <w:tc>
          <w:tcPr>
            <w:tcW w:w="992" w:type="dxa"/>
            <w:tcBorders>
              <w:top w:val="nil"/>
              <w:left w:val="single" w:sz="4" w:space="0" w:color="auto"/>
              <w:bottom w:val="nil"/>
              <w:right w:val="single" w:sz="4" w:space="0" w:color="auto"/>
            </w:tcBorders>
            <w:shd w:val="clear" w:color="000000" w:fill="FFFFFF"/>
            <w:noWrap/>
            <w:vAlign w:val="bottom"/>
            <w:hideMark/>
          </w:tcPr>
          <w:p w14:paraId="3AF35358"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1,150.1</w:t>
            </w:r>
          </w:p>
        </w:tc>
        <w:tc>
          <w:tcPr>
            <w:tcW w:w="992" w:type="dxa"/>
            <w:tcBorders>
              <w:top w:val="nil"/>
              <w:left w:val="single" w:sz="4" w:space="0" w:color="auto"/>
              <w:bottom w:val="nil"/>
              <w:right w:val="single" w:sz="4" w:space="0" w:color="auto"/>
            </w:tcBorders>
            <w:shd w:val="clear" w:color="000000" w:fill="FFFFFF"/>
            <w:noWrap/>
            <w:vAlign w:val="bottom"/>
            <w:hideMark/>
          </w:tcPr>
          <w:p w14:paraId="23D139CD"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1,386.7</w:t>
            </w:r>
          </w:p>
        </w:tc>
        <w:tc>
          <w:tcPr>
            <w:tcW w:w="912" w:type="dxa"/>
            <w:tcBorders>
              <w:top w:val="nil"/>
              <w:left w:val="single" w:sz="4" w:space="0" w:color="auto"/>
              <w:bottom w:val="nil"/>
              <w:right w:val="single" w:sz="4" w:space="0" w:color="auto"/>
            </w:tcBorders>
            <w:shd w:val="clear" w:color="000000" w:fill="FFFFFF"/>
            <w:noWrap/>
            <w:vAlign w:val="bottom"/>
            <w:hideMark/>
          </w:tcPr>
          <w:p w14:paraId="2CA3375A"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236.6</w:t>
            </w:r>
          </w:p>
        </w:tc>
        <w:tc>
          <w:tcPr>
            <w:tcW w:w="789" w:type="dxa"/>
            <w:tcBorders>
              <w:top w:val="nil"/>
              <w:left w:val="single" w:sz="4" w:space="0" w:color="auto"/>
              <w:bottom w:val="nil"/>
              <w:right w:val="single" w:sz="4" w:space="0" w:color="auto"/>
            </w:tcBorders>
            <w:shd w:val="clear" w:color="000000" w:fill="FFFFFF"/>
            <w:noWrap/>
            <w:vAlign w:val="bottom"/>
            <w:hideMark/>
          </w:tcPr>
          <w:p w14:paraId="0C8F5549" w14:textId="24B857D6"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243.6 </w:t>
            </w:r>
          </w:p>
        </w:tc>
        <w:tc>
          <w:tcPr>
            <w:tcW w:w="851" w:type="dxa"/>
            <w:tcBorders>
              <w:top w:val="nil"/>
              <w:left w:val="single" w:sz="4" w:space="0" w:color="auto"/>
              <w:bottom w:val="nil"/>
              <w:right w:val="single" w:sz="4" w:space="0" w:color="auto"/>
            </w:tcBorders>
            <w:shd w:val="clear" w:color="000000" w:fill="FFFFFF"/>
            <w:noWrap/>
            <w:vAlign w:val="bottom"/>
            <w:hideMark/>
          </w:tcPr>
          <w:p w14:paraId="71C77FF9" w14:textId="387541C5"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0D8564FA"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-243.6</w:t>
            </w:r>
          </w:p>
        </w:tc>
        <w:tc>
          <w:tcPr>
            <w:tcW w:w="819" w:type="dxa"/>
            <w:tcBorders>
              <w:top w:val="nil"/>
              <w:left w:val="single" w:sz="4" w:space="0" w:color="auto"/>
              <w:bottom w:val="nil"/>
              <w:right w:val="single" w:sz="4" w:space="0" w:color="auto"/>
            </w:tcBorders>
            <w:shd w:val="clear" w:color="000000" w:fill="FFFFFF"/>
            <w:noWrap/>
            <w:vAlign w:val="bottom"/>
            <w:hideMark/>
          </w:tcPr>
          <w:p w14:paraId="517F857D" w14:textId="5B2686CF"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0.4 </w:t>
            </w:r>
          </w:p>
        </w:tc>
        <w:tc>
          <w:tcPr>
            <w:tcW w:w="850" w:type="dxa"/>
            <w:tcBorders>
              <w:top w:val="nil"/>
              <w:left w:val="single" w:sz="4" w:space="0" w:color="auto"/>
              <w:bottom w:val="nil"/>
              <w:right w:val="single" w:sz="4" w:space="0" w:color="auto"/>
            </w:tcBorders>
            <w:shd w:val="clear" w:color="000000" w:fill="FFFFFF"/>
            <w:noWrap/>
            <w:vAlign w:val="bottom"/>
            <w:hideMark/>
          </w:tcPr>
          <w:p w14:paraId="2430EEDE" w14:textId="63793625"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1.2 </w:t>
            </w:r>
          </w:p>
        </w:tc>
        <w:tc>
          <w:tcPr>
            <w:tcW w:w="709" w:type="dxa"/>
            <w:tcBorders>
              <w:top w:val="nil"/>
              <w:left w:val="single" w:sz="4" w:space="0" w:color="auto"/>
              <w:bottom w:val="nil"/>
              <w:right w:val="single" w:sz="4" w:space="0" w:color="auto"/>
            </w:tcBorders>
            <w:shd w:val="clear" w:color="000000" w:fill="FFFFFF"/>
            <w:noWrap/>
            <w:vAlign w:val="bottom"/>
            <w:hideMark/>
          </w:tcPr>
          <w:p w14:paraId="0448880E"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0.9</w:t>
            </w:r>
          </w:p>
        </w:tc>
      </w:tr>
      <w:tr w:rsidR="00F12F8B" w:rsidRPr="00BD10C8" w14:paraId="35991B8C"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010BC22C" w14:textId="0C86EE82" w:rsidR="005F2EE7" w:rsidRPr="00BD10C8" w:rsidRDefault="005F2EE7" w:rsidP="0042480D">
            <w:pPr>
              <w:rPr>
                <w:color w:val="000000"/>
                <w:sz w:val="18"/>
                <w:szCs w:val="18"/>
                <w:lang w:val="es-GT" w:eastAsia="es-GT"/>
              </w:rPr>
            </w:pPr>
            <w:r w:rsidRPr="00BD10C8">
              <w:rPr>
                <w:color w:val="000000"/>
                <w:sz w:val="18"/>
                <w:szCs w:val="18"/>
                <w:lang w:val="es-GT" w:eastAsia="es-GT"/>
              </w:rPr>
              <w:t>Finanzas</w:t>
            </w:r>
            <w:r w:rsidR="009E0BEB">
              <w:rPr>
                <w:color w:val="000000"/>
                <w:sz w:val="18"/>
                <w:szCs w:val="18"/>
                <w:lang w:val="es-GT" w:eastAsia="es-GT"/>
              </w:rPr>
              <w:t xml:space="preserve"> Públicas</w:t>
            </w:r>
          </w:p>
        </w:tc>
        <w:tc>
          <w:tcPr>
            <w:tcW w:w="992" w:type="dxa"/>
            <w:tcBorders>
              <w:top w:val="nil"/>
              <w:left w:val="single" w:sz="4" w:space="0" w:color="auto"/>
              <w:bottom w:val="nil"/>
              <w:right w:val="single" w:sz="4" w:space="0" w:color="auto"/>
            </w:tcBorders>
            <w:shd w:val="clear" w:color="000000" w:fill="FFFFFF"/>
            <w:noWrap/>
            <w:vAlign w:val="bottom"/>
            <w:hideMark/>
          </w:tcPr>
          <w:p w14:paraId="3B24C875"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145.9</w:t>
            </w:r>
          </w:p>
        </w:tc>
        <w:tc>
          <w:tcPr>
            <w:tcW w:w="992" w:type="dxa"/>
            <w:tcBorders>
              <w:top w:val="nil"/>
              <w:left w:val="single" w:sz="4" w:space="0" w:color="auto"/>
              <w:bottom w:val="nil"/>
              <w:right w:val="single" w:sz="4" w:space="0" w:color="auto"/>
            </w:tcBorders>
            <w:shd w:val="clear" w:color="000000" w:fill="FFFFFF"/>
            <w:noWrap/>
            <w:vAlign w:val="bottom"/>
            <w:hideMark/>
          </w:tcPr>
          <w:p w14:paraId="0D2B0C5F"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145.9</w:t>
            </w:r>
          </w:p>
        </w:tc>
        <w:tc>
          <w:tcPr>
            <w:tcW w:w="912" w:type="dxa"/>
            <w:tcBorders>
              <w:top w:val="nil"/>
              <w:left w:val="single" w:sz="4" w:space="0" w:color="auto"/>
              <w:bottom w:val="nil"/>
              <w:right w:val="single" w:sz="4" w:space="0" w:color="auto"/>
            </w:tcBorders>
            <w:shd w:val="clear" w:color="000000" w:fill="FFFFFF"/>
            <w:noWrap/>
            <w:vAlign w:val="bottom"/>
            <w:hideMark/>
          </w:tcPr>
          <w:p w14:paraId="47864B9D"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0.1</w:t>
            </w:r>
          </w:p>
        </w:tc>
        <w:tc>
          <w:tcPr>
            <w:tcW w:w="789" w:type="dxa"/>
            <w:tcBorders>
              <w:top w:val="nil"/>
              <w:left w:val="single" w:sz="4" w:space="0" w:color="auto"/>
              <w:bottom w:val="nil"/>
              <w:right w:val="single" w:sz="4" w:space="0" w:color="auto"/>
            </w:tcBorders>
            <w:shd w:val="clear" w:color="000000" w:fill="FFFFFF"/>
            <w:noWrap/>
            <w:vAlign w:val="bottom"/>
          </w:tcPr>
          <w:p w14:paraId="060F9B3C" w14:textId="061952F0"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tcPr>
          <w:p w14:paraId="1FC2EE11" w14:textId="5174BA3B"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1433CE88" w14:textId="3CC78CDB"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nil"/>
              <w:right w:val="single" w:sz="4" w:space="0" w:color="auto"/>
            </w:tcBorders>
            <w:shd w:val="clear" w:color="000000" w:fill="FFFFFF"/>
            <w:noWrap/>
            <w:vAlign w:val="bottom"/>
            <w:hideMark/>
          </w:tcPr>
          <w:p w14:paraId="2286EE68" w14:textId="1F7E102C"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hideMark/>
          </w:tcPr>
          <w:p w14:paraId="2D74CBB2" w14:textId="1954EA41"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hideMark/>
          </w:tcPr>
          <w:p w14:paraId="74B7432D" w14:textId="7BE7F9A1" w:rsidR="005F2EE7" w:rsidRPr="00BD10C8" w:rsidRDefault="005F2EE7" w:rsidP="00F12F8B">
            <w:pPr>
              <w:jc w:val="right"/>
              <w:rPr>
                <w:color w:val="000000"/>
                <w:sz w:val="18"/>
                <w:szCs w:val="18"/>
                <w:lang w:val="es-GT" w:eastAsia="es-GT"/>
              </w:rPr>
            </w:pPr>
          </w:p>
        </w:tc>
      </w:tr>
      <w:tr w:rsidR="00F12F8B" w:rsidRPr="00BD10C8" w14:paraId="63753C4B"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4DC2899F"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Educación</w:t>
            </w:r>
          </w:p>
        </w:tc>
        <w:tc>
          <w:tcPr>
            <w:tcW w:w="992" w:type="dxa"/>
            <w:tcBorders>
              <w:top w:val="nil"/>
              <w:left w:val="single" w:sz="4" w:space="0" w:color="auto"/>
              <w:bottom w:val="nil"/>
              <w:right w:val="single" w:sz="4" w:space="0" w:color="auto"/>
            </w:tcBorders>
            <w:shd w:val="clear" w:color="000000" w:fill="FFFFFF"/>
            <w:noWrap/>
            <w:vAlign w:val="bottom"/>
            <w:hideMark/>
          </w:tcPr>
          <w:p w14:paraId="3B2688B5"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9,318.1</w:t>
            </w:r>
          </w:p>
        </w:tc>
        <w:tc>
          <w:tcPr>
            <w:tcW w:w="992" w:type="dxa"/>
            <w:tcBorders>
              <w:top w:val="nil"/>
              <w:left w:val="single" w:sz="4" w:space="0" w:color="auto"/>
              <w:bottom w:val="nil"/>
              <w:right w:val="single" w:sz="4" w:space="0" w:color="auto"/>
            </w:tcBorders>
            <w:shd w:val="clear" w:color="000000" w:fill="FFFFFF"/>
            <w:noWrap/>
            <w:vAlign w:val="bottom"/>
            <w:hideMark/>
          </w:tcPr>
          <w:p w14:paraId="50574977"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10,227.4</w:t>
            </w:r>
          </w:p>
        </w:tc>
        <w:tc>
          <w:tcPr>
            <w:tcW w:w="912" w:type="dxa"/>
            <w:tcBorders>
              <w:top w:val="nil"/>
              <w:left w:val="single" w:sz="4" w:space="0" w:color="auto"/>
              <w:bottom w:val="nil"/>
              <w:right w:val="single" w:sz="4" w:space="0" w:color="auto"/>
            </w:tcBorders>
            <w:shd w:val="clear" w:color="000000" w:fill="FFFFFF"/>
            <w:noWrap/>
            <w:vAlign w:val="bottom"/>
            <w:hideMark/>
          </w:tcPr>
          <w:p w14:paraId="3FAA3F8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909.3</w:t>
            </w:r>
          </w:p>
        </w:tc>
        <w:tc>
          <w:tcPr>
            <w:tcW w:w="789" w:type="dxa"/>
            <w:tcBorders>
              <w:top w:val="nil"/>
              <w:left w:val="single" w:sz="4" w:space="0" w:color="auto"/>
              <w:bottom w:val="nil"/>
              <w:right w:val="single" w:sz="4" w:space="0" w:color="auto"/>
            </w:tcBorders>
            <w:shd w:val="clear" w:color="000000" w:fill="FFFFFF"/>
            <w:noWrap/>
            <w:vAlign w:val="bottom"/>
            <w:hideMark/>
          </w:tcPr>
          <w:p w14:paraId="0154346E" w14:textId="02425A5E"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 94.5 </w:t>
            </w:r>
          </w:p>
        </w:tc>
        <w:tc>
          <w:tcPr>
            <w:tcW w:w="851" w:type="dxa"/>
            <w:tcBorders>
              <w:top w:val="nil"/>
              <w:left w:val="single" w:sz="4" w:space="0" w:color="auto"/>
              <w:bottom w:val="nil"/>
              <w:right w:val="single" w:sz="4" w:space="0" w:color="auto"/>
            </w:tcBorders>
            <w:shd w:val="clear" w:color="000000" w:fill="FFFFFF"/>
            <w:noWrap/>
            <w:vAlign w:val="bottom"/>
            <w:hideMark/>
          </w:tcPr>
          <w:p w14:paraId="166C0248" w14:textId="7A7EEA93"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286.8 </w:t>
            </w:r>
          </w:p>
        </w:tc>
        <w:tc>
          <w:tcPr>
            <w:tcW w:w="882" w:type="dxa"/>
            <w:tcBorders>
              <w:top w:val="nil"/>
              <w:left w:val="single" w:sz="4" w:space="0" w:color="auto"/>
              <w:bottom w:val="nil"/>
              <w:right w:val="single" w:sz="4" w:space="0" w:color="auto"/>
            </w:tcBorders>
            <w:shd w:val="clear" w:color="000000" w:fill="FFFFFF"/>
            <w:noWrap/>
            <w:vAlign w:val="bottom"/>
            <w:hideMark/>
          </w:tcPr>
          <w:p w14:paraId="48A03EFA"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192.3</w:t>
            </w:r>
          </w:p>
        </w:tc>
        <w:tc>
          <w:tcPr>
            <w:tcW w:w="819" w:type="dxa"/>
            <w:tcBorders>
              <w:top w:val="nil"/>
              <w:left w:val="single" w:sz="4" w:space="0" w:color="auto"/>
              <w:bottom w:val="nil"/>
              <w:right w:val="single" w:sz="4" w:space="0" w:color="auto"/>
            </w:tcBorders>
            <w:shd w:val="clear" w:color="000000" w:fill="FFFFFF"/>
            <w:noWrap/>
            <w:vAlign w:val="bottom"/>
            <w:hideMark/>
          </w:tcPr>
          <w:p w14:paraId="469CD25A" w14:textId="0B7B8815"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0.3 </w:t>
            </w:r>
          </w:p>
        </w:tc>
        <w:tc>
          <w:tcPr>
            <w:tcW w:w="850" w:type="dxa"/>
            <w:tcBorders>
              <w:top w:val="nil"/>
              <w:left w:val="single" w:sz="4" w:space="0" w:color="auto"/>
              <w:bottom w:val="nil"/>
              <w:right w:val="single" w:sz="4" w:space="0" w:color="auto"/>
            </w:tcBorders>
            <w:shd w:val="clear" w:color="000000" w:fill="FFFFFF"/>
            <w:noWrap/>
            <w:vAlign w:val="bottom"/>
            <w:hideMark/>
          </w:tcPr>
          <w:p w14:paraId="093E9A78" w14:textId="4AE860A0"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0.4 </w:t>
            </w:r>
          </w:p>
        </w:tc>
        <w:tc>
          <w:tcPr>
            <w:tcW w:w="709" w:type="dxa"/>
            <w:tcBorders>
              <w:top w:val="nil"/>
              <w:left w:val="single" w:sz="4" w:space="0" w:color="auto"/>
              <w:bottom w:val="nil"/>
              <w:right w:val="single" w:sz="4" w:space="0" w:color="auto"/>
            </w:tcBorders>
            <w:shd w:val="clear" w:color="000000" w:fill="FFFFFF"/>
            <w:noWrap/>
            <w:vAlign w:val="bottom"/>
            <w:hideMark/>
          </w:tcPr>
          <w:p w14:paraId="41B8A3EB"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0.1</w:t>
            </w:r>
          </w:p>
        </w:tc>
      </w:tr>
      <w:tr w:rsidR="00F12F8B" w:rsidRPr="00BD10C8" w14:paraId="164550A3"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239705DB"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Salud</w:t>
            </w:r>
          </w:p>
        </w:tc>
        <w:tc>
          <w:tcPr>
            <w:tcW w:w="992" w:type="dxa"/>
            <w:tcBorders>
              <w:top w:val="nil"/>
              <w:left w:val="single" w:sz="4" w:space="0" w:color="auto"/>
              <w:bottom w:val="nil"/>
              <w:right w:val="single" w:sz="4" w:space="0" w:color="auto"/>
            </w:tcBorders>
            <w:shd w:val="clear" w:color="000000" w:fill="FFFFFF"/>
            <w:noWrap/>
            <w:vAlign w:val="bottom"/>
            <w:hideMark/>
          </w:tcPr>
          <w:p w14:paraId="73C858A7"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4,385.6</w:t>
            </w:r>
          </w:p>
        </w:tc>
        <w:tc>
          <w:tcPr>
            <w:tcW w:w="992" w:type="dxa"/>
            <w:tcBorders>
              <w:top w:val="nil"/>
              <w:left w:val="single" w:sz="4" w:space="0" w:color="auto"/>
              <w:bottom w:val="nil"/>
              <w:right w:val="single" w:sz="4" w:space="0" w:color="auto"/>
            </w:tcBorders>
            <w:shd w:val="clear" w:color="000000" w:fill="FFFFFF"/>
            <w:noWrap/>
            <w:vAlign w:val="bottom"/>
            <w:hideMark/>
          </w:tcPr>
          <w:p w14:paraId="67FE046A"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4,866.5</w:t>
            </w:r>
          </w:p>
        </w:tc>
        <w:tc>
          <w:tcPr>
            <w:tcW w:w="912" w:type="dxa"/>
            <w:tcBorders>
              <w:top w:val="nil"/>
              <w:left w:val="single" w:sz="4" w:space="0" w:color="auto"/>
              <w:bottom w:val="nil"/>
              <w:right w:val="single" w:sz="4" w:space="0" w:color="auto"/>
            </w:tcBorders>
            <w:shd w:val="clear" w:color="000000" w:fill="FFFFFF"/>
            <w:noWrap/>
            <w:vAlign w:val="bottom"/>
            <w:hideMark/>
          </w:tcPr>
          <w:p w14:paraId="16FC3931"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480.9</w:t>
            </w:r>
          </w:p>
        </w:tc>
        <w:tc>
          <w:tcPr>
            <w:tcW w:w="789" w:type="dxa"/>
            <w:tcBorders>
              <w:top w:val="nil"/>
              <w:left w:val="single" w:sz="4" w:space="0" w:color="auto"/>
              <w:bottom w:val="nil"/>
              <w:right w:val="single" w:sz="4" w:space="0" w:color="auto"/>
            </w:tcBorders>
            <w:shd w:val="clear" w:color="000000" w:fill="FFFFFF"/>
            <w:noWrap/>
            <w:vAlign w:val="bottom"/>
            <w:hideMark/>
          </w:tcPr>
          <w:p w14:paraId="652AC8BE" w14:textId="4C356223"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567.8 </w:t>
            </w:r>
          </w:p>
        </w:tc>
        <w:tc>
          <w:tcPr>
            <w:tcW w:w="851" w:type="dxa"/>
            <w:tcBorders>
              <w:top w:val="nil"/>
              <w:left w:val="single" w:sz="4" w:space="0" w:color="auto"/>
              <w:bottom w:val="nil"/>
              <w:right w:val="single" w:sz="4" w:space="0" w:color="auto"/>
            </w:tcBorders>
            <w:shd w:val="clear" w:color="000000" w:fill="FFFFFF"/>
            <w:noWrap/>
            <w:vAlign w:val="bottom"/>
            <w:hideMark/>
          </w:tcPr>
          <w:p w14:paraId="356406DA" w14:textId="6CD87D67"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62.2 </w:t>
            </w:r>
          </w:p>
        </w:tc>
        <w:tc>
          <w:tcPr>
            <w:tcW w:w="882" w:type="dxa"/>
            <w:tcBorders>
              <w:top w:val="nil"/>
              <w:left w:val="single" w:sz="4" w:space="0" w:color="auto"/>
              <w:bottom w:val="nil"/>
              <w:right w:val="single" w:sz="4" w:space="0" w:color="auto"/>
            </w:tcBorders>
            <w:shd w:val="clear" w:color="000000" w:fill="FFFFFF"/>
            <w:noWrap/>
            <w:vAlign w:val="bottom"/>
            <w:hideMark/>
          </w:tcPr>
          <w:p w14:paraId="5967AD43"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-505.7</w:t>
            </w:r>
          </w:p>
        </w:tc>
        <w:tc>
          <w:tcPr>
            <w:tcW w:w="819" w:type="dxa"/>
            <w:tcBorders>
              <w:top w:val="nil"/>
              <w:left w:val="single" w:sz="4" w:space="0" w:color="auto"/>
              <w:bottom w:val="nil"/>
              <w:right w:val="single" w:sz="4" w:space="0" w:color="auto"/>
            </w:tcBorders>
            <w:shd w:val="clear" w:color="000000" w:fill="FFFFFF"/>
            <w:noWrap/>
            <w:vAlign w:val="bottom"/>
            <w:hideMark/>
          </w:tcPr>
          <w:p w14:paraId="796EDBE5" w14:textId="2A83909D"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5.8 </w:t>
            </w:r>
          </w:p>
        </w:tc>
        <w:tc>
          <w:tcPr>
            <w:tcW w:w="850" w:type="dxa"/>
            <w:tcBorders>
              <w:top w:val="nil"/>
              <w:left w:val="single" w:sz="4" w:space="0" w:color="auto"/>
              <w:bottom w:val="nil"/>
              <w:right w:val="single" w:sz="4" w:space="0" w:color="auto"/>
            </w:tcBorders>
            <w:shd w:val="clear" w:color="000000" w:fill="FFFFFF"/>
            <w:noWrap/>
            <w:vAlign w:val="bottom"/>
            <w:hideMark/>
          </w:tcPr>
          <w:p w14:paraId="2CF6EA5C" w14:textId="19B4DC29"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4.3 </w:t>
            </w:r>
          </w:p>
        </w:tc>
        <w:tc>
          <w:tcPr>
            <w:tcW w:w="709" w:type="dxa"/>
            <w:tcBorders>
              <w:top w:val="nil"/>
              <w:left w:val="single" w:sz="4" w:space="0" w:color="auto"/>
              <w:bottom w:val="nil"/>
              <w:right w:val="single" w:sz="4" w:space="0" w:color="auto"/>
            </w:tcBorders>
            <w:shd w:val="clear" w:color="000000" w:fill="FFFFFF"/>
            <w:noWrap/>
            <w:vAlign w:val="bottom"/>
            <w:hideMark/>
          </w:tcPr>
          <w:p w14:paraId="1789A32A"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-1.5</w:t>
            </w:r>
          </w:p>
        </w:tc>
      </w:tr>
      <w:tr w:rsidR="00F12F8B" w:rsidRPr="00BD10C8" w14:paraId="068E744C"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7C33308A"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Trabajo</w:t>
            </w:r>
          </w:p>
        </w:tc>
        <w:tc>
          <w:tcPr>
            <w:tcW w:w="992" w:type="dxa"/>
            <w:tcBorders>
              <w:top w:val="nil"/>
              <w:left w:val="single" w:sz="4" w:space="0" w:color="auto"/>
              <w:bottom w:val="nil"/>
              <w:right w:val="single" w:sz="4" w:space="0" w:color="auto"/>
            </w:tcBorders>
            <w:shd w:val="clear" w:color="000000" w:fill="FFFFFF"/>
            <w:noWrap/>
            <w:vAlign w:val="bottom"/>
            <w:hideMark/>
          </w:tcPr>
          <w:p w14:paraId="52DA083B"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241.7</w:t>
            </w:r>
          </w:p>
        </w:tc>
        <w:tc>
          <w:tcPr>
            <w:tcW w:w="992" w:type="dxa"/>
            <w:tcBorders>
              <w:top w:val="nil"/>
              <w:left w:val="single" w:sz="4" w:space="0" w:color="auto"/>
              <w:bottom w:val="nil"/>
              <w:right w:val="single" w:sz="4" w:space="0" w:color="auto"/>
            </w:tcBorders>
            <w:shd w:val="clear" w:color="000000" w:fill="FFFFFF"/>
            <w:noWrap/>
            <w:vAlign w:val="bottom"/>
            <w:hideMark/>
          </w:tcPr>
          <w:p w14:paraId="117AA111"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377.9</w:t>
            </w:r>
          </w:p>
        </w:tc>
        <w:tc>
          <w:tcPr>
            <w:tcW w:w="912" w:type="dxa"/>
            <w:tcBorders>
              <w:top w:val="nil"/>
              <w:left w:val="single" w:sz="4" w:space="0" w:color="auto"/>
              <w:bottom w:val="nil"/>
              <w:right w:val="single" w:sz="4" w:space="0" w:color="auto"/>
            </w:tcBorders>
            <w:shd w:val="clear" w:color="000000" w:fill="FFFFFF"/>
            <w:noWrap/>
            <w:vAlign w:val="bottom"/>
            <w:hideMark/>
          </w:tcPr>
          <w:p w14:paraId="2881D6A7"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136.2</w:t>
            </w:r>
          </w:p>
        </w:tc>
        <w:tc>
          <w:tcPr>
            <w:tcW w:w="789" w:type="dxa"/>
            <w:tcBorders>
              <w:top w:val="nil"/>
              <w:left w:val="single" w:sz="4" w:space="0" w:color="auto"/>
              <w:bottom w:val="nil"/>
              <w:right w:val="single" w:sz="4" w:space="0" w:color="auto"/>
            </w:tcBorders>
            <w:shd w:val="clear" w:color="000000" w:fill="FFFFFF"/>
            <w:noWrap/>
            <w:vAlign w:val="bottom"/>
            <w:hideMark/>
          </w:tcPr>
          <w:p w14:paraId="18149777" w14:textId="19F486BA"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187.5 </w:t>
            </w:r>
          </w:p>
        </w:tc>
        <w:tc>
          <w:tcPr>
            <w:tcW w:w="851" w:type="dxa"/>
            <w:tcBorders>
              <w:top w:val="nil"/>
              <w:left w:val="single" w:sz="4" w:space="0" w:color="auto"/>
              <w:bottom w:val="nil"/>
              <w:right w:val="single" w:sz="4" w:space="0" w:color="auto"/>
            </w:tcBorders>
            <w:shd w:val="clear" w:color="000000" w:fill="FFFFFF"/>
            <w:noWrap/>
            <w:vAlign w:val="bottom"/>
            <w:hideMark/>
          </w:tcPr>
          <w:p w14:paraId="69037F0E" w14:textId="4C22E072"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165.2 </w:t>
            </w:r>
          </w:p>
        </w:tc>
        <w:tc>
          <w:tcPr>
            <w:tcW w:w="882" w:type="dxa"/>
            <w:tcBorders>
              <w:top w:val="nil"/>
              <w:left w:val="single" w:sz="4" w:space="0" w:color="auto"/>
              <w:bottom w:val="nil"/>
              <w:right w:val="single" w:sz="4" w:space="0" w:color="auto"/>
            </w:tcBorders>
            <w:shd w:val="clear" w:color="000000" w:fill="FFFFFF"/>
            <w:noWrap/>
            <w:vAlign w:val="bottom"/>
            <w:hideMark/>
          </w:tcPr>
          <w:p w14:paraId="462E193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-22.3</w:t>
            </w:r>
          </w:p>
        </w:tc>
        <w:tc>
          <w:tcPr>
            <w:tcW w:w="819" w:type="dxa"/>
            <w:tcBorders>
              <w:top w:val="nil"/>
              <w:left w:val="single" w:sz="4" w:space="0" w:color="auto"/>
              <w:bottom w:val="nil"/>
              <w:right w:val="single" w:sz="4" w:space="0" w:color="auto"/>
            </w:tcBorders>
            <w:shd w:val="clear" w:color="000000" w:fill="FFFFFF"/>
            <w:noWrap/>
            <w:vAlign w:val="bottom"/>
            <w:hideMark/>
          </w:tcPr>
          <w:p w14:paraId="718A7114" w14:textId="654C66A8"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0.1 </w:t>
            </w:r>
          </w:p>
        </w:tc>
        <w:tc>
          <w:tcPr>
            <w:tcW w:w="850" w:type="dxa"/>
            <w:tcBorders>
              <w:top w:val="nil"/>
              <w:left w:val="single" w:sz="4" w:space="0" w:color="auto"/>
              <w:bottom w:val="nil"/>
              <w:right w:val="single" w:sz="4" w:space="0" w:color="auto"/>
            </w:tcBorders>
            <w:shd w:val="clear" w:color="000000" w:fill="FFFFFF"/>
            <w:noWrap/>
            <w:vAlign w:val="bottom"/>
            <w:hideMark/>
          </w:tcPr>
          <w:p w14:paraId="6720F025" w14:textId="4FFC218D"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0.2 </w:t>
            </w:r>
          </w:p>
        </w:tc>
        <w:tc>
          <w:tcPr>
            <w:tcW w:w="709" w:type="dxa"/>
            <w:tcBorders>
              <w:top w:val="nil"/>
              <w:left w:val="single" w:sz="4" w:space="0" w:color="auto"/>
              <w:bottom w:val="nil"/>
              <w:right w:val="single" w:sz="4" w:space="0" w:color="auto"/>
            </w:tcBorders>
            <w:shd w:val="clear" w:color="000000" w:fill="FFFFFF"/>
            <w:noWrap/>
            <w:vAlign w:val="bottom"/>
            <w:hideMark/>
          </w:tcPr>
          <w:p w14:paraId="75A99A3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0.1</w:t>
            </w:r>
          </w:p>
        </w:tc>
      </w:tr>
      <w:tr w:rsidR="00F12F8B" w:rsidRPr="00BD10C8" w14:paraId="1606346A"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22103731"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Economía</w:t>
            </w:r>
          </w:p>
        </w:tc>
        <w:tc>
          <w:tcPr>
            <w:tcW w:w="992" w:type="dxa"/>
            <w:tcBorders>
              <w:top w:val="nil"/>
              <w:left w:val="single" w:sz="4" w:space="0" w:color="auto"/>
              <w:bottom w:val="nil"/>
              <w:right w:val="single" w:sz="4" w:space="0" w:color="auto"/>
            </w:tcBorders>
            <w:shd w:val="clear" w:color="000000" w:fill="FFFFFF"/>
            <w:noWrap/>
            <w:vAlign w:val="bottom"/>
            <w:hideMark/>
          </w:tcPr>
          <w:p w14:paraId="63221363"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143.5</w:t>
            </w:r>
          </w:p>
        </w:tc>
        <w:tc>
          <w:tcPr>
            <w:tcW w:w="992" w:type="dxa"/>
            <w:tcBorders>
              <w:top w:val="nil"/>
              <w:left w:val="single" w:sz="4" w:space="0" w:color="auto"/>
              <w:bottom w:val="nil"/>
              <w:right w:val="single" w:sz="4" w:space="0" w:color="auto"/>
            </w:tcBorders>
            <w:shd w:val="clear" w:color="000000" w:fill="FFFFFF"/>
            <w:noWrap/>
            <w:vAlign w:val="bottom"/>
            <w:hideMark/>
          </w:tcPr>
          <w:p w14:paraId="2D4EACD6"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154.2</w:t>
            </w:r>
          </w:p>
        </w:tc>
        <w:tc>
          <w:tcPr>
            <w:tcW w:w="912" w:type="dxa"/>
            <w:tcBorders>
              <w:top w:val="nil"/>
              <w:left w:val="single" w:sz="4" w:space="0" w:color="auto"/>
              <w:bottom w:val="nil"/>
              <w:right w:val="single" w:sz="4" w:space="0" w:color="auto"/>
            </w:tcBorders>
            <w:shd w:val="clear" w:color="000000" w:fill="FFFFFF"/>
            <w:noWrap/>
            <w:vAlign w:val="bottom"/>
            <w:hideMark/>
          </w:tcPr>
          <w:p w14:paraId="3E49487D"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10.7</w:t>
            </w:r>
          </w:p>
        </w:tc>
        <w:tc>
          <w:tcPr>
            <w:tcW w:w="789" w:type="dxa"/>
            <w:tcBorders>
              <w:top w:val="nil"/>
              <w:left w:val="single" w:sz="4" w:space="0" w:color="auto"/>
              <w:bottom w:val="nil"/>
              <w:right w:val="single" w:sz="4" w:space="0" w:color="auto"/>
            </w:tcBorders>
            <w:shd w:val="clear" w:color="000000" w:fill="FFFFFF"/>
            <w:noWrap/>
            <w:vAlign w:val="bottom"/>
            <w:hideMark/>
          </w:tcPr>
          <w:p w14:paraId="1C6EA679" w14:textId="033FCC07"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4.2 </w:t>
            </w:r>
          </w:p>
        </w:tc>
        <w:tc>
          <w:tcPr>
            <w:tcW w:w="851" w:type="dxa"/>
            <w:tcBorders>
              <w:top w:val="nil"/>
              <w:left w:val="single" w:sz="4" w:space="0" w:color="auto"/>
              <w:bottom w:val="nil"/>
              <w:right w:val="single" w:sz="4" w:space="0" w:color="auto"/>
            </w:tcBorders>
            <w:shd w:val="clear" w:color="000000" w:fill="FFFFFF"/>
            <w:noWrap/>
            <w:vAlign w:val="bottom"/>
            <w:hideMark/>
          </w:tcPr>
          <w:p w14:paraId="5BF5393C" w14:textId="4766435C"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37.8 </w:t>
            </w:r>
          </w:p>
        </w:tc>
        <w:tc>
          <w:tcPr>
            <w:tcW w:w="882" w:type="dxa"/>
            <w:tcBorders>
              <w:top w:val="nil"/>
              <w:left w:val="single" w:sz="4" w:space="0" w:color="auto"/>
              <w:bottom w:val="nil"/>
              <w:right w:val="single" w:sz="4" w:space="0" w:color="auto"/>
            </w:tcBorders>
            <w:shd w:val="clear" w:color="000000" w:fill="FFFFFF"/>
            <w:noWrap/>
            <w:vAlign w:val="bottom"/>
            <w:hideMark/>
          </w:tcPr>
          <w:p w14:paraId="69A1A55C"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33.6</w:t>
            </w:r>
          </w:p>
        </w:tc>
        <w:tc>
          <w:tcPr>
            <w:tcW w:w="819" w:type="dxa"/>
            <w:tcBorders>
              <w:top w:val="nil"/>
              <w:left w:val="single" w:sz="4" w:space="0" w:color="auto"/>
              <w:bottom w:val="nil"/>
              <w:right w:val="single" w:sz="4" w:space="0" w:color="auto"/>
            </w:tcBorders>
            <w:shd w:val="clear" w:color="000000" w:fill="FFFFFF"/>
            <w:noWrap/>
            <w:vAlign w:val="bottom"/>
            <w:hideMark/>
          </w:tcPr>
          <w:p w14:paraId="7951B035" w14:textId="2EF24894"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0.7 </w:t>
            </w:r>
          </w:p>
        </w:tc>
        <w:tc>
          <w:tcPr>
            <w:tcW w:w="850" w:type="dxa"/>
            <w:tcBorders>
              <w:top w:val="nil"/>
              <w:left w:val="single" w:sz="4" w:space="0" w:color="auto"/>
              <w:bottom w:val="nil"/>
              <w:right w:val="single" w:sz="4" w:space="0" w:color="auto"/>
            </w:tcBorders>
            <w:shd w:val="clear" w:color="000000" w:fill="FFFFFF"/>
            <w:noWrap/>
            <w:vAlign w:val="bottom"/>
            <w:hideMark/>
          </w:tcPr>
          <w:p w14:paraId="4DE1CFC6" w14:textId="6AD3E717"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2.2 </w:t>
            </w:r>
          </w:p>
        </w:tc>
        <w:tc>
          <w:tcPr>
            <w:tcW w:w="709" w:type="dxa"/>
            <w:tcBorders>
              <w:top w:val="nil"/>
              <w:left w:val="single" w:sz="4" w:space="0" w:color="auto"/>
              <w:bottom w:val="nil"/>
              <w:right w:val="single" w:sz="4" w:space="0" w:color="auto"/>
            </w:tcBorders>
            <w:shd w:val="clear" w:color="000000" w:fill="FFFFFF"/>
            <w:noWrap/>
            <w:vAlign w:val="bottom"/>
            <w:hideMark/>
          </w:tcPr>
          <w:p w14:paraId="6AECB5C5"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1.4</w:t>
            </w:r>
          </w:p>
        </w:tc>
      </w:tr>
      <w:tr w:rsidR="00F12F8B" w:rsidRPr="00BD10C8" w14:paraId="65D84C4E"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07158514" w14:textId="0B8C663C" w:rsidR="005F2EE7" w:rsidRPr="00BD10C8" w:rsidRDefault="00EB776A" w:rsidP="0042480D">
            <w:pPr>
              <w:rPr>
                <w:color w:val="000000"/>
                <w:sz w:val="18"/>
                <w:szCs w:val="18"/>
                <w:lang w:val="es-GT" w:eastAsia="es-GT"/>
              </w:rPr>
            </w:pPr>
            <w:r>
              <w:rPr>
                <w:color w:val="000000"/>
                <w:sz w:val="18"/>
                <w:szCs w:val="18"/>
                <w:lang w:val="es-GT" w:eastAsia="es-GT"/>
              </w:rPr>
              <w:t>Agricultura</w:t>
            </w:r>
          </w:p>
        </w:tc>
        <w:tc>
          <w:tcPr>
            <w:tcW w:w="992" w:type="dxa"/>
            <w:tcBorders>
              <w:top w:val="nil"/>
              <w:left w:val="single" w:sz="4" w:space="0" w:color="auto"/>
              <w:bottom w:val="nil"/>
              <w:right w:val="single" w:sz="4" w:space="0" w:color="auto"/>
            </w:tcBorders>
            <w:shd w:val="clear" w:color="000000" w:fill="FFFFFF"/>
            <w:noWrap/>
            <w:vAlign w:val="bottom"/>
            <w:hideMark/>
          </w:tcPr>
          <w:p w14:paraId="5F9EF714"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555.6</w:t>
            </w:r>
          </w:p>
        </w:tc>
        <w:tc>
          <w:tcPr>
            <w:tcW w:w="992" w:type="dxa"/>
            <w:tcBorders>
              <w:top w:val="nil"/>
              <w:left w:val="single" w:sz="4" w:space="0" w:color="auto"/>
              <w:bottom w:val="nil"/>
              <w:right w:val="single" w:sz="4" w:space="0" w:color="auto"/>
            </w:tcBorders>
            <w:shd w:val="clear" w:color="000000" w:fill="FFFFFF"/>
            <w:noWrap/>
            <w:vAlign w:val="bottom"/>
            <w:hideMark/>
          </w:tcPr>
          <w:p w14:paraId="7079978C"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752.7</w:t>
            </w:r>
          </w:p>
        </w:tc>
        <w:tc>
          <w:tcPr>
            <w:tcW w:w="912" w:type="dxa"/>
            <w:tcBorders>
              <w:top w:val="nil"/>
              <w:left w:val="single" w:sz="4" w:space="0" w:color="auto"/>
              <w:bottom w:val="nil"/>
              <w:right w:val="single" w:sz="4" w:space="0" w:color="auto"/>
            </w:tcBorders>
            <w:shd w:val="clear" w:color="000000" w:fill="FFFFFF"/>
            <w:noWrap/>
            <w:vAlign w:val="bottom"/>
            <w:hideMark/>
          </w:tcPr>
          <w:p w14:paraId="03B7DB8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197.1</w:t>
            </w:r>
          </w:p>
        </w:tc>
        <w:tc>
          <w:tcPr>
            <w:tcW w:w="789" w:type="dxa"/>
            <w:tcBorders>
              <w:top w:val="nil"/>
              <w:left w:val="single" w:sz="4" w:space="0" w:color="auto"/>
              <w:bottom w:val="nil"/>
              <w:right w:val="single" w:sz="4" w:space="0" w:color="auto"/>
            </w:tcBorders>
            <w:shd w:val="clear" w:color="000000" w:fill="FFFFFF"/>
            <w:noWrap/>
            <w:vAlign w:val="bottom"/>
            <w:hideMark/>
          </w:tcPr>
          <w:p w14:paraId="3F6DCC0B" w14:textId="643C7608"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0.3 </w:t>
            </w:r>
          </w:p>
        </w:tc>
        <w:tc>
          <w:tcPr>
            <w:tcW w:w="851" w:type="dxa"/>
            <w:tcBorders>
              <w:top w:val="nil"/>
              <w:left w:val="single" w:sz="4" w:space="0" w:color="auto"/>
              <w:bottom w:val="nil"/>
              <w:right w:val="single" w:sz="4" w:space="0" w:color="auto"/>
            </w:tcBorders>
            <w:shd w:val="clear" w:color="000000" w:fill="FFFFFF"/>
            <w:noWrap/>
            <w:vAlign w:val="bottom"/>
            <w:hideMark/>
          </w:tcPr>
          <w:p w14:paraId="7239A174" w14:textId="40CB924C"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27F3C8B7"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-0.3</w:t>
            </w:r>
          </w:p>
        </w:tc>
        <w:tc>
          <w:tcPr>
            <w:tcW w:w="819" w:type="dxa"/>
            <w:tcBorders>
              <w:top w:val="nil"/>
              <w:left w:val="single" w:sz="4" w:space="0" w:color="auto"/>
              <w:bottom w:val="nil"/>
              <w:right w:val="single" w:sz="4" w:space="0" w:color="auto"/>
            </w:tcBorders>
            <w:shd w:val="clear" w:color="000000" w:fill="FFFFFF"/>
            <w:noWrap/>
            <w:vAlign w:val="bottom"/>
            <w:hideMark/>
          </w:tcPr>
          <w:p w14:paraId="4E67EBC5" w14:textId="55F4868F"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28.6 </w:t>
            </w:r>
          </w:p>
        </w:tc>
        <w:tc>
          <w:tcPr>
            <w:tcW w:w="850" w:type="dxa"/>
            <w:tcBorders>
              <w:top w:val="nil"/>
              <w:left w:val="single" w:sz="4" w:space="0" w:color="auto"/>
              <w:bottom w:val="nil"/>
              <w:right w:val="single" w:sz="4" w:space="0" w:color="auto"/>
            </w:tcBorders>
            <w:shd w:val="clear" w:color="000000" w:fill="FFFFFF"/>
            <w:noWrap/>
            <w:vAlign w:val="bottom"/>
            <w:hideMark/>
          </w:tcPr>
          <w:p w14:paraId="03CCD5DD" w14:textId="20CFC8EF"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hideMark/>
          </w:tcPr>
          <w:p w14:paraId="643524F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-28.6</w:t>
            </w:r>
          </w:p>
        </w:tc>
      </w:tr>
      <w:tr w:rsidR="00F12F8B" w:rsidRPr="00BD10C8" w14:paraId="00D862F6"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35F44319" w14:textId="229F72FF" w:rsidR="005F2EE7" w:rsidRPr="00BD10C8" w:rsidRDefault="005F2EE7" w:rsidP="0042480D">
            <w:pPr>
              <w:rPr>
                <w:color w:val="000000"/>
                <w:sz w:val="18"/>
                <w:szCs w:val="18"/>
                <w:lang w:val="es-GT" w:eastAsia="es-GT"/>
              </w:rPr>
            </w:pPr>
            <w:r w:rsidRPr="00BD10C8">
              <w:rPr>
                <w:color w:val="000000"/>
                <w:sz w:val="18"/>
                <w:szCs w:val="18"/>
                <w:lang w:val="es-GT" w:eastAsia="es-GT"/>
              </w:rPr>
              <w:t>C</w:t>
            </w:r>
            <w:r w:rsidR="00EB776A">
              <w:rPr>
                <w:color w:val="000000"/>
                <w:sz w:val="18"/>
                <w:szCs w:val="18"/>
                <w:lang w:val="es-GT" w:eastAsia="es-GT"/>
              </w:rPr>
              <w:t>omunicaciones</w:t>
            </w:r>
          </w:p>
        </w:tc>
        <w:tc>
          <w:tcPr>
            <w:tcW w:w="992" w:type="dxa"/>
            <w:tcBorders>
              <w:top w:val="nil"/>
              <w:left w:val="single" w:sz="4" w:space="0" w:color="auto"/>
              <w:bottom w:val="nil"/>
              <w:right w:val="single" w:sz="4" w:space="0" w:color="auto"/>
            </w:tcBorders>
            <w:shd w:val="clear" w:color="000000" w:fill="FFFFFF"/>
            <w:noWrap/>
            <w:vAlign w:val="bottom"/>
            <w:hideMark/>
          </w:tcPr>
          <w:p w14:paraId="76BEEC1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1,880.4</w:t>
            </w:r>
          </w:p>
        </w:tc>
        <w:tc>
          <w:tcPr>
            <w:tcW w:w="992" w:type="dxa"/>
            <w:tcBorders>
              <w:top w:val="nil"/>
              <w:left w:val="single" w:sz="4" w:space="0" w:color="auto"/>
              <w:bottom w:val="nil"/>
              <w:right w:val="single" w:sz="4" w:space="0" w:color="auto"/>
            </w:tcBorders>
            <w:shd w:val="clear" w:color="000000" w:fill="FFFFFF"/>
            <w:noWrap/>
            <w:vAlign w:val="bottom"/>
            <w:hideMark/>
          </w:tcPr>
          <w:p w14:paraId="15746901"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4,754.0</w:t>
            </w:r>
          </w:p>
        </w:tc>
        <w:tc>
          <w:tcPr>
            <w:tcW w:w="912" w:type="dxa"/>
            <w:tcBorders>
              <w:top w:val="nil"/>
              <w:left w:val="single" w:sz="4" w:space="0" w:color="auto"/>
              <w:bottom w:val="nil"/>
              <w:right w:val="single" w:sz="4" w:space="0" w:color="auto"/>
            </w:tcBorders>
            <w:shd w:val="clear" w:color="000000" w:fill="FFFFFF"/>
            <w:noWrap/>
            <w:vAlign w:val="bottom"/>
            <w:hideMark/>
          </w:tcPr>
          <w:p w14:paraId="2DED10D3"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2,873.6</w:t>
            </w:r>
          </w:p>
        </w:tc>
        <w:tc>
          <w:tcPr>
            <w:tcW w:w="789" w:type="dxa"/>
            <w:tcBorders>
              <w:top w:val="nil"/>
              <w:left w:val="single" w:sz="4" w:space="0" w:color="auto"/>
              <w:bottom w:val="nil"/>
              <w:right w:val="single" w:sz="4" w:space="0" w:color="auto"/>
            </w:tcBorders>
            <w:shd w:val="clear" w:color="000000" w:fill="FFFFFF"/>
            <w:noWrap/>
            <w:vAlign w:val="bottom"/>
            <w:hideMark/>
          </w:tcPr>
          <w:p w14:paraId="7AAB30BC" w14:textId="35593910"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576.1 </w:t>
            </w:r>
          </w:p>
        </w:tc>
        <w:tc>
          <w:tcPr>
            <w:tcW w:w="851" w:type="dxa"/>
            <w:tcBorders>
              <w:top w:val="nil"/>
              <w:left w:val="single" w:sz="4" w:space="0" w:color="auto"/>
              <w:bottom w:val="nil"/>
              <w:right w:val="single" w:sz="4" w:space="0" w:color="auto"/>
            </w:tcBorders>
            <w:shd w:val="clear" w:color="000000" w:fill="FFFFFF"/>
            <w:noWrap/>
            <w:vAlign w:val="bottom"/>
            <w:hideMark/>
          </w:tcPr>
          <w:p w14:paraId="1479A472" w14:textId="746E64B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486.3</w:t>
            </w:r>
          </w:p>
        </w:tc>
        <w:tc>
          <w:tcPr>
            <w:tcW w:w="882" w:type="dxa"/>
            <w:tcBorders>
              <w:top w:val="nil"/>
              <w:left w:val="single" w:sz="4" w:space="0" w:color="auto"/>
              <w:bottom w:val="nil"/>
              <w:right w:val="single" w:sz="4" w:space="0" w:color="auto"/>
            </w:tcBorders>
            <w:shd w:val="clear" w:color="000000" w:fill="FFFFFF"/>
            <w:noWrap/>
            <w:vAlign w:val="bottom"/>
            <w:hideMark/>
          </w:tcPr>
          <w:p w14:paraId="19A65E8A"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-89.8</w:t>
            </w:r>
          </w:p>
        </w:tc>
        <w:tc>
          <w:tcPr>
            <w:tcW w:w="819" w:type="dxa"/>
            <w:tcBorders>
              <w:top w:val="nil"/>
              <w:left w:val="single" w:sz="4" w:space="0" w:color="auto"/>
              <w:bottom w:val="nil"/>
              <w:right w:val="single" w:sz="4" w:space="0" w:color="auto"/>
            </w:tcBorders>
            <w:shd w:val="clear" w:color="000000" w:fill="FFFFFF"/>
            <w:noWrap/>
            <w:vAlign w:val="bottom"/>
            <w:hideMark/>
          </w:tcPr>
          <w:p w14:paraId="1E85A5A8" w14:textId="5C5E158C"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hideMark/>
          </w:tcPr>
          <w:p w14:paraId="0830E97D" w14:textId="46D620BE"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tcPr>
          <w:p w14:paraId="577A1083" w14:textId="0D60A0EF" w:rsidR="005F2EE7" w:rsidRPr="00BD10C8" w:rsidRDefault="005F2EE7" w:rsidP="00F12F8B">
            <w:pPr>
              <w:jc w:val="right"/>
              <w:rPr>
                <w:color w:val="000000"/>
                <w:sz w:val="18"/>
                <w:szCs w:val="18"/>
                <w:lang w:val="es-GT" w:eastAsia="es-GT"/>
              </w:rPr>
            </w:pPr>
          </w:p>
        </w:tc>
      </w:tr>
      <w:tr w:rsidR="00F12F8B" w:rsidRPr="00BD10C8" w14:paraId="5472785B"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08592407" w14:textId="56D351F8" w:rsidR="005F2EE7" w:rsidRPr="00BD10C8" w:rsidRDefault="005F2EE7" w:rsidP="0042480D">
            <w:pPr>
              <w:rPr>
                <w:color w:val="000000"/>
                <w:sz w:val="18"/>
                <w:szCs w:val="18"/>
                <w:lang w:val="es-GT" w:eastAsia="es-GT"/>
              </w:rPr>
            </w:pPr>
            <w:r w:rsidRPr="00BD10C8">
              <w:rPr>
                <w:color w:val="000000"/>
                <w:sz w:val="18"/>
                <w:szCs w:val="18"/>
                <w:lang w:val="es-GT" w:eastAsia="es-GT"/>
              </w:rPr>
              <w:t>Energía y M</w:t>
            </w:r>
            <w:r w:rsidR="00BD10C8">
              <w:rPr>
                <w:color w:val="000000"/>
                <w:sz w:val="18"/>
                <w:szCs w:val="18"/>
                <w:lang w:val="es-GT" w:eastAsia="es-GT"/>
              </w:rPr>
              <w:t>inas</w:t>
            </w:r>
          </w:p>
        </w:tc>
        <w:tc>
          <w:tcPr>
            <w:tcW w:w="992" w:type="dxa"/>
            <w:tcBorders>
              <w:top w:val="nil"/>
              <w:left w:val="single" w:sz="4" w:space="0" w:color="auto"/>
              <w:bottom w:val="nil"/>
              <w:right w:val="single" w:sz="4" w:space="0" w:color="auto"/>
            </w:tcBorders>
            <w:shd w:val="clear" w:color="000000" w:fill="FFFFFF"/>
            <w:noWrap/>
            <w:vAlign w:val="bottom"/>
            <w:hideMark/>
          </w:tcPr>
          <w:p w14:paraId="5EC7DDE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1,452.9</w:t>
            </w:r>
          </w:p>
        </w:tc>
        <w:tc>
          <w:tcPr>
            <w:tcW w:w="992" w:type="dxa"/>
            <w:tcBorders>
              <w:top w:val="nil"/>
              <w:left w:val="single" w:sz="4" w:space="0" w:color="auto"/>
              <w:bottom w:val="nil"/>
              <w:right w:val="single" w:sz="4" w:space="0" w:color="auto"/>
            </w:tcBorders>
            <w:shd w:val="clear" w:color="000000" w:fill="FFFFFF"/>
            <w:noWrap/>
            <w:vAlign w:val="bottom"/>
            <w:hideMark/>
          </w:tcPr>
          <w:p w14:paraId="34990FEB"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255.8</w:t>
            </w:r>
          </w:p>
        </w:tc>
        <w:tc>
          <w:tcPr>
            <w:tcW w:w="912" w:type="dxa"/>
            <w:tcBorders>
              <w:top w:val="nil"/>
              <w:left w:val="single" w:sz="4" w:space="0" w:color="auto"/>
              <w:bottom w:val="nil"/>
              <w:right w:val="single" w:sz="4" w:space="0" w:color="auto"/>
            </w:tcBorders>
            <w:shd w:val="clear" w:color="000000" w:fill="FFFFFF"/>
            <w:noWrap/>
            <w:vAlign w:val="bottom"/>
            <w:hideMark/>
          </w:tcPr>
          <w:p w14:paraId="6F048B7A"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-1,197.1</w:t>
            </w:r>
          </w:p>
        </w:tc>
        <w:tc>
          <w:tcPr>
            <w:tcW w:w="789" w:type="dxa"/>
            <w:tcBorders>
              <w:top w:val="nil"/>
              <w:left w:val="single" w:sz="4" w:space="0" w:color="auto"/>
              <w:bottom w:val="nil"/>
              <w:right w:val="single" w:sz="4" w:space="0" w:color="auto"/>
            </w:tcBorders>
            <w:shd w:val="clear" w:color="000000" w:fill="FFFFFF"/>
            <w:noWrap/>
            <w:vAlign w:val="bottom"/>
            <w:hideMark/>
          </w:tcPr>
          <w:p w14:paraId="1C67B0BF" w14:textId="193126EC"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hideMark/>
          </w:tcPr>
          <w:p w14:paraId="50F458BE" w14:textId="77A0C47D"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48FD4432" w14:textId="487FF6C5"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nil"/>
              <w:right w:val="single" w:sz="4" w:space="0" w:color="auto"/>
            </w:tcBorders>
            <w:shd w:val="clear" w:color="000000" w:fill="FFFFFF"/>
            <w:noWrap/>
            <w:vAlign w:val="bottom"/>
            <w:hideMark/>
          </w:tcPr>
          <w:p w14:paraId="372DFD78" w14:textId="54796EE0"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hideMark/>
          </w:tcPr>
          <w:p w14:paraId="7A61AD1F" w14:textId="2EE64B65"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tcPr>
          <w:p w14:paraId="103B77E0" w14:textId="4F0AA5A6" w:rsidR="005F2EE7" w:rsidRPr="00BD10C8" w:rsidRDefault="005F2EE7" w:rsidP="00F12F8B">
            <w:pPr>
              <w:jc w:val="right"/>
              <w:rPr>
                <w:color w:val="000000"/>
                <w:sz w:val="18"/>
                <w:szCs w:val="18"/>
                <w:lang w:val="es-GT" w:eastAsia="es-GT"/>
              </w:rPr>
            </w:pPr>
          </w:p>
        </w:tc>
      </w:tr>
      <w:tr w:rsidR="00F12F8B" w:rsidRPr="00BD10C8" w14:paraId="4501F470"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46802CCD" w14:textId="4B6A1F88" w:rsidR="005F2EE7" w:rsidRPr="00BD10C8" w:rsidRDefault="005F2EE7" w:rsidP="0042480D">
            <w:pPr>
              <w:rPr>
                <w:color w:val="000000"/>
                <w:sz w:val="18"/>
                <w:szCs w:val="18"/>
                <w:lang w:val="es-GT" w:eastAsia="es-GT"/>
              </w:rPr>
            </w:pPr>
            <w:r w:rsidRPr="00BD10C8">
              <w:rPr>
                <w:color w:val="000000"/>
                <w:sz w:val="18"/>
                <w:szCs w:val="18"/>
                <w:lang w:val="es-GT" w:eastAsia="es-GT"/>
              </w:rPr>
              <w:t>Cultura y D</w:t>
            </w:r>
            <w:r w:rsidR="00BD10C8">
              <w:rPr>
                <w:color w:val="000000"/>
                <w:sz w:val="18"/>
                <w:szCs w:val="18"/>
                <w:lang w:val="es-GT" w:eastAsia="es-GT"/>
              </w:rPr>
              <w:t>eportes</w:t>
            </w:r>
          </w:p>
        </w:tc>
        <w:tc>
          <w:tcPr>
            <w:tcW w:w="992" w:type="dxa"/>
            <w:tcBorders>
              <w:top w:val="nil"/>
              <w:left w:val="single" w:sz="4" w:space="0" w:color="auto"/>
              <w:bottom w:val="nil"/>
              <w:right w:val="single" w:sz="4" w:space="0" w:color="auto"/>
            </w:tcBorders>
            <w:shd w:val="clear" w:color="000000" w:fill="FFFFFF"/>
            <w:noWrap/>
            <w:vAlign w:val="bottom"/>
            <w:hideMark/>
          </w:tcPr>
          <w:p w14:paraId="3E4383F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201.5</w:t>
            </w:r>
          </w:p>
        </w:tc>
        <w:tc>
          <w:tcPr>
            <w:tcW w:w="992" w:type="dxa"/>
            <w:tcBorders>
              <w:top w:val="nil"/>
              <w:left w:val="single" w:sz="4" w:space="0" w:color="auto"/>
              <w:bottom w:val="nil"/>
              <w:right w:val="single" w:sz="4" w:space="0" w:color="auto"/>
            </w:tcBorders>
            <w:shd w:val="clear" w:color="000000" w:fill="FFFFFF"/>
            <w:noWrap/>
            <w:vAlign w:val="bottom"/>
            <w:hideMark/>
          </w:tcPr>
          <w:p w14:paraId="3F2AB695"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401.8</w:t>
            </w:r>
          </w:p>
        </w:tc>
        <w:tc>
          <w:tcPr>
            <w:tcW w:w="912" w:type="dxa"/>
            <w:tcBorders>
              <w:top w:val="nil"/>
              <w:left w:val="single" w:sz="4" w:space="0" w:color="auto"/>
              <w:bottom w:val="nil"/>
              <w:right w:val="single" w:sz="4" w:space="0" w:color="auto"/>
            </w:tcBorders>
            <w:shd w:val="clear" w:color="000000" w:fill="FFFFFF"/>
            <w:noWrap/>
            <w:vAlign w:val="bottom"/>
            <w:hideMark/>
          </w:tcPr>
          <w:p w14:paraId="64AB44C6"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200.3</w:t>
            </w:r>
          </w:p>
        </w:tc>
        <w:tc>
          <w:tcPr>
            <w:tcW w:w="789" w:type="dxa"/>
            <w:tcBorders>
              <w:top w:val="nil"/>
              <w:left w:val="single" w:sz="4" w:space="0" w:color="auto"/>
              <w:bottom w:val="nil"/>
              <w:right w:val="single" w:sz="4" w:space="0" w:color="auto"/>
            </w:tcBorders>
            <w:shd w:val="clear" w:color="000000" w:fill="FFFFFF"/>
            <w:noWrap/>
            <w:vAlign w:val="bottom"/>
            <w:hideMark/>
          </w:tcPr>
          <w:p w14:paraId="197A472F" w14:textId="041ACC3B"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hideMark/>
          </w:tcPr>
          <w:p w14:paraId="03099518" w14:textId="2A1EDA03"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21A963FB" w14:textId="517FB6A0"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nil"/>
              <w:right w:val="single" w:sz="4" w:space="0" w:color="auto"/>
            </w:tcBorders>
            <w:shd w:val="clear" w:color="000000" w:fill="FFFFFF"/>
            <w:noWrap/>
            <w:vAlign w:val="bottom"/>
            <w:hideMark/>
          </w:tcPr>
          <w:p w14:paraId="7A6D58BE" w14:textId="542C7B74"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hideMark/>
          </w:tcPr>
          <w:p w14:paraId="4FF26995" w14:textId="411FB137"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tcPr>
          <w:p w14:paraId="21C95D03" w14:textId="6681AD51" w:rsidR="005F2EE7" w:rsidRPr="00BD10C8" w:rsidRDefault="005F2EE7" w:rsidP="00F12F8B">
            <w:pPr>
              <w:jc w:val="right"/>
              <w:rPr>
                <w:color w:val="000000"/>
                <w:sz w:val="18"/>
                <w:szCs w:val="18"/>
                <w:lang w:val="es-GT" w:eastAsia="es-GT"/>
              </w:rPr>
            </w:pPr>
          </w:p>
        </w:tc>
      </w:tr>
      <w:tr w:rsidR="00F12F8B" w:rsidRPr="00BD10C8" w14:paraId="1C5ED787"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770B36F0"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Secretarías</w:t>
            </w:r>
          </w:p>
        </w:tc>
        <w:tc>
          <w:tcPr>
            <w:tcW w:w="992" w:type="dxa"/>
            <w:tcBorders>
              <w:top w:val="nil"/>
              <w:left w:val="single" w:sz="4" w:space="0" w:color="auto"/>
              <w:bottom w:val="nil"/>
              <w:right w:val="single" w:sz="4" w:space="0" w:color="auto"/>
            </w:tcBorders>
            <w:shd w:val="clear" w:color="000000" w:fill="FFFFFF"/>
            <w:noWrap/>
            <w:vAlign w:val="bottom"/>
            <w:hideMark/>
          </w:tcPr>
          <w:p w14:paraId="0447959E"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508.4</w:t>
            </w:r>
          </w:p>
        </w:tc>
        <w:tc>
          <w:tcPr>
            <w:tcW w:w="992" w:type="dxa"/>
            <w:tcBorders>
              <w:top w:val="nil"/>
              <w:left w:val="single" w:sz="4" w:space="0" w:color="auto"/>
              <w:bottom w:val="nil"/>
              <w:right w:val="single" w:sz="4" w:space="0" w:color="auto"/>
            </w:tcBorders>
            <w:shd w:val="clear" w:color="000000" w:fill="FFFFFF"/>
            <w:noWrap/>
            <w:vAlign w:val="bottom"/>
            <w:hideMark/>
          </w:tcPr>
          <w:p w14:paraId="49438EC3"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613.7</w:t>
            </w:r>
          </w:p>
        </w:tc>
        <w:tc>
          <w:tcPr>
            <w:tcW w:w="912" w:type="dxa"/>
            <w:tcBorders>
              <w:top w:val="nil"/>
              <w:left w:val="single" w:sz="4" w:space="0" w:color="auto"/>
              <w:bottom w:val="nil"/>
              <w:right w:val="single" w:sz="4" w:space="0" w:color="auto"/>
            </w:tcBorders>
            <w:shd w:val="clear" w:color="000000" w:fill="FFFFFF"/>
            <w:noWrap/>
            <w:vAlign w:val="bottom"/>
            <w:hideMark/>
          </w:tcPr>
          <w:p w14:paraId="3FC8A9CE"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105.3</w:t>
            </w:r>
          </w:p>
        </w:tc>
        <w:tc>
          <w:tcPr>
            <w:tcW w:w="789" w:type="dxa"/>
            <w:tcBorders>
              <w:top w:val="nil"/>
              <w:left w:val="single" w:sz="4" w:space="0" w:color="auto"/>
              <w:bottom w:val="nil"/>
              <w:right w:val="single" w:sz="4" w:space="0" w:color="auto"/>
            </w:tcBorders>
            <w:shd w:val="clear" w:color="000000" w:fill="FFFFFF"/>
            <w:noWrap/>
            <w:vAlign w:val="bottom"/>
            <w:hideMark/>
          </w:tcPr>
          <w:p w14:paraId="10270AF2" w14:textId="2986FF66"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hideMark/>
          </w:tcPr>
          <w:p w14:paraId="44DBA7DA" w14:textId="43222D1E"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39C32A0A" w14:textId="7EBBCCAB"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nil"/>
              <w:right w:val="single" w:sz="4" w:space="0" w:color="auto"/>
            </w:tcBorders>
            <w:shd w:val="clear" w:color="000000" w:fill="FFFFFF"/>
            <w:noWrap/>
            <w:vAlign w:val="bottom"/>
            <w:hideMark/>
          </w:tcPr>
          <w:p w14:paraId="0F30A54A" w14:textId="57310332"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9.9 </w:t>
            </w:r>
          </w:p>
        </w:tc>
        <w:tc>
          <w:tcPr>
            <w:tcW w:w="850" w:type="dxa"/>
            <w:tcBorders>
              <w:top w:val="nil"/>
              <w:left w:val="single" w:sz="4" w:space="0" w:color="auto"/>
              <w:bottom w:val="nil"/>
              <w:right w:val="single" w:sz="4" w:space="0" w:color="auto"/>
            </w:tcBorders>
            <w:shd w:val="clear" w:color="000000" w:fill="FFFFFF"/>
            <w:noWrap/>
            <w:vAlign w:val="bottom"/>
            <w:hideMark/>
          </w:tcPr>
          <w:p w14:paraId="5841D1B0" w14:textId="77FD96E0"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9.7 </w:t>
            </w:r>
          </w:p>
        </w:tc>
        <w:tc>
          <w:tcPr>
            <w:tcW w:w="709" w:type="dxa"/>
            <w:tcBorders>
              <w:top w:val="nil"/>
              <w:left w:val="single" w:sz="4" w:space="0" w:color="auto"/>
              <w:bottom w:val="nil"/>
              <w:right w:val="single" w:sz="4" w:space="0" w:color="auto"/>
            </w:tcBorders>
            <w:shd w:val="clear" w:color="000000" w:fill="FFFFFF"/>
            <w:noWrap/>
            <w:vAlign w:val="bottom"/>
            <w:hideMark/>
          </w:tcPr>
          <w:p w14:paraId="7016238D"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-0.1</w:t>
            </w:r>
          </w:p>
        </w:tc>
      </w:tr>
      <w:tr w:rsidR="00F12F8B" w:rsidRPr="00BD10C8" w14:paraId="1D1096C6"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7D7F20E5"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Ambiente</w:t>
            </w:r>
          </w:p>
        </w:tc>
        <w:tc>
          <w:tcPr>
            <w:tcW w:w="992" w:type="dxa"/>
            <w:tcBorders>
              <w:top w:val="nil"/>
              <w:left w:val="single" w:sz="4" w:space="0" w:color="auto"/>
              <w:bottom w:val="nil"/>
              <w:right w:val="single" w:sz="4" w:space="0" w:color="auto"/>
            </w:tcBorders>
            <w:shd w:val="clear" w:color="000000" w:fill="FFFFFF"/>
            <w:noWrap/>
            <w:vAlign w:val="bottom"/>
            <w:hideMark/>
          </w:tcPr>
          <w:p w14:paraId="111DDCA4"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70.1</w:t>
            </w:r>
          </w:p>
        </w:tc>
        <w:tc>
          <w:tcPr>
            <w:tcW w:w="992" w:type="dxa"/>
            <w:tcBorders>
              <w:top w:val="nil"/>
              <w:left w:val="single" w:sz="4" w:space="0" w:color="auto"/>
              <w:bottom w:val="nil"/>
              <w:right w:val="single" w:sz="4" w:space="0" w:color="auto"/>
            </w:tcBorders>
            <w:shd w:val="clear" w:color="000000" w:fill="FFFFFF"/>
            <w:noWrap/>
            <w:vAlign w:val="bottom"/>
            <w:hideMark/>
          </w:tcPr>
          <w:p w14:paraId="41A64556"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75.1</w:t>
            </w:r>
          </w:p>
        </w:tc>
        <w:tc>
          <w:tcPr>
            <w:tcW w:w="912" w:type="dxa"/>
            <w:tcBorders>
              <w:top w:val="nil"/>
              <w:left w:val="single" w:sz="4" w:space="0" w:color="auto"/>
              <w:bottom w:val="nil"/>
              <w:right w:val="single" w:sz="4" w:space="0" w:color="auto"/>
            </w:tcBorders>
            <w:shd w:val="clear" w:color="000000" w:fill="FFFFFF"/>
            <w:noWrap/>
            <w:vAlign w:val="bottom"/>
            <w:hideMark/>
          </w:tcPr>
          <w:p w14:paraId="22BED234"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5.0</w:t>
            </w:r>
          </w:p>
        </w:tc>
        <w:tc>
          <w:tcPr>
            <w:tcW w:w="789" w:type="dxa"/>
            <w:tcBorders>
              <w:top w:val="nil"/>
              <w:left w:val="single" w:sz="4" w:space="0" w:color="auto"/>
              <w:bottom w:val="nil"/>
              <w:right w:val="single" w:sz="4" w:space="0" w:color="auto"/>
            </w:tcBorders>
            <w:shd w:val="clear" w:color="000000" w:fill="FFFFFF"/>
            <w:noWrap/>
            <w:vAlign w:val="bottom"/>
            <w:hideMark/>
          </w:tcPr>
          <w:p w14:paraId="0D92E631" w14:textId="5E94C240"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nil"/>
              <w:right w:val="single" w:sz="4" w:space="0" w:color="auto"/>
            </w:tcBorders>
            <w:shd w:val="clear" w:color="000000" w:fill="FFFFFF"/>
            <w:noWrap/>
            <w:vAlign w:val="bottom"/>
            <w:hideMark/>
          </w:tcPr>
          <w:p w14:paraId="57959C59" w14:textId="7D553F37"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nil"/>
              <w:right w:val="single" w:sz="4" w:space="0" w:color="auto"/>
            </w:tcBorders>
            <w:shd w:val="clear" w:color="000000" w:fill="FFFFFF"/>
            <w:noWrap/>
            <w:vAlign w:val="bottom"/>
            <w:hideMark/>
          </w:tcPr>
          <w:p w14:paraId="219BE52A" w14:textId="006CE93F"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nil"/>
              <w:right w:val="single" w:sz="4" w:space="0" w:color="auto"/>
            </w:tcBorders>
            <w:shd w:val="clear" w:color="000000" w:fill="FFFFFF"/>
            <w:noWrap/>
            <w:vAlign w:val="bottom"/>
            <w:hideMark/>
          </w:tcPr>
          <w:p w14:paraId="74B34622" w14:textId="0A372567"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4.3 </w:t>
            </w:r>
          </w:p>
        </w:tc>
        <w:tc>
          <w:tcPr>
            <w:tcW w:w="850" w:type="dxa"/>
            <w:tcBorders>
              <w:top w:val="nil"/>
              <w:left w:val="single" w:sz="4" w:space="0" w:color="auto"/>
              <w:bottom w:val="nil"/>
              <w:right w:val="single" w:sz="4" w:space="0" w:color="auto"/>
            </w:tcBorders>
            <w:shd w:val="clear" w:color="000000" w:fill="FFFFFF"/>
            <w:noWrap/>
            <w:vAlign w:val="bottom"/>
            <w:hideMark/>
          </w:tcPr>
          <w:p w14:paraId="1C968A4E" w14:textId="58F002DB"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5.0 </w:t>
            </w:r>
          </w:p>
        </w:tc>
        <w:tc>
          <w:tcPr>
            <w:tcW w:w="709" w:type="dxa"/>
            <w:tcBorders>
              <w:top w:val="nil"/>
              <w:left w:val="single" w:sz="4" w:space="0" w:color="auto"/>
              <w:bottom w:val="nil"/>
              <w:right w:val="single" w:sz="4" w:space="0" w:color="auto"/>
            </w:tcBorders>
            <w:shd w:val="clear" w:color="000000" w:fill="FFFFFF"/>
            <w:noWrap/>
            <w:vAlign w:val="bottom"/>
            <w:hideMark/>
          </w:tcPr>
          <w:p w14:paraId="564480DE"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0.7</w:t>
            </w:r>
          </w:p>
        </w:tc>
      </w:tr>
      <w:tr w:rsidR="00F12F8B" w:rsidRPr="00BD10C8" w14:paraId="7A1474D4"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2074E068"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Obligaciones</w:t>
            </w:r>
          </w:p>
        </w:tc>
        <w:tc>
          <w:tcPr>
            <w:tcW w:w="992" w:type="dxa"/>
            <w:tcBorders>
              <w:top w:val="nil"/>
              <w:left w:val="single" w:sz="4" w:space="0" w:color="auto"/>
              <w:bottom w:val="nil"/>
              <w:right w:val="single" w:sz="4" w:space="0" w:color="auto"/>
            </w:tcBorders>
            <w:shd w:val="clear" w:color="000000" w:fill="FFFFFF"/>
            <w:noWrap/>
            <w:vAlign w:val="bottom"/>
            <w:hideMark/>
          </w:tcPr>
          <w:p w14:paraId="3ED1AB48"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13,957.3</w:t>
            </w:r>
          </w:p>
        </w:tc>
        <w:tc>
          <w:tcPr>
            <w:tcW w:w="992" w:type="dxa"/>
            <w:tcBorders>
              <w:top w:val="nil"/>
              <w:left w:val="single" w:sz="4" w:space="0" w:color="auto"/>
              <w:bottom w:val="nil"/>
              <w:right w:val="single" w:sz="4" w:space="0" w:color="auto"/>
            </w:tcBorders>
            <w:shd w:val="clear" w:color="000000" w:fill="FFFFFF"/>
            <w:noWrap/>
            <w:vAlign w:val="bottom"/>
            <w:hideMark/>
          </w:tcPr>
          <w:p w14:paraId="0CA4B729"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17,429.9</w:t>
            </w:r>
          </w:p>
        </w:tc>
        <w:tc>
          <w:tcPr>
            <w:tcW w:w="912" w:type="dxa"/>
            <w:tcBorders>
              <w:top w:val="nil"/>
              <w:left w:val="single" w:sz="4" w:space="0" w:color="auto"/>
              <w:bottom w:val="nil"/>
              <w:right w:val="single" w:sz="4" w:space="0" w:color="auto"/>
            </w:tcBorders>
            <w:shd w:val="clear" w:color="000000" w:fill="FFFFFF"/>
            <w:noWrap/>
            <w:vAlign w:val="bottom"/>
            <w:hideMark/>
          </w:tcPr>
          <w:p w14:paraId="261356BE"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3,472.7</w:t>
            </w:r>
          </w:p>
        </w:tc>
        <w:tc>
          <w:tcPr>
            <w:tcW w:w="789" w:type="dxa"/>
            <w:tcBorders>
              <w:top w:val="nil"/>
              <w:left w:val="single" w:sz="4" w:space="0" w:color="auto"/>
              <w:bottom w:val="nil"/>
              <w:right w:val="single" w:sz="4" w:space="0" w:color="auto"/>
            </w:tcBorders>
            <w:shd w:val="clear" w:color="000000" w:fill="FFFFFF"/>
            <w:noWrap/>
            <w:vAlign w:val="bottom"/>
            <w:hideMark/>
          </w:tcPr>
          <w:p w14:paraId="4EF38F5D" w14:textId="241FAE7A"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958.2 </w:t>
            </w:r>
          </w:p>
        </w:tc>
        <w:tc>
          <w:tcPr>
            <w:tcW w:w="851" w:type="dxa"/>
            <w:tcBorders>
              <w:top w:val="nil"/>
              <w:left w:val="single" w:sz="4" w:space="0" w:color="auto"/>
              <w:bottom w:val="nil"/>
              <w:right w:val="single" w:sz="4" w:space="0" w:color="auto"/>
            </w:tcBorders>
            <w:shd w:val="clear" w:color="000000" w:fill="FFFFFF"/>
            <w:noWrap/>
            <w:vAlign w:val="bottom"/>
            <w:hideMark/>
          </w:tcPr>
          <w:p w14:paraId="70CFC28A" w14:textId="278C6526"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105.0 </w:t>
            </w:r>
          </w:p>
        </w:tc>
        <w:tc>
          <w:tcPr>
            <w:tcW w:w="882" w:type="dxa"/>
            <w:tcBorders>
              <w:top w:val="nil"/>
              <w:left w:val="single" w:sz="4" w:space="0" w:color="auto"/>
              <w:bottom w:val="nil"/>
              <w:right w:val="single" w:sz="4" w:space="0" w:color="auto"/>
            </w:tcBorders>
            <w:shd w:val="clear" w:color="000000" w:fill="FFFFFF"/>
            <w:noWrap/>
            <w:vAlign w:val="bottom"/>
            <w:hideMark/>
          </w:tcPr>
          <w:p w14:paraId="6D672D94"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-853.2</w:t>
            </w:r>
          </w:p>
        </w:tc>
        <w:tc>
          <w:tcPr>
            <w:tcW w:w="819" w:type="dxa"/>
            <w:tcBorders>
              <w:top w:val="nil"/>
              <w:left w:val="single" w:sz="4" w:space="0" w:color="auto"/>
              <w:bottom w:val="nil"/>
              <w:right w:val="single" w:sz="4" w:space="0" w:color="auto"/>
            </w:tcBorders>
            <w:shd w:val="clear" w:color="000000" w:fill="FFFFFF"/>
            <w:noWrap/>
            <w:vAlign w:val="bottom"/>
            <w:hideMark/>
          </w:tcPr>
          <w:p w14:paraId="2A4C73F0" w14:textId="1FB90BCE"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70.0 </w:t>
            </w:r>
          </w:p>
        </w:tc>
        <w:tc>
          <w:tcPr>
            <w:tcW w:w="850" w:type="dxa"/>
            <w:tcBorders>
              <w:top w:val="nil"/>
              <w:left w:val="single" w:sz="4" w:space="0" w:color="auto"/>
              <w:bottom w:val="nil"/>
              <w:right w:val="single" w:sz="4" w:space="0" w:color="auto"/>
            </w:tcBorders>
            <w:shd w:val="clear" w:color="000000" w:fill="FFFFFF"/>
            <w:noWrap/>
            <w:vAlign w:val="bottom"/>
            <w:hideMark/>
          </w:tcPr>
          <w:p w14:paraId="52088AB0" w14:textId="7E3E148C"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hideMark/>
          </w:tcPr>
          <w:p w14:paraId="2CBD6D3C"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-70.0</w:t>
            </w:r>
          </w:p>
        </w:tc>
      </w:tr>
      <w:tr w:rsidR="00F12F8B" w:rsidRPr="00BD10C8" w14:paraId="488592B5"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7DD2E7A4" w14:textId="208B7E0C" w:rsidR="005F2EE7" w:rsidRPr="00BD10C8" w:rsidRDefault="005F2EE7" w:rsidP="0042480D">
            <w:pPr>
              <w:rPr>
                <w:color w:val="000000"/>
                <w:sz w:val="18"/>
                <w:szCs w:val="18"/>
                <w:lang w:val="es-GT" w:eastAsia="es-GT"/>
              </w:rPr>
            </w:pPr>
            <w:r w:rsidRPr="00BD10C8">
              <w:rPr>
                <w:color w:val="000000"/>
                <w:sz w:val="18"/>
                <w:szCs w:val="18"/>
                <w:lang w:val="es-GT" w:eastAsia="es-GT"/>
              </w:rPr>
              <w:t>Deuda</w:t>
            </w:r>
            <w:r w:rsidR="00BD10C8">
              <w:rPr>
                <w:color w:val="000000"/>
                <w:sz w:val="18"/>
                <w:szCs w:val="18"/>
                <w:lang w:val="es-GT" w:eastAsia="es-GT"/>
              </w:rPr>
              <w:t xml:space="preserve"> Pública</w:t>
            </w:r>
          </w:p>
        </w:tc>
        <w:tc>
          <w:tcPr>
            <w:tcW w:w="992" w:type="dxa"/>
            <w:tcBorders>
              <w:top w:val="nil"/>
              <w:left w:val="single" w:sz="4" w:space="0" w:color="auto"/>
              <w:bottom w:val="nil"/>
              <w:right w:val="single" w:sz="4" w:space="0" w:color="auto"/>
            </w:tcBorders>
            <w:shd w:val="clear" w:color="000000" w:fill="FFFFFF"/>
            <w:noWrap/>
            <w:vAlign w:val="bottom"/>
            <w:hideMark/>
          </w:tcPr>
          <w:p w14:paraId="1F0D7DE2"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5,239.5</w:t>
            </w:r>
          </w:p>
        </w:tc>
        <w:tc>
          <w:tcPr>
            <w:tcW w:w="992" w:type="dxa"/>
            <w:tcBorders>
              <w:top w:val="nil"/>
              <w:left w:val="single" w:sz="4" w:space="0" w:color="auto"/>
              <w:bottom w:val="nil"/>
              <w:right w:val="single" w:sz="4" w:space="0" w:color="auto"/>
            </w:tcBorders>
            <w:shd w:val="clear" w:color="000000" w:fill="FFFFFF"/>
            <w:noWrap/>
            <w:vAlign w:val="bottom"/>
            <w:hideMark/>
          </w:tcPr>
          <w:p w14:paraId="63A311F4"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6,901.1</w:t>
            </w:r>
          </w:p>
        </w:tc>
        <w:tc>
          <w:tcPr>
            <w:tcW w:w="912" w:type="dxa"/>
            <w:tcBorders>
              <w:top w:val="nil"/>
              <w:left w:val="single" w:sz="4" w:space="0" w:color="auto"/>
              <w:bottom w:val="nil"/>
              <w:right w:val="single" w:sz="4" w:space="0" w:color="auto"/>
            </w:tcBorders>
            <w:shd w:val="clear" w:color="000000" w:fill="FFFFFF"/>
            <w:noWrap/>
            <w:vAlign w:val="bottom"/>
            <w:hideMark/>
          </w:tcPr>
          <w:p w14:paraId="01F4A918"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1,661.6</w:t>
            </w:r>
          </w:p>
        </w:tc>
        <w:tc>
          <w:tcPr>
            <w:tcW w:w="789" w:type="dxa"/>
            <w:tcBorders>
              <w:top w:val="nil"/>
              <w:left w:val="single" w:sz="4" w:space="0" w:color="auto"/>
              <w:bottom w:val="nil"/>
              <w:right w:val="single" w:sz="4" w:space="0" w:color="auto"/>
            </w:tcBorders>
            <w:shd w:val="clear" w:color="000000" w:fill="FFFFFF"/>
            <w:noWrap/>
            <w:vAlign w:val="bottom"/>
            <w:hideMark/>
          </w:tcPr>
          <w:p w14:paraId="22079CF7" w14:textId="2559BEDD"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2,069.3 </w:t>
            </w:r>
          </w:p>
        </w:tc>
        <w:tc>
          <w:tcPr>
            <w:tcW w:w="851" w:type="dxa"/>
            <w:tcBorders>
              <w:top w:val="nil"/>
              <w:left w:val="single" w:sz="4" w:space="0" w:color="auto"/>
              <w:bottom w:val="nil"/>
              <w:right w:val="single" w:sz="4" w:space="0" w:color="auto"/>
            </w:tcBorders>
            <w:shd w:val="clear" w:color="000000" w:fill="FFFFFF"/>
            <w:noWrap/>
            <w:vAlign w:val="bottom"/>
            <w:hideMark/>
          </w:tcPr>
          <w:p w14:paraId="191D7FC2" w14:textId="792A6339"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933.1 </w:t>
            </w:r>
          </w:p>
        </w:tc>
        <w:tc>
          <w:tcPr>
            <w:tcW w:w="882" w:type="dxa"/>
            <w:tcBorders>
              <w:top w:val="nil"/>
              <w:left w:val="single" w:sz="4" w:space="0" w:color="auto"/>
              <w:bottom w:val="nil"/>
              <w:right w:val="single" w:sz="4" w:space="0" w:color="auto"/>
            </w:tcBorders>
            <w:shd w:val="clear" w:color="000000" w:fill="FFFFFF"/>
            <w:noWrap/>
            <w:vAlign w:val="bottom"/>
            <w:hideMark/>
          </w:tcPr>
          <w:p w14:paraId="1BBAFFA8"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-1,136.2</w:t>
            </w:r>
          </w:p>
        </w:tc>
        <w:tc>
          <w:tcPr>
            <w:tcW w:w="819" w:type="dxa"/>
            <w:tcBorders>
              <w:top w:val="nil"/>
              <w:left w:val="single" w:sz="4" w:space="0" w:color="auto"/>
              <w:bottom w:val="nil"/>
              <w:right w:val="single" w:sz="4" w:space="0" w:color="auto"/>
            </w:tcBorders>
            <w:shd w:val="clear" w:color="000000" w:fill="FFFFFF"/>
            <w:noWrap/>
            <w:vAlign w:val="bottom"/>
            <w:hideMark/>
          </w:tcPr>
          <w:p w14:paraId="6FEEA320" w14:textId="29253FD9"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nil"/>
              <w:right w:val="single" w:sz="4" w:space="0" w:color="auto"/>
            </w:tcBorders>
            <w:shd w:val="clear" w:color="000000" w:fill="FFFFFF"/>
            <w:noWrap/>
            <w:vAlign w:val="bottom"/>
            <w:hideMark/>
          </w:tcPr>
          <w:p w14:paraId="30F4ED53" w14:textId="34CF347D"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hideMark/>
          </w:tcPr>
          <w:p w14:paraId="3F4155CE" w14:textId="4F8E9134" w:rsidR="005F2EE7" w:rsidRPr="00BD10C8" w:rsidRDefault="005F2EE7" w:rsidP="00F12F8B">
            <w:pPr>
              <w:jc w:val="right"/>
              <w:rPr>
                <w:color w:val="000000"/>
                <w:sz w:val="18"/>
                <w:szCs w:val="18"/>
                <w:lang w:val="es-GT" w:eastAsia="es-GT"/>
              </w:rPr>
            </w:pPr>
          </w:p>
        </w:tc>
      </w:tr>
      <w:tr w:rsidR="00F12F8B" w:rsidRPr="00BD10C8" w14:paraId="5FC988C1" w14:textId="77777777" w:rsidTr="00F12F8B">
        <w:trPr>
          <w:trHeight w:val="180"/>
          <w:jc w:val="center"/>
        </w:trPr>
        <w:tc>
          <w:tcPr>
            <w:tcW w:w="1550" w:type="dxa"/>
            <w:tcBorders>
              <w:top w:val="nil"/>
              <w:left w:val="single" w:sz="8" w:space="0" w:color="auto"/>
              <w:bottom w:val="nil"/>
              <w:right w:val="nil"/>
            </w:tcBorders>
            <w:shd w:val="clear" w:color="000000" w:fill="FFFFFF"/>
            <w:noWrap/>
            <w:vAlign w:val="bottom"/>
            <w:hideMark/>
          </w:tcPr>
          <w:p w14:paraId="4759FF8C" w14:textId="4D0FF613" w:rsidR="005F2EE7" w:rsidRPr="00BD10C8" w:rsidRDefault="005F2EE7" w:rsidP="0042480D">
            <w:pPr>
              <w:rPr>
                <w:color w:val="000000"/>
                <w:sz w:val="18"/>
                <w:szCs w:val="18"/>
                <w:lang w:val="es-GT" w:eastAsia="es-GT"/>
              </w:rPr>
            </w:pPr>
            <w:r w:rsidRPr="00BD10C8">
              <w:rPr>
                <w:color w:val="000000"/>
                <w:sz w:val="18"/>
                <w:szCs w:val="18"/>
                <w:lang w:val="es-GT" w:eastAsia="es-GT"/>
              </w:rPr>
              <w:t>Desarrollo</w:t>
            </w:r>
            <w:r w:rsidR="00BD10C8">
              <w:rPr>
                <w:color w:val="000000"/>
                <w:sz w:val="18"/>
                <w:szCs w:val="18"/>
                <w:lang w:val="es-GT" w:eastAsia="es-GT"/>
              </w:rPr>
              <w:t xml:space="preserve"> Social</w:t>
            </w:r>
          </w:p>
        </w:tc>
        <w:tc>
          <w:tcPr>
            <w:tcW w:w="992" w:type="dxa"/>
            <w:tcBorders>
              <w:top w:val="nil"/>
              <w:left w:val="single" w:sz="4" w:space="0" w:color="auto"/>
              <w:bottom w:val="nil"/>
              <w:right w:val="single" w:sz="4" w:space="0" w:color="auto"/>
            </w:tcBorders>
            <w:shd w:val="clear" w:color="000000" w:fill="FFFFFF"/>
            <w:noWrap/>
            <w:vAlign w:val="bottom"/>
            <w:hideMark/>
          </w:tcPr>
          <w:p w14:paraId="62AD76DF"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411.1</w:t>
            </w:r>
          </w:p>
        </w:tc>
        <w:tc>
          <w:tcPr>
            <w:tcW w:w="992" w:type="dxa"/>
            <w:tcBorders>
              <w:top w:val="nil"/>
              <w:left w:val="single" w:sz="4" w:space="0" w:color="auto"/>
              <w:bottom w:val="nil"/>
              <w:right w:val="single" w:sz="4" w:space="0" w:color="auto"/>
            </w:tcBorders>
            <w:shd w:val="clear" w:color="000000" w:fill="FFFFFF"/>
            <w:noWrap/>
            <w:vAlign w:val="bottom"/>
            <w:hideMark/>
          </w:tcPr>
          <w:p w14:paraId="33B6411F"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734.9</w:t>
            </w:r>
          </w:p>
        </w:tc>
        <w:tc>
          <w:tcPr>
            <w:tcW w:w="912" w:type="dxa"/>
            <w:tcBorders>
              <w:top w:val="nil"/>
              <w:left w:val="single" w:sz="4" w:space="0" w:color="auto"/>
              <w:bottom w:val="nil"/>
              <w:right w:val="single" w:sz="4" w:space="0" w:color="auto"/>
            </w:tcBorders>
            <w:shd w:val="clear" w:color="000000" w:fill="FFFFFF"/>
            <w:noWrap/>
            <w:vAlign w:val="bottom"/>
            <w:hideMark/>
          </w:tcPr>
          <w:p w14:paraId="71ED229E"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323.8</w:t>
            </w:r>
          </w:p>
        </w:tc>
        <w:tc>
          <w:tcPr>
            <w:tcW w:w="789" w:type="dxa"/>
            <w:tcBorders>
              <w:top w:val="nil"/>
              <w:left w:val="single" w:sz="4" w:space="0" w:color="auto"/>
              <w:bottom w:val="nil"/>
              <w:right w:val="single" w:sz="4" w:space="0" w:color="auto"/>
            </w:tcBorders>
            <w:shd w:val="clear" w:color="000000" w:fill="FFFFFF"/>
            <w:noWrap/>
            <w:vAlign w:val="bottom"/>
            <w:hideMark/>
          </w:tcPr>
          <w:p w14:paraId="3155F7DE" w14:textId="1506424B"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95.0 </w:t>
            </w:r>
          </w:p>
        </w:tc>
        <w:tc>
          <w:tcPr>
            <w:tcW w:w="851" w:type="dxa"/>
            <w:tcBorders>
              <w:top w:val="nil"/>
              <w:left w:val="single" w:sz="4" w:space="0" w:color="auto"/>
              <w:bottom w:val="nil"/>
              <w:right w:val="single" w:sz="4" w:space="0" w:color="auto"/>
            </w:tcBorders>
            <w:shd w:val="clear" w:color="000000" w:fill="FFFFFF"/>
            <w:noWrap/>
            <w:vAlign w:val="bottom"/>
            <w:hideMark/>
          </w:tcPr>
          <w:p w14:paraId="4A12CBDA" w14:textId="1D04A4A1"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61.6 </w:t>
            </w:r>
          </w:p>
        </w:tc>
        <w:tc>
          <w:tcPr>
            <w:tcW w:w="882" w:type="dxa"/>
            <w:tcBorders>
              <w:top w:val="nil"/>
              <w:left w:val="single" w:sz="4" w:space="0" w:color="auto"/>
              <w:bottom w:val="nil"/>
              <w:right w:val="single" w:sz="4" w:space="0" w:color="auto"/>
            </w:tcBorders>
            <w:shd w:val="clear" w:color="000000" w:fill="FFFFFF"/>
            <w:noWrap/>
            <w:vAlign w:val="bottom"/>
            <w:hideMark/>
          </w:tcPr>
          <w:p w14:paraId="4E23399E"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-33.4</w:t>
            </w:r>
          </w:p>
        </w:tc>
        <w:tc>
          <w:tcPr>
            <w:tcW w:w="819" w:type="dxa"/>
            <w:tcBorders>
              <w:top w:val="nil"/>
              <w:left w:val="single" w:sz="4" w:space="0" w:color="auto"/>
              <w:bottom w:val="nil"/>
              <w:right w:val="single" w:sz="4" w:space="0" w:color="auto"/>
            </w:tcBorders>
            <w:shd w:val="clear" w:color="000000" w:fill="FFFFFF"/>
            <w:noWrap/>
            <w:vAlign w:val="bottom"/>
            <w:hideMark/>
          </w:tcPr>
          <w:p w14:paraId="386650EB" w14:textId="43788D8D" w:rsidR="005F2EE7" w:rsidRPr="00BD10C8" w:rsidRDefault="005F2EE7" w:rsidP="00F12F8B">
            <w:pPr>
              <w:jc w:val="right"/>
              <w:rPr>
                <w:color w:val="000000"/>
                <w:sz w:val="18"/>
                <w:szCs w:val="18"/>
                <w:lang w:val="es-GT" w:eastAsia="es-GT"/>
              </w:rPr>
            </w:pPr>
            <w:r w:rsidRPr="00BD10C8">
              <w:rPr>
                <w:color w:val="000000"/>
                <w:sz w:val="18"/>
                <w:szCs w:val="18"/>
                <w:lang w:val="es-GT" w:eastAsia="es-GT"/>
              </w:rPr>
              <w:t xml:space="preserve">1.2 </w:t>
            </w:r>
          </w:p>
        </w:tc>
        <w:tc>
          <w:tcPr>
            <w:tcW w:w="850" w:type="dxa"/>
            <w:tcBorders>
              <w:top w:val="nil"/>
              <w:left w:val="single" w:sz="4" w:space="0" w:color="auto"/>
              <w:bottom w:val="nil"/>
              <w:right w:val="single" w:sz="4" w:space="0" w:color="auto"/>
            </w:tcBorders>
            <w:shd w:val="clear" w:color="000000" w:fill="FFFFFF"/>
            <w:noWrap/>
            <w:vAlign w:val="bottom"/>
            <w:hideMark/>
          </w:tcPr>
          <w:p w14:paraId="483B1E23" w14:textId="7807440A"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nil"/>
              <w:right w:val="single" w:sz="4" w:space="0" w:color="auto"/>
            </w:tcBorders>
            <w:shd w:val="clear" w:color="000000" w:fill="FFFFFF"/>
            <w:noWrap/>
            <w:vAlign w:val="bottom"/>
            <w:hideMark/>
          </w:tcPr>
          <w:p w14:paraId="1F000B98"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-1.2</w:t>
            </w:r>
          </w:p>
        </w:tc>
      </w:tr>
      <w:tr w:rsidR="00F12F8B" w:rsidRPr="00BD10C8" w14:paraId="2B0DE90D" w14:textId="77777777" w:rsidTr="00F12F8B">
        <w:trPr>
          <w:trHeight w:val="180"/>
          <w:jc w:val="center"/>
        </w:trPr>
        <w:tc>
          <w:tcPr>
            <w:tcW w:w="1550" w:type="dxa"/>
            <w:tcBorders>
              <w:top w:val="nil"/>
              <w:left w:val="single" w:sz="8" w:space="0" w:color="auto"/>
              <w:bottom w:val="single" w:sz="8" w:space="0" w:color="auto"/>
              <w:right w:val="nil"/>
            </w:tcBorders>
            <w:shd w:val="clear" w:color="000000" w:fill="FFFFFF"/>
            <w:noWrap/>
            <w:vAlign w:val="bottom"/>
            <w:hideMark/>
          </w:tcPr>
          <w:p w14:paraId="51903957" w14:textId="77777777" w:rsidR="005F2EE7" w:rsidRPr="00BD10C8" w:rsidRDefault="005F2EE7" w:rsidP="0042480D">
            <w:pPr>
              <w:rPr>
                <w:color w:val="000000"/>
                <w:sz w:val="18"/>
                <w:szCs w:val="18"/>
                <w:lang w:val="es-GT" w:eastAsia="es-GT"/>
              </w:rPr>
            </w:pPr>
            <w:r w:rsidRPr="00BD10C8">
              <w:rPr>
                <w:color w:val="000000"/>
                <w:sz w:val="18"/>
                <w:szCs w:val="18"/>
                <w:lang w:val="es-GT" w:eastAsia="es-GT"/>
              </w:rPr>
              <w:t>PGN</w:t>
            </w:r>
          </w:p>
        </w:tc>
        <w:tc>
          <w:tcPr>
            <w:tcW w:w="992" w:type="dxa"/>
            <w:tcBorders>
              <w:top w:val="nil"/>
              <w:left w:val="single" w:sz="4" w:space="0" w:color="auto"/>
              <w:bottom w:val="single" w:sz="8" w:space="0" w:color="auto"/>
              <w:right w:val="single" w:sz="4" w:space="0" w:color="auto"/>
            </w:tcBorders>
            <w:shd w:val="clear" w:color="000000" w:fill="FFFFFF"/>
            <w:noWrap/>
            <w:vAlign w:val="bottom"/>
            <w:hideMark/>
          </w:tcPr>
          <w:p w14:paraId="24F4A7A8"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71.6</w:t>
            </w:r>
          </w:p>
        </w:tc>
        <w:tc>
          <w:tcPr>
            <w:tcW w:w="992" w:type="dxa"/>
            <w:tcBorders>
              <w:top w:val="nil"/>
              <w:left w:val="single" w:sz="4" w:space="0" w:color="auto"/>
              <w:bottom w:val="single" w:sz="8" w:space="0" w:color="auto"/>
              <w:right w:val="single" w:sz="4" w:space="0" w:color="auto"/>
            </w:tcBorders>
            <w:shd w:val="clear" w:color="000000" w:fill="FFFFFF"/>
            <w:noWrap/>
            <w:vAlign w:val="bottom"/>
            <w:hideMark/>
          </w:tcPr>
          <w:p w14:paraId="58D0A4D5"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71.1</w:t>
            </w:r>
          </w:p>
        </w:tc>
        <w:tc>
          <w:tcPr>
            <w:tcW w:w="912" w:type="dxa"/>
            <w:tcBorders>
              <w:top w:val="nil"/>
              <w:left w:val="single" w:sz="4" w:space="0" w:color="auto"/>
              <w:bottom w:val="single" w:sz="8" w:space="0" w:color="auto"/>
              <w:right w:val="single" w:sz="4" w:space="0" w:color="auto"/>
            </w:tcBorders>
            <w:shd w:val="clear" w:color="000000" w:fill="FFFFFF"/>
            <w:noWrap/>
            <w:vAlign w:val="bottom"/>
            <w:hideMark/>
          </w:tcPr>
          <w:p w14:paraId="5750602F" w14:textId="77777777" w:rsidR="005F2EE7" w:rsidRPr="00BD10C8" w:rsidRDefault="005F2EE7" w:rsidP="00F12F8B">
            <w:pPr>
              <w:jc w:val="right"/>
              <w:rPr>
                <w:color w:val="000000"/>
                <w:sz w:val="18"/>
                <w:szCs w:val="18"/>
                <w:lang w:val="es-GT" w:eastAsia="es-GT"/>
              </w:rPr>
            </w:pPr>
            <w:r w:rsidRPr="00BD10C8">
              <w:rPr>
                <w:color w:val="000000"/>
                <w:sz w:val="18"/>
                <w:szCs w:val="18"/>
                <w:lang w:val="es-GT" w:eastAsia="es-GT"/>
              </w:rPr>
              <w:t>-0.5</w:t>
            </w:r>
          </w:p>
        </w:tc>
        <w:tc>
          <w:tcPr>
            <w:tcW w:w="789" w:type="dxa"/>
            <w:tcBorders>
              <w:top w:val="nil"/>
              <w:left w:val="single" w:sz="4" w:space="0" w:color="auto"/>
              <w:bottom w:val="single" w:sz="8" w:space="0" w:color="auto"/>
              <w:right w:val="single" w:sz="4" w:space="0" w:color="auto"/>
            </w:tcBorders>
            <w:shd w:val="clear" w:color="000000" w:fill="FFFFFF"/>
            <w:noWrap/>
            <w:vAlign w:val="bottom"/>
            <w:hideMark/>
          </w:tcPr>
          <w:p w14:paraId="4186DEFD" w14:textId="6B523A1F" w:rsidR="005F2EE7" w:rsidRPr="00BD10C8" w:rsidRDefault="005F2EE7" w:rsidP="00F12F8B">
            <w:pPr>
              <w:jc w:val="right"/>
              <w:rPr>
                <w:color w:val="000000"/>
                <w:sz w:val="18"/>
                <w:szCs w:val="18"/>
                <w:lang w:val="es-GT" w:eastAsia="es-GT"/>
              </w:rPr>
            </w:pPr>
          </w:p>
        </w:tc>
        <w:tc>
          <w:tcPr>
            <w:tcW w:w="851" w:type="dxa"/>
            <w:tcBorders>
              <w:top w:val="nil"/>
              <w:left w:val="single" w:sz="4" w:space="0" w:color="auto"/>
              <w:bottom w:val="single" w:sz="8" w:space="0" w:color="auto"/>
              <w:right w:val="single" w:sz="4" w:space="0" w:color="auto"/>
            </w:tcBorders>
            <w:shd w:val="clear" w:color="000000" w:fill="FFFFFF"/>
            <w:noWrap/>
            <w:vAlign w:val="bottom"/>
            <w:hideMark/>
          </w:tcPr>
          <w:p w14:paraId="6E2569AC" w14:textId="0926F0BD" w:rsidR="005F2EE7" w:rsidRPr="00BD10C8" w:rsidRDefault="005F2EE7" w:rsidP="00F12F8B">
            <w:pPr>
              <w:jc w:val="right"/>
              <w:rPr>
                <w:color w:val="000000"/>
                <w:sz w:val="18"/>
                <w:szCs w:val="18"/>
                <w:lang w:val="es-GT" w:eastAsia="es-GT"/>
              </w:rPr>
            </w:pPr>
          </w:p>
        </w:tc>
        <w:tc>
          <w:tcPr>
            <w:tcW w:w="882" w:type="dxa"/>
            <w:tcBorders>
              <w:top w:val="nil"/>
              <w:left w:val="single" w:sz="4" w:space="0" w:color="auto"/>
              <w:bottom w:val="single" w:sz="8" w:space="0" w:color="auto"/>
              <w:right w:val="single" w:sz="4" w:space="0" w:color="auto"/>
            </w:tcBorders>
            <w:shd w:val="clear" w:color="000000" w:fill="FFFFFF"/>
            <w:noWrap/>
            <w:vAlign w:val="bottom"/>
            <w:hideMark/>
          </w:tcPr>
          <w:p w14:paraId="2C53DC8D" w14:textId="32016E0F" w:rsidR="005F2EE7" w:rsidRPr="00BD10C8" w:rsidRDefault="005F2EE7" w:rsidP="00F12F8B">
            <w:pPr>
              <w:jc w:val="right"/>
              <w:rPr>
                <w:color w:val="000000"/>
                <w:sz w:val="18"/>
                <w:szCs w:val="18"/>
                <w:lang w:val="es-GT" w:eastAsia="es-GT"/>
              </w:rPr>
            </w:pPr>
          </w:p>
        </w:tc>
        <w:tc>
          <w:tcPr>
            <w:tcW w:w="819" w:type="dxa"/>
            <w:tcBorders>
              <w:top w:val="nil"/>
              <w:left w:val="single" w:sz="4" w:space="0" w:color="auto"/>
              <w:bottom w:val="single" w:sz="8" w:space="0" w:color="auto"/>
              <w:right w:val="single" w:sz="4" w:space="0" w:color="auto"/>
            </w:tcBorders>
            <w:shd w:val="clear" w:color="000000" w:fill="FFFFFF"/>
            <w:noWrap/>
            <w:vAlign w:val="bottom"/>
            <w:hideMark/>
          </w:tcPr>
          <w:p w14:paraId="2840EACF" w14:textId="76BBE621" w:rsidR="005F2EE7" w:rsidRPr="00BD10C8" w:rsidRDefault="005F2EE7" w:rsidP="00F12F8B">
            <w:pPr>
              <w:jc w:val="right"/>
              <w:rPr>
                <w:color w:val="000000"/>
                <w:sz w:val="18"/>
                <w:szCs w:val="18"/>
                <w:lang w:val="es-GT" w:eastAsia="es-GT"/>
              </w:rPr>
            </w:pPr>
          </w:p>
        </w:tc>
        <w:tc>
          <w:tcPr>
            <w:tcW w:w="850" w:type="dxa"/>
            <w:tcBorders>
              <w:top w:val="nil"/>
              <w:left w:val="single" w:sz="4" w:space="0" w:color="auto"/>
              <w:bottom w:val="single" w:sz="8" w:space="0" w:color="auto"/>
              <w:right w:val="single" w:sz="4" w:space="0" w:color="auto"/>
            </w:tcBorders>
            <w:shd w:val="clear" w:color="000000" w:fill="FFFFFF"/>
            <w:noWrap/>
            <w:vAlign w:val="bottom"/>
            <w:hideMark/>
          </w:tcPr>
          <w:p w14:paraId="5D7CDC04" w14:textId="3DA19A95" w:rsidR="005F2EE7" w:rsidRPr="00BD10C8" w:rsidRDefault="005F2EE7" w:rsidP="00F12F8B">
            <w:pPr>
              <w:jc w:val="right"/>
              <w:rPr>
                <w:color w:val="000000"/>
                <w:sz w:val="18"/>
                <w:szCs w:val="18"/>
                <w:lang w:val="es-GT" w:eastAsia="es-GT"/>
              </w:rPr>
            </w:pPr>
          </w:p>
        </w:tc>
        <w:tc>
          <w:tcPr>
            <w:tcW w:w="709" w:type="dxa"/>
            <w:tcBorders>
              <w:top w:val="nil"/>
              <w:left w:val="single" w:sz="4" w:space="0" w:color="auto"/>
              <w:bottom w:val="single" w:sz="8" w:space="0" w:color="auto"/>
              <w:right w:val="single" w:sz="4" w:space="0" w:color="auto"/>
            </w:tcBorders>
            <w:shd w:val="clear" w:color="000000" w:fill="FFFFFF"/>
            <w:noWrap/>
            <w:vAlign w:val="bottom"/>
            <w:hideMark/>
          </w:tcPr>
          <w:p w14:paraId="1A1176F9" w14:textId="4F63FD3A" w:rsidR="005F2EE7" w:rsidRPr="00BD10C8" w:rsidRDefault="005F2EE7" w:rsidP="00F12F8B">
            <w:pPr>
              <w:jc w:val="right"/>
              <w:rPr>
                <w:color w:val="000000"/>
                <w:sz w:val="18"/>
                <w:szCs w:val="18"/>
                <w:lang w:val="es-GT" w:eastAsia="es-GT"/>
              </w:rPr>
            </w:pPr>
          </w:p>
        </w:tc>
      </w:tr>
    </w:tbl>
    <w:p w14:paraId="4461B1D1" w14:textId="77777777" w:rsidR="005F2EE7" w:rsidRPr="008B33DA" w:rsidRDefault="005F2EE7" w:rsidP="00F12F8B">
      <w:pPr>
        <w:ind w:left="-142"/>
        <w:rPr>
          <w:sz w:val="18"/>
          <w:lang w:val="es-MX"/>
        </w:rPr>
      </w:pPr>
      <w:r w:rsidRPr="008B33DA">
        <w:rPr>
          <w:sz w:val="18"/>
          <w:lang w:val="es-MX"/>
        </w:rPr>
        <w:t>* Cifras preliminares</w:t>
      </w:r>
    </w:p>
    <w:p w14:paraId="72EF77F0" w14:textId="17EE3285" w:rsidR="005F2EE7" w:rsidRPr="008B33DA" w:rsidRDefault="005F2EE7" w:rsidP="005F2EE7">
      <w:pPr>
        <w:tabs>
          <w:tab w:val="left" w:pos="5954"/>
        </w:tabs>
        <w:ind w:left="-284"/>
        <w:rPr>
          <w:sz w:val="18"/>
          <w:lang w:val="es-MX"/>
        </w:rPr>
      </w:pPr>
      <w:r>
        <w:rPr>
          <w:sz w:val="18"/>
          <w:lang w:val="es-MX"/>
        </w:rPr>
        <w:t xml:space="preserve">      </w:t>
      </w:r>
      <w:r w:rsidRPr="008B33DA">
        <w:rPr>
          <w:sz w:val="18"/>
          <w:lang w:val="es-MX"/>
        </w:rPr>
        <w:t>Fuente: Ministerio de Finanzas Públicas con base al SICOIN.</w:t>
      </w:r>
    </w:p>
    <w:p w14:paraId="67D92A4C" w14:textId="77777777" w:rsidR="005F2EE7" w:rsidRPr="002211BF" w:rsidRDefault="005F2EE7" w:rsidP="005F2EE7">
      <w:pPr>
        <w:rPr>
          <w:sz w:val="22"/>
          <w:lang w:val="es-MX"/>
        </w:rPr>
      </w:pPr>
    </w:p>
    <w:p w14:paraId="1EA24C7B" w14:textId="77777777" w:rsidR="00F959FA" w:rsidRPr="00F959FA" w:rsidRDefault="00F959FA" w:rsidP="00B82396">
      <w:pPr>
        <w:rPr>
          <w:lang w:val="es-MX"/>
        </w:rPr>
      </w:pPr>
    </w:p>
    <w:p w14:paraId="535CCABF" w14:textId="77777777" w:rsidR="00AD535C" w:rsidRPr="00FB6AC8" w:rsidRDefault="00AD535C" w:rsidP="00FC0361">
      <w:pPr>
        <w:pStyle w:val="Ttulo3"/>
        <w:numPr>
          <w:ilvl w:val="0"/>
          <w:numId w:val="5"/>
        </w:numPr>
        <w:ind w:left="426"/>
        <w:rPr>
          <w:rFonts w:ascii="Times New Roman" w:hAnsi="Times New Roman"/>
          <w:color w:val="auto"/>
          <w:lang w:val="es-MX"/>
        </w:rPr>
      </w:pPr>
      <w:bookmarkStart w:id="22" w:name="_Toc142920541"/>
      <w:r w:rsidRPr="00FB6AC8">
        <w:rPr>
          <w:rFonts w:ascii="Times New Roman" w:hAnsi="Times New Roman"/>
          <w:color w:val="auto"/>
          <w:lang w:val="es-MX"/>
        </w:rPr>
        <w:t>Gasto Social y Acuerdos de Paz</w:t>
      </w:r>
      <w:bookmarkEnd w:id="22"/>
    </w:p>
    <w:p w14:paraId="29DAE6D7" w14:textId="77777777" w:rsidR="00AD535C" w:rsidRPr="00F959FA" w:rsidRDefault="00AD535C" w:rsidP="00AD535C">
      <w:pPr>
        <w:jc w:val="both"/>
        <w:rPr>
          <w:sz w:val="28"/>
          <w:lang w:val="es-MX"/>
        </w:rPr>
      </w:pPr>
    </w:p>
    <w:p w14:paraId="77DC8183" w14:textId="126B9463" w:rsidR="00C40522" w:rsidRDefault="00C40522" w:rsidP="00C40522">
      <w:pPr>
        <w:jc w:val="both"/>
      </w:pPr>
      <w:r>
        <w:t xml:space="preserve">El </w:t>
      </w:r>
      <w:r w:rsidR="002821A5">
        <w:t>a</w:t>
      </w:r>
      <w:r>
        <w:t>rtículo 1 de la Constitución Política de la República de Guatemala</w:t>
      </w:r>
      <w:r w:rsidR="002821A5">
        <w:t>,</w:t>
      </w:r>
      <w:r>
        <w:t xml:space="preserve"> expresa en la parte final</w:t>
      </w:r>
      <w:r w:rsidR="002821A5">
        <w:t>,</w:t>
      </w:r>
      <w:r>
        <w:t xml:space="preserve"> que el fin supremo del Estado es la realización del bien común, </w:t>
      </w:r>
      <w:r w:rsidR="002E00FE">
        <w:t>lo cual</w:t>
      </w:r>
      <w:r>
        <w:t xml:space="preserve"> se traduce en la dotación de bienes y servicios a la población más vulnerable</w:t>
      </w:r>
      <w:r w:rsidR="002E00FE">
        <w:t xml:space="preserve"> del país, situación</w:t>
      </w:r>
      <w:r>
        <w:t xml:space="preserve"> </w:t>
      </w:r>
      <w:r w:rsidR="002E00FE">
        <w:t>que</w:t>
      </w:r>
      <w:r>
        <w:t xml:space="preserve"> se logra con la implementación de los programas sociales contenidos los diferentes sectores del gasto social.</w:t>
      </w:r>
    </w:p>
    <w:p w14:paraId="61617F9D" w14:textId="77777777" w:rsidR="00C40522" w:rsidRDefault="00C40522" w:rsidP="00C40522">
      <w:pPr>
        <w:jc w:val="both"/>
      </w:pPr>
    </w:p>
    <w:p w14:paraId="6E4893B9" w14:textId="77777777" w:rsidR="00C40522" w:rsidRDefault="00C40522" w:rsidP="00C40522">
      <w:pPr>
        <w:jc w:val="both"/>
      </w:pPr>
      <w:r>
        <w:t>Para cumplir con los objetivos establecidos en la Constitución Política de la Republica, el gobierno realiza diferentes erogaciones para adquirir bienes y servicios que permitan satisfacer las necesidades básicas de la población, con énfasis en la que ha sido marginada y excluida históricamente.</w:t>
      </w:r>
    </w:p>
    <w:p w14:paraId="715820A2" w14:textId="58F594DD" w:rsidR="00C40522" w:rsidRDefault="00C40522" w:rsidP="00C40522">
      <w:pPr>
        <w:jc w:val="both"/>
        <w:rPr>
          <w:sz w:val="28"/>
        </w:rPr>
      </w:pPr>
    </w:p>
    <w:p w14:paraId="605CD154" w14:textId="63D764B2" w:rsidR="00D553AD" w:rsidRDefault="00D553AD" w:rsidP="00C40522">
      <w:pPr>
        <w:jc w:val="both"/>
        <w:rPr>
          <w:sz w:val="28"/>
        </w:rPr>
      </w:pPr>
    </w:p>
    <w:p w14:paraId="593EF10E" w14:textId="5EB2919B" w:rsidR="00D553AD" w:rsidRDefault="00D553AD" w:rsidP="00C40522">
      <w:pPr>
        <w:jc w:val="both"/>
        <w:rPr>
          <w:sz w:val="28"/>
        </w:rPr>
      </w:pPr>
    </w:p>
    <w:p w14:paraId="0388DA41" w14:textId="34299527" w:rsidR="00D553AD" w:rsidRDefault="00D553AD" w:rsidP="00C40522">
      <w:pPr>
        <w:jc w:val="both"/>
        <w:rPr>
          <w:sz w:val="28"/>
        </w:rPr>
      </w:pPr>
    </w:p>
    <w:p w14:paraId="3A4BD315" w14:textId="77777777" w:rsidR="00D553AD" w:rsidRPr="00D553AD" w:rsidRDefault="00D553AD" w:rsidP="00C40522">
      <w:pPr>
        <w:jc w:val="both"/>
        <w:rPr>
          <w:sz w:val="20"/>
        </w:rPr>
      </w:pPr>
    </w:p>
    <w:p w14:paraId="5CE8CD94" w14:textId="77777777" w:rsidR="00C40522" w:rsidRDefault="00C40522" w:rsidP="00C40522">
      <w:pPr>
        <w:jc w:val="both"/>
      </w:pPr>
      <w:r>
        <w:t>De esa cuenta el gobierno realiza la programación presupuestaria tomando en cuenta</w:t>
      </w:r>
      <w:r w:rsidRPr="009E05CC">
        <w:t xml:space="preserve"> el Gasto Social</w:t>
      </w:r>
      <w:r w:rsidRPr="006C78B0">
        <w:rPr>
          <w:vertAlign w:val="superscript"/>
        </w:rPr>
        <w:footnoteReference w:id="1"/>
      </w:r>
      <w:r w:rsidRPr="009E05CC">
        <w:t xml:space="preserve"> </w:t>
      </w:r>
      <w:r>
        <w:t>en</w:t>
      </w:r>
      <w:r w:rsidRPr="009E05CC">
        <w:t xml:space="preserve"> cumplimiento </w:t>
      </w:r>
      <w:r>
        <w:t>de</w:t>
      </w:r>
      <w:r w:rsidRPr="009E05CC">
        <w:t xml:space="preserve"> lo establecido </w:t>
      </w:r>
      <w:r>
        <w:t>en</w:t>
      </w:r>
      <w:r w:rsidRPr="009E05CC">
        <w:t xml:space="preserve"> los Acuerdos de Paz</w:t>
      </w:r>
      <w:r>
        <w:t>;</w:t>
      </w:r>
      <w:r w:rsidRPr="009E05CC">
        <w:t xml:space="preserve"> en el Plan Nacional de Desarrollo K’atun, Nuestra Guatemala 2032</w:t>
      </w:r>
      <w:r>
        <w:t>;</w:t>
      </w:r>
      <w:r w:rsidRPr="009E05CC">
        <w:t xml:space="preserve"> y en la Política General de Gobierno 20</w:t>
      </w:r>
      <w:r>
        <w:t>20</w:t>
      </w:r>
      <w:r w:rsidRPr="009E05CC">
        <w:t>-202</w:t>
      </w:r>
      <w:r>
        <w:t xml:space="preserve">4, específicamente en lo que establece el pilar de </w:t>
      </w:r>
      <w:r w:rsidRPr="0075004D">
        <w:rPr>
          <w:bCs/>
        </w:rPr>
        <w:t>Desarrollo Social</w:t>
      </w:r>
      <w:r>
        <w:rPr>
          <w:bCs/>
        </w:rPr>
        <w:t>, que busca a</w:t>
      </w:r>
      <w:r w:rsidRPr="0075004D">
        <w:t>lcanzar el objetivo de atender de manera directa y efectiva a los más pobres, impulsando compensadores sociales efectivos y focalizados</w:t>
      </w:r>
      <w:r>
        <w:t>.</w:t>
      </w:r>
    </w:p>
    <w:p w14:paraId="6A2381CD" w14:textId="77777777" w:rsidR="00C40522" w:rsidRPr="00F959FA" w:rsidRDefault="00C40522" w:rsidP="00C40522">
      <w:pPr>
        <w:jc w:val="both"/>
        <w:rPr>
          <w:sz w:val="28"/>
        </w:rPr>
      </w:pPr>
    </w:p>
    <w:p w14:paraId="6F3789E9" w14:textId="26BDDE2D" w:rsidR="00C40522" w:rsidRPr="009E05CC" w:rsidRDefault="00C40522" w:rsidP="00C40522">
      <w:pPr>
        <w:jc w:val="both"/>
      </w:pPr>
      <w:r>
        <w:t>Con base en los alcances del gasto social para el 2023, la</w:t>
      </w:r>
      <w:r w:rsidRPr="009E05CC">
        <w:t xml:space="preserve"> ejecución presupuestaria pasó de Q</w:t>
      </w:r>
      <w:r>
        <w:t>.23,391.8</w:t>
      </w:r>
      <w:r w:rsidRPr="009E05CC">
        <w:t xml:space="preserve"> millones en 20</w:t>
      </w:r>
      <w:r>
        <w:t>22</w:t>
      </w:r>
      <w:r w:rsidRPr="009E05CC">
        <w:t xml:space="preserve"> a Q</w:t>
      </w:r>
      <w:r>
        <w:t>.26</w:t>
      </w:r>
      <w:r w:rsidRPr="009E05CC">
        <w:t>,</w:t>
      </w:r>
      <w:r>
        <w:t>515.4</w:t>
      </w:r>
      <w:r w:rsidRPr="009E05CC">
        <w:t xml:space="preserve"> millones en 20</w:t>
      </w:r>
      <w:r>
        <w:t>23;</w:t>
      </w:r>
      <w:r w:rsidRPr="009E05CC">
        <w:t xml:space="preserve"> tuvo un aumento de Q</w:t>
      </w:r>
      <w:r>
        <w:t>.3,123.6</w:t>
      </w:r>
      <w:r w:rsidRPr="009E05CC">
        <w:t xml:space="preserve"> millones</w:t>
      </w:r>
      <w:r w:rsidR="002E00FE">
        <w:t xml:space="preserve">, equivalentes al </w:t>
      </w:r>
      <w:r>
        <w:t>13.4%</w:t>
      </w:r>
      <w:r w:rsidRPr="009E05CC">
        <w:t xml:space="preserve"> </w:t>
      </w:r>
      <w:r w:rsidR="002E00FE">
        <w:t>de incremento</w:t>
      </w:r>
      <w:r>
        <w:t>.</w:t>
      </w:r>
    </w:p>
    <w:p w14:paraId="40B293D3" w14:textId="77777777" w:rsidR="00C40522" w:rsidRPr="00F959FA" w:rsidRDefault="00C40522" w:rsidP="00C40522">
      <w:pPr>
        <w:jc w:val="both"/>
        <w:rPr>
          <w:sz w:val="28"/>
        </w:rPr>
      </w:pPr>
    </w:p>
    <w:p w14:paraId="1DDDD9F3" w14:textId="1CEC75D1" w:rsidR="00C40522" w:rsidRDefault="00C40522" w:rsidP="00C40522">
      <w:pPr>
        <w:jc w:val="both"/>
      </w:pPr>
      <w:r>
        <w:t>L</w:t>
      </w:r>
      <w:r w:rsidRPr="009E05CC">
        <w:t xml:space="preserve">os Acuerdos de Paz </w:t>
      </w:r>
      <w:r>
        <w:t xml:space="preserve">también </w:t>
      </w:r>
      <w:r w:rsidRPr="009E05CC">
        <w:t>incluyen el gasto destinado al Sector Justicia</w:t>
      </w:r>
      <w:r>
        <w:t xml:space="preserve">, el cual </w:t>
      </w:r>
      <w:r w:rsidRPr="009E05CC">
        <w:t xml:space="preserve">para </w:t>
      </w:r>
      <w:r>
        <w:t xml:space="preserve">el primer semestre de </w:t>
      </w:r>
      <w:r w:rsidRPr="009E05CC">
        <w:t>20</w:t>
      </w:r>
      <w:r>
        <w:t>23</w:t>
      </w:r>
      <w:r w:rsidRPr="009E05CC">
        <w:t xml:space="preserve"> </w:t>
      </w:r>
      <w:r>
        <w:t xml:space="preserve">aumentó en términos netos </w:t>
      </w:r>
      <w:r w:rsidRPr="009E05CC">
        <w:t>Q</w:t>
      </w:r>
      <w:r>
        <w:t>.802.6</w:t>
      </w:r>
      <w:r w:rsidRPr="009E05CC">
        <w:t xml:space="preserve"> millones,</w:t>
      </w:r>
      <w:r>
        <w:t xml:space="preserve"> ya que </w:t>
      </w:r>
      <w:r w:rsidRPr="009E05CC">
        <w:t>pas</w:t>
      </w:r>
      <w:r>
        <w:t>ó</w:t>
      </w:r>
      <w:r w:rsidRPr="009E05CC">
        <w:t xml:space="preserve"> de Q</w:t>
      </w:r>
      <w:r>
        <w:t>.5</w:t>
      </w:r>
      <w:r w:rsidRPr="009E05CC">
        <w:t>,</w:t>
      </w:r>
      <w:r>
        <w:t>254.2</w:t>
      </w:r>
      <w:r w:rsidRPr="009E05CC">
        <w:t xml:space="preserve"> millones en 20</w:t>
      </w:r>
      <w:r>
        <w:t>22</w:t>
      </w:r>
      <w:r w:rsidRPr="009E05CC">
        <w:t xml:space="preserve"> a Q</w:t>
      </w:r>
      <w:r>
        <w:t>.6</w:t>
      </w:r>
      <w:r w:rsidRPr="009E05CC">
        <w:t>,</w:t>
      </w:r>
      <w:r>
        <w:t>056.8</w:t>
      </w:r>
      <w:r w:rsidRPr="009E05CC">
        <w:t xml:space="preserve"> millones</w:t>
      </w:r>
      <w:r>
        <w:t xml:space="preserve"> en 2023. Los subsectores que tuvieron incrementos fueron Seguridad Interna con Q.597.1 millones; el Organismo Judicial</w:t>
      </w:r>
      <w:r w:rsidR="00D02613">
        <w:t xml:space="preserve"> y Corte de Constitucionalidad </w:t>
      </w:r>
      <w:r>
        <w:t>con Q.221.1 millones y el Ministerio Público que tuvo una caída de Q.15.7 millones.</w:t>
      </w:r>
    </w:p>
    <w:p w14:paraId="747272E0" w14:textId="77777777" w:rsidR="00C40522" w:rsidRDefault="00C40522" w:rsidP="00C40522">
      <w:pPr>
        <w:jc w:val="both"/>
      </w:pPr>
    </w:p>
    <w:p w14:paraId="5D825B21" w14:textId="77777777" w:rsidR="00C40522" w:rsidRPr="00A7534C" w:rsidRDefault="00C40522" w:rsidP="00C40522">
      <w:pPr>
        <w:jc w:val="center"/>
        <w:rPr>
          <w:b/>
          <w:szCs w:val="22"/>
          <w:lang w:val="es-MX"/>
        </w:rPr>
      </w:pPr>
      <w:r w:rsidRPr="00A7534C">
        <w:rPr>
          <w:b/>
          <w:szCs w:val="22"/>
          <w:lang w:val="es-MX"/>
        </w:rPr>
        <w:t xml:space="preserve">Cuadro </w:t>
      </w:r>
      <w:r>
        <w:rPr>
          <w:b/>
          <w:szCs w:val="22"/>
          <w:lang w:val="es-MX"/>
        </w:rPr>
        <w:t>9</w:t>
      </w:r>
    </w:p>
    <w:p w14:paraId="6CEEF86C" w14:textId="77777777" w:rsidR="00C40522" w:rsidRPr="00A7534C" w:rsidRDefault="00C40522" w:rsidP="00C40522">
      <w:pPr>
        <w:jc w:val="center"/>
        <w:rPr>
          <w:b/>
          <w:szCs w:val="22"/>
          <w:lang w:val="es-MX"/>
        </w:rPr>
      </w:pPr>
      <w:r w:rsidRPr="00A7534C">
        <w:rPr>
          <w:b/>
          <w:szCs w:val="22"/>
          <w:lang w:val="es-MX"/>
        </w:rPr>
        <w:t>Ejecución Presupuestaria del Gasto Social y Acuerdos de Paz</w:t>
      </w:r>
    </w:p>
    <w:p w14:paraId="26BD359B" w14:textId="77777777" w:rsidR="00C40522" w:rsidRPr="00A7534C" w:rsidRDefault="00C40522" w:rsidP="00C40522">
      <w:pPr>
        <w:jc w:val="center"/>
        <w:rPr>
          <w:b/>
          <w:szCs w:val="22"/>
          <w:lang w:val="es-MX"/>
        </w:rPr>
      </w:pPr>
      <w:r w:rsidRPr="00A7534C">
        <w:rPr>
          <w:b/>
          <w:szCs w:val="22"/>
          <w:lang w:val="es-MX"/>
        </w:rPr>
        <w:t>Al 30 de junio de cada año</w:t>
      </w:r>
    </w:p>
    <w:p w14:paraId="43BE4437" w14:textId="77777777" w:rsidR="00C40522" w:rsidRDefault="00C40522" w:rsidP="00C40522">
      <w:pPr>
        <w:ind w:left="2124" w:firstLine="708"/>
        <w:jc w:val="both"/>
        <w:rPr>
          <w:b/>
          <w:szCs w:val="22"/>
          <w:lang w:val="es-MX"/>
        </w:rPr>
      </w:pPr>
      <w:r w:rsidRPr="00A7534C">
        <w:rPr>
          <w:b/>
          <w:szCs w:val="22"/>
          <w:lang w:val="es-MX"/>
        </w:rPr>
        <w:t>(Cifras en Millones de Quetzales)</w:t>
      </w:r>
    </w:p>
    <w:tbl>
      <w:tblPr>
        <w:tblW w:w="9062" w:type="dxa"/>
        <w:tblCellMar>
          <w:left w:w="70" w:type="dxa"/>
          <w:right w:w="70" w:type="dxa"/>
        </w:tblCellMar>
        <w:tblLook w:val="04A0" w:firstRow="1" w:lastRow="0" w:firstColumn="1" w:lastColumn="0" w:noHBand="0" w:noVBand="1"/>
      </w:tblPr>
      <w:tblGrid>
        <w:gridCol w:w="3387"/>
        <w:gridCol w:w="1286"/>
        <w:gridCol w:w="1286"/>
        <w:gridCol w:w="1686"/>
        <w:gridCol w:w="1417"/>
      </w:tblGrid>
      <w:tr w:rsidR="00D02613" w:rsidRPr="00D02613" w14:paraId="3C97504B" w14:textId="77777777" w:rsidTr="00400B3E">
        <w:trPr>
          <w:trHeight w:val="321"/>
        </w:trPr>
        <w:tc>
          <w:tcPr>
            <w:tcW w:w="3387" w:type="dxa"/>
            <w:vMerge w:val="restart"/>
            <w:tcBorders>
              <w:top w:val="single" w:sz="8" w:space="0" w:color="auto"/>
              <w:left w:val="single" w:sz="8" w:space="0" w:color="auto"/>
              <w:bottom w:val="single" w:sz="4" w:space="0" w:color="auto"/>
              <w:right w:val="nil"/>
            </w:tcBorders>
            <w:shd w:val="clear" w:color="auto" w:fill="00B0F0"/>
            <w:vAlign w:val="center"/>
            <w:hideMark/>
          </w:tcPr>
          <w:p w14:paraId="754BC1B4" w14:textId="77777777" w:rsidR="00D02613" w:rsidRPr="00692919" w:rsidRDefault="00D02613" w:rsidP="00C40522">
            <w:pPr>
              <w:jc w:val="center"/>
              <w:rPr>
                <w:b/>
                <w:bCs/>
                <w:color w:val="000000"/>
                <w:szCs w:val="22"/>
                <w:lang w:val="es-GT" w:eastAsia="es-GT"/>
              </w:rPr>
            </w:pPr>
            <w:r w:rsidRPr="00692919">
              <w:rPr>
                <w:b/>
                <w:bCs/>
                <w:color w:val="000000"/>
                <w:szCs w:val="22"/>
                <w:lang w:val="es-GT" w:eastAsia="es-GT"/>
              </w:rPr>
              <w:t>Sector</w:t>
            </w:r>
          </w:p>
        </w:tc>
        <w:tc>
          <w:tcPr>
            <w:tcW w:w="1286"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7652FA6B" w14:textId="77777777" w:rsidR="00D02613" w:rsidRPr="00692919" w:rsidRDefault="00D02613" w:rsidP="00D02613">
            <w:pPr>
              <w:jc w:val="center"/>
              <w:rPr>
                <w:b/>
                <w:bCs/>
                <w:color w:val="000000"/>
                <w:szCs w:val="22"/>
                <w:lang w:val="es-GT" w:eastAsia="es-GT"/>
              </w:rPr>
            </w:pPr>
            <w:r w:rsidRPr="00692919">
              <w:rPr>
                <w:b/>
                <w:bCs/>
                <w:color w:val="000000"/>
                <w:szCs w:val="22"/>
                <w:lang w:val="es-GT" w:eastAsia="es-GT"/>
              </w:rPr>
              <w:t>2022</w:t>
            </w:r>
          </w:p>
        </w:tc>
        <w:tc>
          <w:tcPr>
            <w:tcW w:w="1286" w:type="dxa"/>
            <w:vMerge w:val="restart"/>
            <w:tcBorders>
              <w:top w:val="single" w:sz="8" w:space="0" w:color="auto"/>
              <w:left w:val="single" w:sz="4" w:space="0" w:color="auto"/>
              <w:bottom w:val="single" w:sz="4" w:space="0" w:color="auto"/>
              <w:right w:val="single" w:sz="4" w:space="0" w:color="auto"/>
            </w:tcBorders>
            <w:shd w:val="clear" w:color="auto" w:fill="00B0F0"/>
            <w:vAlign w:val="center"/>
            <w:hideMark/>
          </w:tcPr>
          <w:p w14:paraId="685DC797" w14:textId="77777777" w:rsidR="00D02613" w:rsidRPr="00692919" w:rsidRDefault="00D02613" w:rsidP="00D02613">
            <w:pPr>
              <w:jc w:val="center"/>
              <w:rPr>
                <w:b/>
                <w:bCs/>
                <w:color w:val="000000"/>
                <w:szCs w:val="22"/>
                <w:lang w:val="es-GT" w:eastAsia="es-GT"/>
              </w:rPr>
            </w:pPr>
            <w:r w:rsidRPr="00692919">
              <w:rPr>
                <w:b/>
                <w:bCs/>
                <w:color w:val="000000"/>
                <w:szCs w:val="22"/>
                <w:lang w:val="es-GT" w:eastAsia="es-GT"/>
              </w:rPr>
              <w:t>2023</w:t>
            </w:r>
          </w:p>
        </w:tc>
        <w:tc>
          <w:tcPr>
            <w:tcW w:w="3103" w:type="dxa"/>
            <w:gridSpan w:val="2"/>
            <w:tcBorders>
              <w:top w:val="single" w:sz="8" w:space="0" w:color="auto"/>
              <w:left w:val="nil"/>
              <w:bottom w:val="single" w:sz="4" w:space="0" w:color="auto"/>
              <w:right w:val="single" w:sz="8" w:space="0" w:color="auto"/>
            </w:tcBorders>
            <w:shd w:val="clear" w:color="auto" w:fill="00B0F0"/>
            <w:noWrap/>
            <w:vAlign w:val="center"/>
            <w:hideMark/>
          </w:tcPr>
          <w:p w14:paraId="64EEEA17" w14:textId="426EFFD6" w:rsidR="00D02613" w:rsidRPr="00692919" w:rsidRDefault="00D02613" w:rsidP="00D02613">
            <w:pPr>
              <w:jc w:val="center"/>
              <w:rPr>
                <w:b/>
                <w:bCs/>
                <w:color w:val="000000"/>
                <w:szCs w:val="22"/>
                <w:lang w:val="es-GT" w:eastAsia="es-GT"/>
              </w:rPr>
            </w:pPr>
            <w:r w:rsidRPr="00692919">
              <w:rPr>
                <w:b/>
                <w:bCs/>
                <w:color w:val="000000"/>
                <w:szCs w:val="22"/>
                <w:lang w:val="es-GT" w:eastAsia="es-GT"/>
              </w:rPr>
              <w:t>Diferencias</w:t>
            </w:r>
          </w:p>
        </w:tc>
      </w:tr>
      <w:tr w:rsidR="00C40522" w:rsidRPr="00D02613" w14:paraId="74614F73" w14:textId="77777777" w:rsidTr="00400B3E">
        <w:trPr>
          <w:trHeight w:val="321"/>
        </w:trPr>
        <w:tc>
          <w:tcPr>
            <w:tcW w:w="3387" w:type="dxa"/>
            <w:vMerge/>
            <w:tcBorders>
              <w:top w:val="single" w:sz="8" w:space="0" w:color="auto"/>
              <w:left w:val="single" w:sz="8" w:space="0" w:color="auto"/>
              <w:bottom w:val="single" w:sz="4" w:space="0" w:color="auto"/>
              <w:right w:val="nil"/>
            </w:tcBorders>
            <w:vAlign w:val="center"/>
            <w:hideMark/>
          </w:tcPr>
          <w:p w14:paraId="13F02238" w14:textId="77777777" w:rsidR="00C40522" w:rsidRPr="00692919" w:rsidRDefault="00C40522" w:rsidP="00C40522">
            <w:pPr>
              <w:rPr>
                <w:b/>
                <w:bCs/>
                <w:color w:val="000000"/>
                <w:szCs w:val="22"/>
                <w:lang w:val="es-GT" w:eastAsia="es-GT"/>
              </w:rPr>
            </w:pPr>
          </w:p>
        </w:tc>
        <w:tc>
          <w:tcPr>
            <w:tcW w:w="1286" w:type="dxa"/>
            <w:vMerge/>
            <w:tcBorders>
              <w:top w:val="single" w:sz="8" w:space="0" w:color="auto"/>
              <w:left w:val="single" w:sz="4" w:space="0" w:color="auto"/>
              <w:bottom w:val="single" w:sz="4" w:space="0" w:color="000000"/>
              <w:right w:val="single" w:sz="4" w:space="0" w:color="auto"/>
            </w:tcBorders>
            <w:vAlign w:val="center"/>
            <w:hideMark/>
          </w:tcPr>
          <w:p w14:paraId="7E5D7111" w14:textId="77777777" w:rsidR="00C40522" w:rsidRPr="00692919" w:rsidRDefault="00C40522" w:rsidP="00C40522">
            <w:pPr>
              <w:rPr>
                <w:b/>
                <w:bCs/>
                <w:color w:val="000000"/>
                <w:szCs w:val="22"/>
                <w:lang w:val="es-GT" w:eastAsia="es-GT"/>
              </w:rPr>
            </w:pPr>
          </w:p>
        </w:tc>
        <w:tc>
          <w:tcPr>
            <w:tcW w:w="1286" w:type="dxa"/>
            <w:vMerge/>
            <w:tcBorders>
              <w:top w:val="single" w:sz="8" w:space="0" w:color="auto"/>
              <w:left w:val="single" w:sz="4" w:space="0" w:color="auto"/>
              <w:bottom w:val="single" w:sz="4" w:space="0" w:color="auto"/>
              <w:right w:val="single" w:sz="4" w:space="0" w:color="auto"/>
            </w:tcBorders>
            <w:vAlign w:val="center"/>
            <w:hideMark/>
          </w:tcPr>
          <w:p w14:paraId="61C79841" w14:textId="77777777" w:rsidR="00C40522" w:rsidRPr="00692919" w:rsidRDefault="00C40522" w:rsidP="00C40522">
            <w:pPr>
              <w:rPr>
                <w:b/>
                <w:bCs/>
                <w:color w:val="000000"/>
                <w:szCs w:val="22"/>
                <w:lang w:val="es-GT" w:eastAsia="es-GT"/>
              </w:rPr>
            </w:pPr>
          </w:p>
        </w:tc>
        <w:tc>
          <w:tcPr>
            <w:tcW w:w="1686" w:type="dxa"/>
            <w:tcBorders>
              <w:top w:val="single" w:sz="4" w:space="0" w:color="auto"/>
              <w:left w:val="nil"/>
              <w:bottom w:val="single" w:sz="4" w:space="0" w:color="auto"/>
              <w:right w:val="single" w:sz="4" w:space="0" w:color="auto"/>
            </w:tcBorders>
            <w:shd w:val="clear" w:color="auto" w:fill="00B0F0"/>
            <w:noWrap/>
            <w:vAlign w:val="center"/>
            <w:hideMark/>
          </w:tcPr>
          <w:p w14:paraId="4128D1DA" w14:textId="77777777" w:rsidR="00C40522" w:rsidRPr="00692919" w:rsidRDefault="00C40522" w:rsidP="00D02613">
            <w:pPr>
              <w:jc w:val="center"/>
              <w:rPr>
                <w:b/>
                <w:bCs/>
                <w:color w:val="000000"/>
                <w:szCs w:val="22"/>
                <w:lang w:val="es-GT" w:eastAsia="es-GT"/>
              </w:rPr>
            </w:pPr>
            <w:r w:rsidRPr="00692919">
              <w:rPr>
                <w:b/>
                <w:bCs/>
                <w:color w:val="000000"/>
                <w:szCs w:val="22"/>
                <w:lang w:val="es-GT" w:eastAsia="es-GT"/>
              </w:rPr>
              <w:t>Absolutas</w:t>
            </w:r>
          </w:p>
        </w:tc>
        <w:tc>
          <w:tcPr>
            <w:tcW w:w="1417" w:type="dxa"/>
            <w:tcBorders>
              <w:top w:val="nil"/>
              <w:left w:val="nil"/>
              <w:bottom w:val="single" w:sz="4" w:space="0" w:color="auto"/>
              <w:right w:val="single" w:sz="8" w:space="0" w:color="auto"/>
            </w:tcBorders>
            <w:shd w:val="clear" w:color="auto" w:fill="00B0F0"/>
            <w:noWrap/>
            <w:vAlign w:val="center"/>
            <w:hideMark/>
          </w:tcPr>
          <w:p w14:paraId="560762AC" w14:textId="77777777" w:rsidR="00C40522" w:rsidRPr="00692919" w:rsidRDefault="00C40522" w:rsidP="00D02613">
            <w:pPr>
              <w:jc w:val="center"/>
              <w:rPr>
                <w:b/>
                <w:bCs/>
                <w:color w:val="000000"/>
                <w:szCs w:val="22"/>
                <w:lang w:val="es-GT" w:eastAsia="es-GT"/>
              </w:rPr>
            </w:pPr>
            <w:r w:rsidRPr="00692919">
              <w:rPr>
                <w:b/>
                <w:bCs/>
                <w:color w:val="000000"/>
                <w:szCs w:val="22"/>
                <w:lang w:val="es-GT" w:eastAsia="es-GT"/>
              </w:rPr>
              <w:t>Relativas</w:t>
            </w:r>
          </w:p>
        </w:tc>
      </w:tr>
      <w:tr w:rsidR="00C40522" w:rsidRPr="00D02613" w14:paraId="0EAFD5E9"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5431EF5A" w14:textId="77777777" w:rsidR="00C40522" w:rsidRPr="00D02613" w:rsidRDefault="00C40522" w:rsidP="00C40522">
            <w:pPr>
              <w:jc w:val="center"/>
              <w:rPr>
                <w:b/>
                <w:bCs/>
                <w:color w:val="000000"/>
                <w:sz w:val="22"/>
                <w:szCs w:val="22"/>
                <w:lang w:val="es-GT" w:eastAsia="es-GT"/>
              </w:rPr>
            </w:pPr>
            <w:r w:rsidRPr="00D02613">
              <w:rPr>
                <w:b/>
                <w:bCs/>
                <w:color w:val="000000"/>
                <w:sz w:val="22"/>
                <w:szCs w:val="22"/>
                <w:lang w:val="es-GT" w:eastAsia="es-GT"/>
              </w:rPr>
              <w:t>Total</w:t>
            </w:r>
          </w:p>
        </w:tc>
        <w:tc>
          <w:tcPr>
            <w:tcW w:w="1286" w:type="dxa"/>
            <w:tcBorders>
              <w:top w:val="single" w:sz="4" w:space="0" w:color="auto"/>
              <w:left w:val="single" w:sz="4" w:space="0" w:color="auto"/>
              <w:bottom w:val="nil"/>
              <w:right w:val="single" w:sz="4" w:space="0" w:color="auto"/>
            </w:tcBorders>
            <w:shd w:val="clear" w:color="000000" w:fill="FFFFFF"/>
            <w:noWrap/>
            <w:vAlign w:val="bottom"/>
            <w:hideMark/>
          </w:tcPr>
          <w:p w14:paraId="1AB84436"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23,391.8</w:t>
            </w:r>
          </w:p>
        </w:tc>
        <w:tc>
          <w:tcPr>
            <w:tcW w:w="1286" w:type="dxa"/>
            <w:tcBorders>
              <w:top w:val="nil"/>
              <w:left w:val="nil"/>
              <w:bottom w:val="nil"/>
              <w:right w:val="single" w:sz="4" w:space="0" w:color="auto"/>
            </w:tcBorders>
            <w:shd w:val="clear" w:color="000000" w:fill="FFFFFF"/>
            <w:noWrap/>
            <w:vAlign w:val="bottom"/>
            <w:hideMark/>
          </w:tcPr>
          <w:p w14:paraId="2A1D9067"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26,515.4</w:t>
            </w:r>
          </w:p>
        </w:tc>
        <w:tc>
          <w:tcPr>
            <w:tcW w:w="1686" w:type="dxa"/>
            <w:tcBorders>
              <w:top w:val="nil"/>
              <w:left w:val="nil"/>
              <w:bottom w:val="nil"/>
              <w:right w:val="single" w:sz="4" w:space="0" w:color="auto"/>
            </w:tcBorders>
            <w:shd w:val="clear" w:color="000000" w:fill="FFFFFF"/>
            <w:noWrap/>
            <w:vAlign w:val="bottom"/>
            <w:hideMark/>
          </w:tcPr>
          <w:p w14:paraId="4B398F84"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3,123.6</w:t>
            </w:r>
          </w:p>
        </w:tc>
        <w:tc>
          <w:tcPr>
            <w:tcW w:w="1417" w:type="dxa"/>
            <w:tcBorders>
              <w:top w:val="nil"/>
              <w:left w:val="nil"/>
              <w:bottom w:val="nil"/>
              <w:right w:val="single" w:sz="8" w:space="0" w:color="auto"/>
            </w:tcBorders>
            <w:shd w:val="clear" w:color="000000" w:fill="FFFFFF"/>
            <w:noWrap/>
            <w:vAlign w:val="bottom"/>
            <w:hideMark/>
          </w:tcPr>
          <w:p w14:paraId="7A439B75"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13.4%</w:t>
            </w:r>
          </w:p>
        </w:tc>
      </w:tr>
      <w:tr w:rsidR="00C40522" w:rsidRPr="00D02613" w14:paraId="05BF6820"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0AAE0F9C" w14:textId="77777777" w:rsidR="00C40522" w:rsidRPr="00D02613" w:rsidRDefault="00C40522" w:rsidP="00C40522">
            <w:pPr>
              <w:rPr>
                <w:color w:val="000000"/>
                <w:sz w:val="22"/>
                <w:szCs w:val="22"/>
                <w:lang w:val="es-GT" w:eastAsia="es-GT"/>
              </w:rPr>
            </w:pPr>
            <w:r w:rsidRPr="00D02613">
              <w:rPr>
                <w:color w:val="000000"/>
                <w:sz w:val="22"/>
                <w:szCs w:val="22"/>
                <w:lang w:val="es-GT" w:eastAsia="es-GT"/>
              </w:rPr>
              <w:t>Salud y Asistencia Social</w:t>
            </w:r>
          </w:p>
        </w:tc>
        <w:tc>
          <w:tcPr>
            <w:tcW w:w="1286" w:type="dxa"/>
            <w:tcBorders>
              <w:top w:val="nil"/>
              <w:left w:val="single" w:sz="4" w:space="0" w:color="auto"/>
              <w:bottom w:val="nil"/>
              <w:right w:val="single" w:sz="4" w:space="0" w:color="auto"/>
            </w:tcBorders>
            <w:shd w:val="clear" w:color="auto" w:fill="auto"/>
            <w:noWrap/>
            <w:vAlign w:val="bottom"/>
            <w:hideMark/>
          </w:tcPr>
          <w:p w14:paraId="52997D7B"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6,769.9</w:t>
            </w:r>
          </w:p>
        </w:tc>
        <w:tc>
          <w:tcPr>
            <w:tcW w:w="1286" w:type="dxa"/>
            <w:tcBorders>
              <w:top w:val="nil"/>
              <w:left w:val="nil"/>
              <w:bottom w:val="nil"/>
              <w:right w:val="nil"/>
            </w:tcBorders>
            <w:shd w:val="clear" w:color="auto" w:fill="auto"/>
            <w:noWrap/>
            <w:vAlign w:val="bottom"/>
            <w:hideMark/>
          </w:tcPr>
          <w:p w14:paraId="656FBF28"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6,944.5</w:t>
            </w:r>
          </w:p>
        </w:tc>
        <w:tc>
          <w:tcPr>
            <w:tcW w:w="1686" w:type="dxa"/>
            <w:tcBorders>
              <w:top w:val="nil"/>
              <w:left w:val="single" w:sz="4" w:space="0" w:color="auto"/>
              <w:bottom w:val="nil"/>
              <w:right w:val="single" w:sz="4" w:space="0" w:color="auto"/>
            </w:tcBorders>
            <w:shd w:val="clear" w:color="000000" w:fill="FFFFFF"/>
            <w:noWrap/>
            <w:vAlign w:val="bottom"/>
            <w:hideMark/>
          </w:tcPr>
          <w:p w14:paraId="0B055BD1"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174.6</w:t>
            </w:r>
          </w:p>
        </w:tc>
        <w:tc>
          <w:tcPr>
            <w:tcW w:w="1417" w:type="dxa"/>
            <w:tcBorders>
              <w:top w:val="nil"/>
              <w:left w:val="nil"/>
              <w:bottom w:val="nil"/>
              <w:right w:val="single" w:sz="8" w:space="0" w:color="auto"/>
            </w:tcBorders>
            <w:shd w:val="clear" w:color="000000" w:fill="FFFFFF"/>
            <w:noWrap/>
            <w:vAlign w:val="bottom"/>
            <w:hideMark/>
          </w:tcPr>
          <w:p w14:paraId="67A0252F"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102.6%</w:t>
            </w:r>
          </w:p>
        </w:tc>
      </w:tr>
      <w:tr w:rsidR="00C40522" w:rsidRPr="00D02613" w14:paraId="0EDB5B86"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1B0A4442" w14:textId="77777777" w:rsidR="00C40522" w:rsidRPr="00D02613" w:rsidRDefault="00C40522" w:rsidP="00C40522">
            <w:pPr>
              <w:rPr>
                <w:color w:val="000000"/>
                <w:sz w:val="22"/>
                <w:szCs w:val="22"/>
                <w:lang w:val="es-GT" w:eastAsia="es-GT"/>
              </w:rPr>
            </w:pPr>
            <w:r w:rsidRPr="00D02613">
              <w:rPr>
                <w:color w:val="000000"/>
                <w:sz w:val="22"/>
                <w:szCs w:val="22"/>
                <w:lang w:val="es-GT" w:eastAsia="es-GT"/>
              </w:rPr>
              <w:t>Educación, Ciencia y Cultura</w:t>
            </w:r>
          </w:p>
        </w:tc>
        <w:tc>
          <w:tcPr>
            <w:tcW w:w="1286" w:type="dxa"/>
            <w:tcBorders>
              <w:top w:val="nil"/>
              <w:left w:val="single" w:sz="4" w:space="0" w:color="auto"/>
              <w:bottom w:val="nil"/>
              <w:right w:val="single" w:sz="4" w:space="0" w:color="auto"/>
            </w:tcBorders>
            <w:shd w:val="clear" w:color="auto" w:fill="auto"/>
            <w:noWrap/>
            <w:vAlign w:val="bottom"/>
            <w:hideMark/>
          </w:tcPr>
          <w:p w14:paraId="73E94707"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11,279.9</w:t>
            </w:r>
          </w:p>
        </w:tc>
        <w:tc>
          <w:tcPr>
            <w:tcW w:w="1286" w:type="dxa"/>
            <w:tcBorders>
              <w:top w:val="nil"/>
              <w:left w:val="nil"/>
              <w:bottom w:val="nil"/>
              <w:right w:val="nil"/>
            </w:tcBorders>
            <w:shd w:val="clear" w:color="auto" w:fill="auto"/>
            <w:noWrap/>
            <w:vAlign w:val="bottom"/>
            <w:hideMark/>
          </w:tcPr>
          <w:p w14:paraId="5756DA71"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13,190.2</w:t>
            </w:r>
          </w:p>
        </w:tc>
        <w:tc>
          <w:tcPr>
            <w:tcW w:w="1686" w:type="dxa"/>
            <w:tcBorders>
              <w:top w:val="nil"/>
              <w:left w:val="single" w:sz="4" w:space="0" w:color="auto"/>
              <w:bottom w:val="nil"/>
              <w:right w:val="single" w:sz="4" w:space="0" w:color="auto"/>
            </w:tcBorders>
            <w:shd w:val="clear" w:color="000000" w:fill="FFFFFF"/>
            <w:noWrap/>
            <w:vAlign w:val="bottom"/>
            <w:hideMark/>
          </w:tcPr>
          <w:p w14:paraId="3A07077A"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1,910.3</w:t>
            </w:r>
          </w:p>
        </w:tc>
        <w:tc>
          <w:tcPr>
            <w:tcW w:w="1417" w:type="dxa"/>
            <w:tcBorders>
              <w:top w:val="nil"/>
              <w:left w:val="nil"/>
              <w:bottom w:val="nil"/>
              <w:right w:val="single" w:sz="8" w:space="0" w:color="auto"/>
            </w:tcBorders>
            <w:shd w:val="clear" w:color="000000" w:fill="FFFFFF"/>
            <w:noWrap/>
            <w:vAlign w:val="bottom"/>
            <w:hideMark/>
          </w:tcPr>
          <w:p w14:paraId="3AB6B8C6"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116.9%</w:t>
            </w:r>
          </w:p>
        </w:tc>
      </w:tr>
      <w:tr w:rsidR="00C40522" w:rsidRPr="00D02613" w14:paraId="2259BBDA"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1052E41F" w14:textId="77777777" w:rsidR="00C40522" w:rsidRPr="00D02613" w:rsidRDefault="00C40522" w:rsidP="00C40522">
            <w:pPr>
              <w:rPr>
                <w:color w:val="000000"/>
                <w:sz w:val="22"/>
                <w:szCs w:val="22"/>
                <w:lang w:val="es-GT" w:eastAsia="es-GT"/>
              </w:rPr>
            </w:pPr>
            <w:r w:rsidRPr="00D02613">
              <w:rPr>
                <w:color w:val="000000"/>
                <w:sz w:val="22"/>
                <w:szCs w:val="22"/>
                <w:lang w:val="es-GT" w:eastAsia="es-GT"/>
              </w:rPr>
              <w:t>Vivienda</w:t>
            </w:r>
          </w:p>
        </w:tc>
        <w:tc>
          <w:tcPr>
            <w:tcW w:w="1286" w:type="dxa"/>
            <w:tcBorders>
              <w:top w:val="nil"/>
              <w:left w:val="single" w:sz="4" w:space="0" w:color="auto"/>
              <w:bottom w:val="nil"/>
              <w:right w:val="single" w:sz="4" w:space="0" w:color="auto"/>
            </w:tcBorders>
            <w:shd w:val="clear" w:color="auto" w:fill="auto"/>
            <w:noWrap/>
            <w:vAlign w:val="bottom"/>
            <w:hideMark/>
          </w:tcPr>
          <w:p w14:paraId="570634D4"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87.8</w:t>
            </w:r>
          </w:p>
        </w:tc>
        <w:tc>
          <w:tcPr>
            <w:tcW w:w="1286" w:type="dxa"/>
            <w:tcBorders>
              <w:top w:val="nil"/>
              <w:left w:val="nil"/>
              <w:bottom w:val="nil"/>
              <w:right w:val="nil"/>
            </w:tcBorders>
            <w:shd w:val="clear" w:color="auto" w:fill="auto"/>
            <w:noWrap/>
            <w:vAlign w:val="bottom"/>
            <w:hideMark/>
          </w:tcPr>
          <w:p w14:paraId="2425925E"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324.0</w:t>
            </w:r>
          </w:p>
        </w:tc>
        <w:tc>
          <w:tcPr>
            <w:tcW w:w="1686" w:type="dxa"/>
            <w:tcBorders>
              <w:top w:val="nil"/>
              <w:left w:val="single" w:sz="4" w:space="0" w:color="auto"/>
              <w:bottom w:val="nil"/>
              <w:right w:val="single" w:sz="4" w:space="0" w:color="auto"/>
            </w:tcBorders>
            <w:shd w:val="clear" w:color="000000" w:fill="FFFFFF"/>
            <w:noWrap/>
            <w:vAlign w:val="bottom"/>
            <w:hideMark/>
          </w:tcPr>
          <w:p w14:paraId="506CE276"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236.2</w:t>
            </w:r>
          </w:p>
        </w:tc>
        <w:tc>
          <w:tcPr>
            <w:tcW w:w="1417" w:type="dxa"/>
            <w:tcBorders>
              <w:top w:val="nil"/>
              <w:left w:val="nil"/>
              <w:bottom w:val="nil"/>
              <w:right w:val="single" w:sz="8" w:space="0" w:color="auto"/>
            </w:tcBorders>
            <w:shd w:val="clear" w:color="000000" w:fill="FFFFFF"/>
            <w:noWrap/>
            <w:vAlign w:val="bottom"/>
            <w:hideMark/>
          </w:tcPr>
          <w:p w14:paraId="7C389930"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369.0%</w:t>
            </w:r>
          </w:p>
        </w:tc>
      </w:tr>
      <w:tr w:rsidR="00C40522" w:rsidRPr="00D02613" w14:paraId="563144D1"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678865F2" w14:textId="77777777" w:rsidR="00C40522" w:rsidRPr="00D02613" w:rsidRDefault="00C40522" w:rsidP="00C40522">
            <w:pPr>
              <w:jc w:val="center"/>
              <w:rPr>
                <w:b/>
                <w:bCs/>
                <w:color w:val="000000"/>
                <w:sz w:val="22"/>
                <w:szCs w:val="22"/>
                <w:lang w:val="es-GT" w:eastAsia="es-GT"/>
              </w:rPr>
            </w:pPr>
            <w:r w:rsidRPr="00D02613">
              <w:rPr>
                <w:b/>
                <w:bCs/>
                <w:color w:val="000000"/>
                <w:sz w:val="22"/>
                <w:szCs w:val="22"/>
                <w:lang w:val="es-GT" w:eastAsia="es-GT"/>
              </w:rPr>
              <w:t>Gasto Social</w:t>
            </w:r>
          </w:p>
        </w:tc>
        <w:tc>
          <w:tcPr>
            <w:tcW w:w="1286" w:type="dxa"/>
            <w:tcBorders>
              <w:top w:val="nil"/>
              <w:left w:val="single" w:sz="4" w:space="0" w:color="auto"/>
              <w:bottom w:val="nil"/>
              <w:right w:val="single" w:sz="4" w:space="0" w:color="auto"/>
            </w:tcBorders>
            <w:shd w:val="clear" w:color="000000" w:fill="FFFFFF"/>
            <w:noWrap/>
            <w:vAlign w:val="bottom"/>
            <w:hideMark/>
          </w:tcPr>
          <w:p w14:paraId="76BBE740"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18,137.6</w:t>
            </w:r>
          </w:p>
        </w:tc>
        <w:tc>
          <w:tcPr>
            <w:tcW w:w="1286" w:type="dxa"/>
            <w:tcBorders>
              <w:top w:val="nil"/>
              <w:left w:val="nil"/>
              <w:bottom w:val="nil"/>
              <w:right w:val="single" w:sz="4" w:space="0" w:color="auto"/>
            </w:tcBorders>
            <w:shd w:val="clear" w:color="000000" w:fill="FFFFFF"/>
            <w:noWrap/>
            <w:vAlign w:val="bottom"/>
            <w:hideMark/>
          </w:tcPr>
          <w:p w14:paraId="21A3897F"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20,458.7</w:t>
            </w:r>
          </w:p>
        </w:tc>
        <w:tc>
          <w:tcPr>
            <w:tcW w:w="1686" w:type="dxa"/>
            <w:tcBorders>
              <w:top w:val="nil"/>
              <w:left w:val="nil"/>
              <w:bottom w:val="nil"/>
              <w:right w:val="single" w:sz="4" w:space="0" w:color="auto"/>
            </w:tcBorders>
            <w:shd w:val="clear" w:color="000000" w:fill="FFFFFF"/>
            <w:noWrap/>
            <w:vAlign w:val="bottom"/>
            <w:hideMark/>
          </w:tcPr>
          <w:p w14:paraId="19DEA1BC"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2,321.1</w:t>
            </w:r>
          </w:p>
        </w:tc>
        <w:tc>
          <w:tcPr>
            <w:tcW w:w="1417" w:type="dxa"/>
            <w:tcBorders>
              <w:top w:val="nil"/>
              <w:left w:val="nil"/>
              <w:bottom w:val="nil"/>
              <w:right w:val="single" w:sz="8" w:space="0" w:color="auto"/>
            </w:tcBorders>
            <w:shd w:val="clear" w:color="000000" w:fill="FFFFFF"/>
            <w:noWrap/>
            <w:vAlign w:val="bottom"/>
            <w:hideMark/>
          </w:tcPr>
          <w:p w14:paraId="0CEF5F8C"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12.8%</w:t>
            </w:r>
          </w:p>
        </w:tc>
      </w:tr>
      <w:tr w:rsidR="00C40522" w:rsidRPr="00D02613" w14:paraId="397AC1AD"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3B29E04A" w14:textId="77777777" w:rsidR="00C40522" w:rsidRPr="00D02613" w:rsidRDefault="00C40522" w:rsidP="00C40522">
            <w:pPr>
              <w:rPr>
                <w:color w:val="000000"/>
                <w:sz w:val="22"/>
                <w:szCs w:val="22"/>
                <w:lang w:val="es-GT" w:eastAsia="es-GT"/>
              </w:rPr>
            </w:pPr>
            <w:r w:rsidRPr="00D02613">
              <w:rPr>
                <w:color w:val="000000"/>
                <w:sz w:val="22"/>
                <w:szCs w:val="22"/>
                <w:lang w:val="es-GT" w:eastAsia="es-GT"/>
              </w:rPr>
              <w:t>Seguridad Interna</w:t>
            </w:r>
          </w:p>
        </w:tc>
        <w:tc>
          <w:tcPr>
            <w:tcW w:w="1286" w:type="dxa"/>
            <w:tcBorders>
              <w:top w:val="nil"/>
              <w:left w:val="single" w:sz="4" w:space="0" w:color="auto"/>
              <w:bottom w:val="nil"/>
              <w:right w:val="single" w:sz="4" w:space="0" w:color="auto"/>
            </w:tcBorders>
            <w:shd w:val="clear" w:color="auto" w:fill="auto"/>
            <w:noWrap/>
            <w:vAlign w:val="bottom"/>
            <w:hideMark/>
          </w:tcPr>
          <w:p w14:paraId="508E52F8"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2,554.2</w:t>
            </w:r>
          </w:p>
        </w:tc>
        <w:tc>
          <w:tcPr>
            <w:tcW w:w="1286" w:type="dxa"/>
            <w:tcBorders>
              <w:top w:val="nil"/>
              <w:left w:val="nil"/>
              <w:bottom w:val="nil"/>
              <w:right w:val="nil"/>
            </w:tcBorders>
            <w:shd w:val="clear" w:color="auto" w:fill="auto"/>
            <w:noWrap/>
            <w:vAlign w:val="bottom"/>
            <w:hideMark/>
          </w:tcPr>
          <w:p w14:paraId="7F11D6FF"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3,151.3</w:t>
            </w:r>
          </w:p>
        </w:tc>
        <w:tc>
          <w:tcPr>
            <w:tcW w:w="1686" w:type="dxa"/>
            <w:tcBorders>
              <w:top w:val="nil"/>
              <w:left w:val="single" w:sz="4" w:space="0" w:color="auto"/>
              <w:bottom w:val="nil"/>
              <w:right w:val="single" w:sz="4" w:space="0" w:color="auto"/>
            </w:tcBorders>
            <w:shd w:val="clear" w:color="000000" w:fill="FFFFFF"/>
            <w:noWrap/>
            <w:vAlign w:val="bottom"/>
            <w:hideMark/>
          </w:tcPr>
          <w:p w14:paraId="6A71EBD8"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597.1</w:t>
            </w:r>
          </w:p>
        </w:tc>
        <w:tc>
          <w:tcPr>
            <w:tcW w:w="1417" w:type="dxa"/>
            <w:tcBorders>
              <w:top w:val="nil"/>
              <w:left w:val="nil"/>
              <w:bottom w:val="nil"/>
              <w:right w:val="single" w:sz="8" w:space="0" w:color="auto"/>
            </w:tcBorders>
            <w:shd w:val="clear" w:color="000000" w:fill="FFFFFF"/>
            <w:noWrap/>
            <w:vAlign w:val="bottom"/>
            <w:hideMark/>
          </w:tcPr>
          <w:p w14:paraId="2F71BD5F"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123.4%</w:t>
            </w:r>
          </w:p>
        </w:tc>
      </w:tr>
      <w:tr w:rsidR="00C40522" w:rsidRPr="00D02613" w14:paraId="7BD486B6"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3564CD5C" w14:textId="77777777" w:rsidR="00C40522" w:rsidRPr="00D02613" w:rsidRDefault="00C40522" w:rsidP="00C40522">
            <w:pPr>
              <w:rPr>
                <w:color w:val="000000"/>
                <w:sz w:val="22"/>
                <w:szCs w:val="22"/>
                <w:lang w:val="es-GT" w:eastAsia="es-GT"/>
              </w:rPr>
            </w:pPr>
            <w:r w:rsidRPr="00D02613">
              <w:rPr>
                <w:color w:val="000000"/>
                <w:sz w:val="22"/>
                <w:szCs w:val="22"/>
                <w:lang w:val="es-GT" w:eastAsia="es-GT"/>
              </w:rPr>
              <w:t>Organismo Judicial y C.C</w:t>
            </w:r>
          </w:p>
        </w:tc>
        <w:tc>
          <w:tcPr>
            <w:tcW w:w="1286" w:type="dxa"/>
            <w:tcBorders>
              <w:top w:val="nil"/>
              <w:left w:val="single" w:sz="4" w:space="0" w:color="auto"/>
              <w:bottom w:val="nil"/>
              <w:right w:val="single" w:sz="4" w:space="0" w:color="auto"/>
            </w:tcBorders>
            <w:shd w:val="clear" w:color="auto" w:fill="auto"/>
            <w:noWrap/>
            <w:vAlign w:val="bottom"/>
            <w:hideMark/>
          </w:tcPr>
          <w:p w14:paraId="77270F25"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1,334.3</w:t>
            </w:r>
          </w:p>
        </w:tc>
        <w:tc>
          <w:tcPr>
            <w:tcW w:w="1286" w:type="dxa"/>
            <w:tcBorders>
              <w:top w:val="nil"/>
              <w:left w:val="nil"/>
              <w:bottom w:val="nil"/>
              <w:right w:val="nil"/>
            </w:tcBorders>
            <w:shd w:val="clear" w:color="auto" w:fill="auto"/>
            <w:noWrap/>
            <w:vAlign w:val="bottom"/>
            <w:hideMark/>
          </w:tcPr>
          <w:p w14:paraId="307CFEA5"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1,555.4</w:t>
            </w:r>
          </w:p>
        </w:tc>
        <w:tc>
          <w:tcPr>
            <w:tcW w:w="1686" w:type="dxa"/>
            <w:tcBorders>
              <w:top w:val="nil"/>
              <w:left w:val="single" w:sz="4" w:space="0" w:color="auto"/>
              <w:bottom w:val="nil"/>
              <w:right w:val="single" w:sz="4" w:space="0" w:color="auto"/>
            </w:tcBorders>
            <w:shd w:val="clear" w:color="000000" w:fill="FFFFFF"/>
            <w:noWrap/>
            <w:vAlign w:val="bottom"/>
            <w:hideMark/>
          </w:tcPr>
          <w:p w14:paraId="4641D1B0"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221.1</w:t>
            </w:r>
          </w:p>
        </w:tc>
        <w:tc>
          <w:tcPr>
            <w:tcW w:w="1417" w:type="dxa"/>
            <w:tcBorders>
              <w:top w:val="nil"/>
              <w:left w:val="nil"/>
              <w:bottom w:val="nil"/>
              <w:right w:val="single" w:sz="8" w:space="0" w:color="auto"/>
            </w:tcBorders>
            <w:shd w:val="clear" w:color="000000" w:fill="FFFFFF"/>
            <w:noWrap/>
            <w:vAlign w:val="bottom"/>
            <w:hideMark/>
          </w:tcPr>
          <w:p w14:paraId="66162D4B"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116.6%</w:t>
            </w:r>
          </w:p>
        </w:tc>
      </w:tr>
      <w:tr w:rsidR="00C40522" w:rsidRPr="00D02613" w14:paraId="548C890A" w14:textId="77777777" w:rsidTr="00D02613">
        <w:trPr>
          <w:trHeight w:val="321"/>
        </w:trPr>
        <w:tc>
          <w:tcPr>
            <w:tcW w:w="3387" w:type="dxa"/>
            <w:tcBorders>
              <w:top w:val="nil"/>
              <w:left w:val="single" w:sz="8" w:space="0" w:color="auto"/>
              <w:bottom w:val="nil"/>
              <w:right w:val="nil"/>
            </w:tcBorders>
            <w:shd w:val="clear" w:color="000000" w:fill="FFFFFF"/>
            <w:noWrap/>
            <w:vAlign w:val="bottom"/>
            <w:hideMark/>
          </w:tcPr>
          <w:p w14:paraId="2340E69C" w14:textId="77777777" w:rsidR="00C40522" w:rsidRPr="00D02613" w:rsidRDefault="00C40522" w:rsidP="00C40522">
            <w:pPr>
              <w:rPr>
                <w:color w:val="000000"/>
                <w:sz w:val="22"/>
                <w:szCs w:val="22"/>
                <w:lang w:val="es-GT" w:eastAsia="es-GT"/>
              </w:rPr>
            </w:pPr>
            <w:r w:rsidRPr="00D02613">
              <w:rPr>
                <w:color w:val="000000"/>
                <w:sz w:val="22"/>
                <w:szCs w:val="22"/>
                <w:lang w:val="es-GT" w:eastAsia="es-GT"/>
              </w:rPr>
              <w:t>Ministerio Público</w:t>
            </w:r>
          </w:p>
        </w:tc>
        <w:tc>
          <w:tcPr>
            <w:tcW w:w="1286" w:type="dxa"/>
            <w:tcBorders>
              <w:top w:val="nil"/>
              <w:left w:val="single" w:sz="4" w:space="0" w:color="auto"/>
              <w:bottom w:val="nil"/>
              <w:right w:val="single" w:sz="4" w:space="0" w:color="auto"/>
            </w:tcBorders>
            <w:shd w:val="clear" w:color="auto" w:fill="auto"/>
            <w:noWrap/>
            <w:vAlign w:val="bottom"/>
            <w:hideMark/>
          </w:tcPr>
          <w:p w14:paraId="0BDBB722"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1,365.7</w:t>
            </w:r>
          </w:p>
        </w:tc>
        <w:tc>
          <w:tcPr>
            <w:tcW w:w="1286" w:type="dxa"/>
            <w:tcBorders>
              <w:top w:val="nil"/>
              <w:left w:val="nil"/>
              <w:bottom w:val="nil"/>
              <w:right w:val="nil"/>
            </w:tcBorders>
            <w:shd w:val="clear" w:color="auto" w:fill="auto"/>
            <w:noWrap/>
            <w:vAlign w:val="bottom"/>
            <w:hideMark/>
          </w:tcPr>
          <w:p w14:paraId="070D3945"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1,350.1</w:t>
            </w:r>
          </w:p>
        </w:tc>
        <w:tc>
          <w:tcPr>
            <w:tcW w:w="1686" w:type="dxa"/>
            <w:tcBorders>
              <w:top w:val="nil"/>
              <w:left w:val="single" w:sz="4" w:space="0" w:color="auto"/>
              <w:bottom w:val="nil"/>
              <w:right w:val="single" w:sz="4" w:space="0" w:color="auto"/>
            </w:tcBorders>
            <w:shd w:val="clear" w:color="000000" w:fill="FFFFFF"/>
            <w:noWrap/>
            <w:vAlign w:val="bottom"/>
            <w:hideMark/>
          </w:tcPr>
          <w:p w14:paraId="215ABC19"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-15.7</w:t>
            </w:r>
          </w:p>
        </w:tc>
        <w:tc>
          <w:tcPr>
            <w:tcW w:w="1417" w:type="dxa"/>
            <w:tcBorders>
              <w:top w:val="nil"/>
              <w:left w:val="nil"/>
              <w:bottom w:val="nil"/>
              <w:right w:val="single" w:sz="8" w:space="0" w:color="auto"/>
            </w:tcBorders>
            <w:shd w:val="clear" w:color="000000" w:fill="FFFFFF"/>
            <w:noWrap/>
            <w:vAlign w:val="bottom"/>
            <w:hideMark/>
          </w:tcPr>
          <w:p w14:paraId="30EECF1E" w14:textId="77777777" w:rsidR="00C40522" w:rsidRPr="00D02613" w:rsidRDefault="00C40522" w:rsidP="00D02613">
            <w:pPr>
              <w:jc w:val="right"/>
              <w:rPr>
                <w:color w:val="000000"/>
                <w:sz w:val="22"/>
                <w:szCs w:val="22"/>
                <w:lang w:val="es-GT" w:eastAsia="es-GT"/>
              </w:rPr>
            </w:pPr>
            <w:r w:rsidRPr="00D02613">
              <w:rPr>
                <w:color w:val="000000"/>
                <w:sz w:val="22"/>
                <w:szCs w:val="22"/>
                <w:lang w:val="es-GT" w:eastAsia="es-GT"/>
              </w:rPr>
              <w:t>98.9%</w:t>
            </w:r>
          </w:p>
        </w:tc>
      </w:tr>
      <w:tr w:rsidR="00C40522" w:rsidRPr="00D02613" w14:paraId="055C3825" w14:textId="77777777" w:rsidTr="00D02613">
        <w:trPr>
          <w:trHeight w:val="336"/>
        </w:trPr>
        <w:tc>
          <w:tcPr>
            <w:tcW w:w="3387" w:type="dxa"/>
            <w:tcBorders>
              <w:top w:val="nil"/>
              <w:left w:val="single" w:sz="8" w:space="0" w:color="auto"/>
              <w:bottom w:val="single" w:sz="8" w:space="0" w:color="auto"/>
              <w:right w:val="nil"/>
            </w:tcBorders>
            <w:shd w:val="clear" w:color="auto" w:fill="auto"/>
            <w:noWrap/>
            <w:vAlign w:val="bottom"/>
            <w:hideMark/>
          </w:tcPr>
          <w:p w14:paraId="2E7227FD" w14:textId="77777777" w:rsidR="00C40522" w:rsidRPr="00D02613" w:rsidRDefault="00C40522" w:rsidP="00C40522">
            <w:pPr>
              <w:jc w:val="center"/>
              <w:rPr>
                <w:b/>
                <w:bCs/>
                <w:color w:val="000000"/>
                <w:sz w:val="22"/>
                <w:szCs w:val="22"/>
                <w:lang w:val="es-GT" w:eastAsia="es-GT"/>
              </w:rPr>
            </w:pPr>
            <w:r w:rsidRPr="00D02613">
              <w:rPr>
                <w:b/>
                <w:bCs/>
                <w:color w:val="000000"/>
                <w:sz w:val="22"/>
                <w:szCs w:val="22"/>
                <w:lang w:val="es-GT" w:eastAsia="es-GT"/>
              </w:rPr>
              <w:t>Sector Justicia</w:t>
            </w:r>
          </w:p>
        </w:tc>
        <w:tc>
          <w:tcPr>
            <w:tcW w:w="1286" w:type="dxa"/>
            <w:tcBorders>
              <w:top w:val="nil"/>
              <w:left w:val="single" w:sz="4" w:space="0" w:color="auto"/>
              <w:bottom w:val="single" w:sz="8" w:space="0" w:color="auto"/>
              <w:right w:val="single" w:sz="4" w:space="0" w:color="auto"/>
            </w:tcBorders>
            <w:shd w:val="clear" w:color="auto" w:fill="auto"/>
            <w:noWrap/>
            <w:vAlign w:val="bottom"/>
            <w:hideMark/>
          </w:tcPr>
          <w:p w14:paraId="6C74E934"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5,254.2</w:t>
            </w:r>
          </w:p>
        </w:tc>
        <w:tc>
          <w:tcPr>
            <w:tcW w:w="1286" w:type="dxa"/>
            <w:tcBorders>
              <w:top w:val="nil"/>
              <w:left w:val="nil"/>
              <w:bottom w:val="single" w:sz="8" w:space="0" w:color="auto"/>
              <w:right w:val="single" w:sz="4" w:space="0" w:color="auto"/>
            </w:tcBorders>
            <w:shd w:val="clear" w:color="auto" w:fill="auto"/>
            <w:noWrap/>
            <w:vAlign w:val="bottom"/>
            <w:hideMark/>
          </w:tcPr>
          <w:p w14:paraId="5C2356FE"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6,056.8</w:t>
            </w:r>
          </w:p>
        </w:tc>
        <w:tc>
          <w:tcPr>
            <w:tcW w:w="1686" w:type="dxa"/>
            <w:tcBorders>
              <w:top w:val="nil"/>
              <w:left w:val="nil"/>
              <w:bottom w:val="single" w:sz="8" w:space="0" w:color="auto"/>
              <w:right w:val="single" w:sz="4" w:space="0" w:color="auto"/>
            </w:tcBorders>
            <w:shd w:val="clear" w:color="auto" w:fill="auto"/>
            <w:noWrap/>
            <w:vAlign w:val="bottom"/>
            <w:hideMark/>
          </w:tcPr>
          <w:p w14:paraId="52CD25B7"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802.6</w:t>
            </w:r>
          </w:p>
        </w:tc>
        <w:tc>
          <w:tcPr>
            <w:tcW w:w="1417" w:type="dxa"/>
            <w:tcBorders>
              <w:top w:val="nil"/>
              <w:left w:val="nil"/>
              <w:bottom w:val="single" w:sz="8" w:space="0" w:color="auto"/>
              <w:right w:val="single" w:sz="8" w:space="0" w:color="auto"/>
            </w:tcBorders>
            <w:shd w:val="clear" w:color="000000" w:fill="FFFFFF"/>
            <w:noWrap/>
            <w:vAlign w:val="bottom"/>
            <w:hideMark/>
          </w:tcPr>
          <w:p w14:paraId="232CB659" w14:textId="77777777" w:rsidR="00C40522" w:rsidRPr="00D02613" w:rsidRDefault="00C40522" w:rsidP="00D02613">
            <w:pPr>
              <w:jc w:val="right"/>
              <w:rPr>
                <w:b/>
                <w:bCs/>
                <w:color w:val="000000"/>
                <w:sz w:val="22"/>
                <w:szCs w:val="22"/>
                <w:lang w:val="es-GT" w:eastAsia="es-GT"/>
              </w:rPr>
            </w:pPr>
            <w:r w:rsidRPr="00D02613">
              <w:rPr>
                <w:b/>
                <w:bCs/>
                <w:color w:val="000000"/>
                <w:sz w:val="22"/>
                <w:szCs w:val="22"/>
                <w:lang w:val="es-GT" w:eastAsia="es-GT"/>
              </w:rPr>
              <w:t>15.3%</w:t>
            </w:r>
          </w:p>
        </w:tc>
      </w:tr>
    </w:tbl>
    <w:p w14:paraId="3DE2A5AE" w14:textId="77777777" w:rsidR="00C40522" w:rsidRDefault="00C40522" w:rsidP="00C40522">
      <w:pPr>
        <w:jc w:val="both"/>
        <w:rPr>
          <w:sz w:val="18"/>
          <w:lang w:val="es-MX"/>
        </w:rPr>
      </w:pPr>
      <w:r>
        <w:rPr>
          <w:sz w:val="18"/>
          <w:lang w:val="es-MX"/>
        </w:rPr>
        <w:t xml:space="preserve"> </w:t>
      </w:r>
      <w:r w:rsidRPr="00240C29">
        <w:rPr>
          <w:sz w:val="18"/>
          <w:lang w:val="es-MX"/>
        </w:rPr>
        <w:t>Fuente: Ministerio de Finanzas Públicas</w:t>
      </w:r>
      <w:r>
        <w:rPr>
          <w:sz w:val="18"/>
          <w:lang w:val="es-MX"/>
        </w:rPr>
        <w:t>,</w:t>
      </w:r>
      <w:r w:rsidRPr="00240C29">
        <w:rPr>
          <w:sz w:val="18"/>
          <w:lang w:val="es-MX"/>
        </w:rPr>
        <w:t xml:space="preserve"> </w:t>
      </w:r>
      <w:r>
        <w:rPr>
          <w:sz w:val="18"/>
          <w:lang w:val="es-MX"/>
        </w:rPr>
        <w:t xml:space="preserve">con base en el </w:t>
      </w:r>
      <w:r w:rsidRPr="00240C29">
        <w:rPr>
          <w:sz w:val="18"/>
          <w:lang w:val="es-MX"/>
        </w:rPr>
        <w:t>SICOIN.</w:t>
      </w:r>
    </w:p>
    <w:p w14:paraId="3AFACD91" w14:textId="77777777" w:rsidR="00C40522" w:rsidRPr="00E35362" w:rsidRDefault="00C40522" w:rsidP="00C40522">
      <w:pPr>
        <w:jc w:val="both"/>
        <w:rPr>
          <w:lang w:val="es-MX"/>
        </w:rPr>
      </w:pPr>
    </w:p>
    <w:p w14:paraId="42AD06D9" w14:textId="77777777" w:rsidR="00C40522" w:rsidRDefault="00C40522" w:rsidP="00C40522">
      <w:pPr>
        <w:jc w:val="both"/>
        <w:rPr>
          <w:lang w:val="es-MX"/>
        </w:rPr>
      </w:pPr>
      <w:r>
        <w:rPr>
          <w:lang w:val="es-MX"/>
        </w:rPr>
        <w:t>De acuerdo al</w:t>
      </w:r>
      <w:r w:rsidRPr="009E05CC">
        <w:rPr>
          <w:lang w:val="es-MX"/>
        </w:rPr>
        <w:t xml:space="preserve"> porcentaje de ejecución presupuestaria</w:t>
      </w:r>
      <w:r>
        <w:rPr>
          <w:lang w:val="es-MX"/>
        </w:rPr>
        <w:t xml:space="preserve">, </w:t>
      </w:r>
      <w:r w:rsidRPr="009E05CC">
        <w:rPr>
          <w:lang w:val="es-MX"/>
        </w:rPr>
        <w:t>el año de mayor ejecución</w:t>
      </w:r>
      <w:r>
        <w:rPr>
          <w:lang w:val="es-MX"/>
        </w:rPr>
        <w:t xml:space="preserve"> </w:t>
      </w:r>
      <w:r w:rsidRPr="009E05CC">
        <w:rPr>
          <w:lang w:val="es-MX"/>
        </w:rPr>
        <w:t>es 20</w:t>
      </w:r>
      <w:r>
        <w:rPr>
          <w:lang w:val="es-MX"/>
        </w:rPr>
        <w:t>21, en donde e</w:t>
      </w:r>
      <w:r w:rsidRPr="009E05CC">
        <w:rPr>
          <w:lang w:val="es-MX"/>
        </w:rPr>
        <w:t xml:space="preserve">l gasto destinado a los Acuerdos de Paz </w:t>
      </w:r>
      <w:r>
        <w:rPr>
          <w:lang w:val="es-MX"/>
        </w:rPr>
        <w:t>fue de</w:t>
      </w:r>
      <w:r w:rsidRPr="009E05CC">
        <w:rPr>
          <w:lang w:val="es-MX"/>
        </w:rPr>
        <w:t xml:space="preserve"> </w:t>
      </w:r>
      <w:r>
        <w:rPr>
          <w:lang w:val="es-MX"/>
        </w:rPr>
        <w:t>55.4%, distribuido de la siguiente manera: el gasto social representa el 44.5% y el sector justicia 10.9%.</w:t>
      </w:r>
    </w:p>
    <w:p w14:paraId="02EC7E24" w14:textId="09EDA546" w:rsidR="00C40522" w:rsidRDefault="00C40522" w:rsidP="00C40522">
      <w:pPr>
        <w:rPr>
          <w:b/>
          <w:sz w:val="28"/>
          <w:szCs w:val="22"/>
          <w:lang w:val="es-MX"/>
        </w:rPr>
      </w:pPr>
    </w:p>
    <w:p w14:paraId="7CEA1D55" w14:textId="3C743AD8" w:rsidR="00D553AD" w:rsidRDefault="00D553AD" w:rsidP="00C40522">
      <w:pPr>
        <w:rPr>
          <w:b/>
          <w:sz w:val="28"/>
          <w:szCs w:val="22"/>
          <w:lang w:val="es-MX"/>
        </w:rPr>
      </w:pPr>
    </w:p>
    <w:p w14:paraId="520238C6" w14:textId="77777777" w:rsidR="00D553AD" w:rsidRPr="00F959FA" w:rsidRDefault="00D553AD" w:rsidP="00C40522">
      <w:pPr>
        <w:rPr>
          <w:b/>
          <w:sz w:val="28"/>
          <w:szCs w:val="22"/>
          <w:lang w:val="es-MX"/>
        </w:rPr>
      </w:pPr>
    </w:p>
    <w:p w14:paraId="45AFCD3F" w14:textId="77777777" w:rsidR="00C40522" w:rsidRPr="00A7534C" w:rsidRDefault="00C40522" w:rsidP="00C40522">
      <w:pPr>
        <w:jc w:val="center"/>
        <w:rPr>
          <w:b/>
          <w:szCs w:val="22"/>
          <w:lang w:val="es-MX"/>
        </w:rPr>
      </w:pPr>
      <w:r w:rsidRPr="00A7534C">
        <w:rPr>
          <w:b/>
          <w:szCs w:val="22"/>
          <w:lang w:val="es-MX"/>
        </w:rPr>
        <w:t xml:space="preserve">Cuadro </w:t>
      </w:r>
      <w:r>
        <w:rPr>
          <w:b/>
          <w:szCs w:val="22"/>
          <w:lang w:val="es-MX"/>
        </w:rPr>
        <w:t>10</w:t>
      </w:r>
    </w:p>
    <w:p w14:paraId="0461BD23" w14:textId="77777777" w:rsidR="00C40522" w:rsidRPr="00A7534C" w:rsidRDefault="00C40522" w:rsidP="00C40522">
      <w:pPr>
        <w:jc w:val="center"/>
        <w:rPr>
          <w:b/>
          <w:szCs w:val="22"/>
          <w:lang w:val="es-MX"/>
        </w:rPr>
      </w:pPr>
      <w:r w:rsidRPr="00A7534C">
        <w:rPr>
          <w:b/>
          <w:szCs w:val="22"/>
          <w:lang w:val="es-MX"/>
        </w:rPr>
        <w:t>Ejecución Presupuestaria del Gasto Social y Acuerdos de Paz</w:t>
      </w:r>
    </w:p>
    <w:p w14:paraId="34A1AAA0" w14:textId="77777777" w:rsidR="00C40522" w:rsidRPr="00A7534C" w:rsidRDefault="00C40522" w:rsidP="00C40522">
      <w:pPr>
        <w:jc w:val="center"/>
        <w:rPr>
          <w:b/>
          <w:szCs w:val="22"/>
          <w:lang w:val="es-MX"/>
        </w:rPr>
      </w:pPr>
      <w:r w:rsidRPr="00A7534C">
        <w:rPr>
          <w:b/>
          <w:szCs w:val="22"/>
          <w:lang w:val="es-MX"/>
        </w:rPr>
        <w:t>Al 30 de junio de cada año</w:t>
      </w:r>
    </w:p>
    <w:p w14:paraId="391B9DD5" w14:textId="77777777" w:rsidR="00C40522" w:rsidRPr="00A7534C" w:rsidRDefault="00C40522" w:rsidP="00C40522">
      <w:pPr>
        <w:jc w:val="center"/>
        <w:rPr>
          <w:sz w:val="20"/>
          <w:lang w:val="es-MX"/>
        </w:rPr>
      </w:pPr>
      <w:r w:rsidRPr="00A7534C">
        <w:rPr>
          <w:b/>
          <w:szCs w:val="22"/>
          <w:lang w:val="es-MX"/>
        </w:rPr>
        <w:t>(En Porcentajes del Presupuesto Ejecutado)</w:t>
      </w:r>
    </w:p>
    <w:p w14:paraId="7382C8D2" w14:textId="77777777" w:rsidR="00C40522" w:rsidRDefault="00C40522" w:rsidP="00C40522">
      <w:pPr>
        <w:jc w:val="both"/>
        <w:rPr>
          <w:sz w:val="18"/>
          <w:lang w:val="es-MX"/>
        </w:rPr>
      </w:pPr>
    </w:p>
    <w:tbl>
      <w:tblPr>
        <w:tblW w:w="9062" w:type="dxa"/>
        <w:tblCellMar>
          <w:left w:w="70" w:type="dxa"/>
          <w:right w:w="70" w:type="dxa"/>
        </w:tblCellMar>
        <w:tblLook w:val="04A0" w:firstRow="1" w:lastRow="0" w:firstColumn="1" w:lastColumn="0" w:noHBand="0" w:noVBand="1"/>
      </w:tblPr>
      <w:tblGrid>
        <w:gridCol w:w="3818"/>
        <w:gridCol w:w="1842"/>
        <w:gridCol w:w="1843"/>
        <w:gridCol w:w="1559"/>
      </w:tblGrid>
      <w:tr w:rsidR="00C40522" w:rsidRPr="00490E06" w14:paraId="57123808" w14:textId="77777777" w:rsidTr="00D553AD">
        <w:trPr>
          <w:trHeight w:val="441"/>
        </w:trPr>
        <w:tc>
          <w:tcPr>
            <w:tcW w:w="3818" w:type="dxa"/>
            <w:tcBorders>
              <w:top w:val="single" w:sz="8" w:space="0" w:color="auto"/>
              <w:left w:val="single" w:sz="8" w:space="0" w:color="auto"/>
              <w:bottom w:val="single" w:sz="4" w:space="0" w:color="auto"/>
              <w:right w:val="nil"/>
            </w:tcBorders>
            <w:shd w:val="clear" w:color="auto" w:fill="00B0F0"/>
            <w:noWrap/>
            <w:vAlign w:val="center"/>
            <w:hideMark/>
          </w:tcPr>
          <w:p w14:paraId="7B5F1553" w14:textId="77777777" w:rsidR="00C40522" w:rsidRPr="00692919" w:rsidRDefault="00C40522" w:rsidP="00C40522">
            <w:pPr>
              <w:jc w:val="center"/>
              <w:rPr>
                <w:b/>
                <w:bCs/>
                <w:color w:val="000000"/>
                <w:szCs w:val="22"/>
                <w:lang w:val="es-GT" w:eastAsia="es-GT"/>
              </w:rPr>
            </w:pPr>
            <w:r w:rsidRPr="00692919">
              <w:rPr>
                <w:b/>
                <w:bCs/>
                <w:color w:val="000000"/>
                <w:szCs w:val="22"/>
                <w:lang w:val="es-GT" w:eastAsia="es-GT"/>
              </w:rPr>
              <w:t>Sector</w:t>
            </w:r>
          </w:p>
        </w:tc>
        <w:tc>
          <w:tcPr>
            <w:tcW w:w="1842" w:type="dxa"/>
            <w:tcBorders>
              <w:top w:val="single" w:sz="8" w:space="0" w:color="auto"/>
              <w:left w:val="single" w:sz="4" w:space="0" w:color="auto"/>
              <w:bottom w:val="single" w:sz="4" w:space="0" w:color="auto"/>
              <w:right w:val="single" w:sz="4" w:space="0" w:color="auto"/>
            </w:tcBorders>
            <w:shd w:val="clear" w:color="auto" w:fill="00B0F0"/>
            <w:noWrap/>
            <w:vAlign w:val="center"/>
            <w:hideMark/>
          </w:tcPr>
          <w:p w14:paraId="09C206DE" w14:textId="77777777" w:rsidR="00C40522" w:rsidRPr="00692919" w:rsidRDefault="00C40522" w:rsidP="00C40522">
            <w:pPr>
              <w:jc w:val="center"/>
              <w:rPr>
                <w:b/>
                <w:bCs/>
                <w:color w:val="000000"/>
                <w:szCs w:val="22"/>
                <w:lang w:val="es-GT" w:eastAsia="es-GT"/>
              </w:rPr>
            </w:pPr>
            <w:r w:rsidRPr="00692919">
              <w:rPr>
                <w:b/>
                <w:bCs/>
                <w:color w:val="000000"/>
                <w:szCs w:val="22"/>
                <w:lang w:val="es-GT" w:eastAsia="es-GT"/>
              </w:rPr>
              <w:t>2021</w:t>
            </w:r>
          </w:p>
        </w:tc>
        <w:tc>
          <w:tcPr>
            <w:tcW w:w="1843" w:type="dxa"/>
            <w:tcBorders>
              <w:top w:val="single" w:sz="8" w:space="0" w:color="auto"/>
              <w:left w:val="nil"/>
              <w:bottom w:val="single" w:sz="4" w:space="0" w:color="auto"/>
              <w:right w:val="single" w:sz="4" w:space="0" w:color="auto"/>
            </w:tcBorders>
            <w:shd w:val="clear" w:color="auto" w:fill="00B0F0"/>
            <w:noWrap/>
            <w:vAlign w:val="center"/>
            <w:hideMark/>
          </w:tcPr>
          <w:p w14:paraId="738E33E8" w14:textId="77777777" w:rsidR="00C40522" w:rsidRPr="00692919" w:rsidRDefault="00C40522" w:rsidP="00C40522">
            <w:pPr>
              <w:jc w:val="center"/>
              <w:rPr>
                <w:b/>
                <w:bCs/>
                <w:color w:val="000000"/>
                <w:szCs w:val="22"/>
                <w:lang w:val="es-GT" w:eastAsia="es-GT"/>
              </w:rPr>
            </w:pPr>
            <w:r w:rsidRPr="00692919">
              <w:rPr>
                <w:b/>
                <w:bCs/>
                <w:color w:val="000000"/>
                <w:szCs w:val="22"/>
                <w:lang w:val="es-GT" w:eastAsia="es-GT"/>
              </w:rPr>
              <w:t>2022</w:t>
            </w:r>
          </w:p>
        </w:tc>
        <w:tc>
          <w:tcPr>
            <w:tcW w:w="1559" w:type="dxa"/>
            <w:tcBorders>
              <w:top w:val="single" w:sz="8" w:space="0" w:color="auto"/>
              <w:left w:val="single" w:sz="4" w:space="0" w:color="auto"/>
              <w:bottom w:val="single" w:sz="4" w:space="0" w:color="auto"/>
              <w:right w:val="single" w:sz="8" w:space="0" w:color="auto"/>
            </w:tcBorders>
            <w:shd w:val="clear" w:color="auto" w:fill="00B0F0"/>
            <w:noWrap/>
            <w:vAlign w:val="center"/>
            <w:hideMark/>
          </w:tcPr>
          <w:p w14:paraId="316A5381" w14:textId="77777777" w:rsidR="00C40522" w:rsidRPr="00692919" w:rsidRDefault="00C40522" w:rsidP="00C40522">
            <w:pPr>
              <w:jc w:val="center"/>
              <w:rPr>
                <w:b/>
                <w:bCs/>
                <w:color w:val="000000"/>
                <w:szCs w:val="22"/>
                <w:lang w:val="es-GT" w:eastAsia="es-GT"/>
              </w:rPr>
            </w:pPr>
            <w:r w:rsidRPr="00692919">
              <w:rPr>
                <w:b/>
                <w:bCs/>
                <w:color w:val="000000"/>
                <w:szCs w:val="22"/>
                <w:lang w:val="es-GT" w:eastAsia="es-GT"/>
              </w:rPr>
              <w:t>2023</w:t>
            </w:r>
          </w:p>
        </w:tc>
      </w:tr>
      <w:tr w:rsidR="00C40522" w:rsidRPr="00490E06" w14:paraId="54B46796"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70FC5F46"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Total</w:t>
            </w:r>
          </w:p>
        </w:tc>
        <w:tc>
          <w:tcPr>
            <w:tcW w:w="1842" w:type="dxa"/>
            <w:tcBorders>
              <w:top w:val="nil"/>
              <w:left w:val="single" w:sz="4" w:space="0" w:color="auto"/>
              <w:bottom w:val="nil"/>
              <w:right w:val="single" w:sz="4" w:space="0" w:color="auto"/>
            </w:tcBorders>
            <w:shd w:val="clear" w:color="000000" w:fill="FFFFFF"/>
            <w:noWrap/>
            <w:vAlign w:val="center"/>
            <w:hideMark/>
          </w:tcPr>
          <w:p w14:paraId="1CDFEE80"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55.4%</w:t>
            </w:r>
          </w:p>
        </w:tc>
        <w:tc>
          <w:tcPr>
            <w:tcW w:w="1843" w:type="dxa"/>
            <w:tcBorders>
              <w:top w:val="nil"/>
              <w:left w:val="nil"/>
              <w:bottom w:val="nil"/>
              <w:right w:val="single" w:sz="4" w:space="0" w:color="auto"/>
            </w:tcBorders>
            <w:shd w:val="clear" w:color="000000" w:fill="FFFFFF"/>
            <w:noWrap/>
            <w:vAlign w:val="center"/>
            <w:hideMark/>
          </w:tcPr>
          <w:p w14:paraId="55CD77E5"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49.2%</w:t>
            </w:r>
          </w:p>
        </w:tc>
        <w:tc>
          <w:tcPr>
            <w:tcW w:w="1559" w:type="dxa"/>
            <w:tcBorders>
              <w:top w:val="nil"/>
              <w:left w:val="nil"/>
              <w:bottom w:val="nil"/>
              <w:right w:val="single" w:sz="8" w:space="0" w:color="auto"/>
            </w:tcBorders>
            <w:shd w:val="clear" w:color="000000" w:fill="FFFFFF"/>
            <w:noWrap/>
            <w:vAlign w:val="center"/>
            <w:hideMark/>
          </w:tcPr>
          <w:p w14:paraId="467D6C66"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48.3%</w:t>
            </w:r>
          </w:p>
        </w:tc>
      </w:tr>
      <w:tr w:rsidR="00C40522" w:rsidRPr="00490E06" w14:paraId="31044C28"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27F6B9DD" w14:textId="77777777" w:rsidR="00C40522" w:rsidRPr="00490E06" w:rsidRDefault="00C40522" w:rsidP="00490E06">
            <w:pPr>
              <w:rPr>
                <w:color w:val="000000"/>
                <w:sz w:val="22"/>
                <w:szCs w:val="22"/>
                <w:lang w:val="es-GT" w:eastAsia="es-GT"/>
              </w:rPr>
            </w:pPr>
            <w:r w:rsidRPr="00490E06">
              <w:rPr>
                <w:color w:val="000000"/>
                <w:sz w:val="22"/>
                <w:szCs w:val="22"/>
                <w:lang w:val="es-GT" w:eastAsia="es-GT"/>
              </w:rPr>
              <w:t>Salud y Asistencia Social</w:t>
            </w:r>
          </w:p>
        </w:tc>
        <w:tc>
          <w:tcPr>
            <w:tcW w:w="1842" w:type="dxa"/>
            <w:tcBorders>
              <w:top w:val="nil"/>
              <w:left w:val="single" w:sz="4" w:space="0" w:color="auto"/>
              <w:bottom w:val="nil"/>
              <w:right w:val="single" w:sz="4" w:space="0" w:color="auto"/>
            </w:tcBorders>
            <w:shd w:val="clear" w:color="000000" w:fill="FFFFFF"/>
            <w:noWrap/>
            <w:vAlign w:val="center"/>
            <w:hideMark/>
          </w:tcPr>
          <w:p w14:paraId="3F451AFE"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20.6%</w:t>
            </w:r>
          </w:p>
        </w:tc>
        <w:tc>
          <w:tcPr>
            <w:tcW w:w="1843" w:type="dxa"/>
            <w:tcBorders>
              <w:top w:val="nil"/>
              <w:left w:val="nil"/>
              <w:bottom w:val="nil"/>
              <w:right w:val="single" w:sz="4" w:space="0" w:color="auto"/>
            </w:tcBorders>
            <w:shd w:val="clear" w:color="000000" w:fill="FFFFFF"/>
            <w:noWrap/>
            <w:vAlign w:val="center"/>
            <w:hideMark/>
          </w:tcPr>
          <w:p w14:paraId="59295598"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14.2%</w:t>
            </w:r>
          </w:p>
        </w:tc>
        <w:tc>
          <w:tcPr>
            <w:tcW w:w="1559" w:type="dxa"/>
            <w:tcBorders>
              <w:top w:val="nil"/>
              <w:left w:val="nil"/>
              <w:bottom w:val="nil"/>
              <w:right w:val="single" w:sz="8" w:space="0" w:color="auto"/>
            </w:tcBorders>
            <w:shd w:val="clear" w:color="000000" w:fill="FFFFFF"/>
            <w:noWrap/>
            <w:vAlign w:val="center"/>
            <w:hideMark/>
          </w:tcPr>
          <w:p w14:paraId="21C58176"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12.7%</w:t>
            </w:r>
          </w:p>
        </w:tc>
      </w:tr>
      <w:tr w:rsidR="00C40522" w:rsidRPr="00490E06" w14:paraId="1EEDEA7A"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0CEA6E88" w14:textId="77777777" w:rsidR="00C40522" w:rsidRPr="00490E06" w:rsidRDefault="00C40522" w:rsidP="00490E06">
            <w:pPr>
              <w:rPr>
                <w:color w:val="000000"/>
                <w:sz w:val="22"/>
                <w:szCs w:val="22"/>
                <w:lang w:val="es-GT" w:eastAsia="es-GT"/>
              </w:rPr>
            </w:pPr>
            <w:r w:rsidRPr="00490E06">
              <w:rPr>
                <w:color w:val="000000"/>
                <w:sz w:val="22"/>
                <w:szCs w:val="22"/>
                <w:lang w:val="es-GT" w:eastAsia="es-GT"/>
              </w:rPr>
              <w:t>Educación, Ciencia y Cultura</w:t>
            </w:r>
          </w:p>
        </w:tc>
        <w:tc>
          <w:tcPr>
            <w:tcW w:w="1842" w:type="dxa"/>
            <w:tcBorders>
              <w:top w:val="nil"/>
              <w:left w:val="single" w:sz="4" w:space="0" w:color="auto"/>
              <w:bottom w:val="nil"/>
              <w:right w:val="single" w:sz="4" w:space="0" w:color="auto"/>
            </w:tcBorders>
            <w:shd w:val="clear" w:color="000000" w:fill="FFFFFF"/>
            <w:noWrap/>
            <w:vAlign w:val="center"/>
            <w:hideMark/>
          </w:tcPr>
          <w:p w14:paraId="189EFC46"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23.7%</w:t>
            </w:r>
          </w:p>
        </w:tc>
        <w:tc>
          <w:tcPr>
            <w:tcW w:w="1843" w:type="dxa"/>
            <w:tcBorders>
              <w:top w:val="nil"/>
              <w:left w:val="nil"/>
              <w:bottom w:val="nil"/>
              <w:right w:val="single" w:sz="4" w:space="0" w:color="auto"/>
            </w:tcBorders>
            <w:shd w:val="clear" w:color="000000" w:fill="FFFFFF"/>
            <w:noWrap/>
            <w:vAlign w:val="center"/>
            <w:hideMark/>
          </w:tcPr>
          <w:p w14:paraId="2640CAFE"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23.7%</w:t>
            </w:r>
          </w:p>
        </w:tc>
        <w:tc>
          <w:tcPr>
            <w:tcW w:w="1559" w:type="dxa"/>
            <w:tcBorders>
              <w:top w:val="nil"/>
              <w:left w:val="nil"/>
              <w:bottom w:val="nil"/>
              <w:right w:val="single" w:sz="8" w:space="0" w:color="auto"/>
            </w:tcBorders>
            <w:shd w:val="clear" w:color="000000" w:fill="FFFFFF"/>
            <w:noWrap/>
            <w:vAlign w:val="center"/>
            <w:hideMark/>
          </w:tcPr>
          <w:p w14:paraId="1EB849A4"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24.0%</w:t>
            </w:r>
          </w:p>
        </w:tc>
      </w:tr>
      <w:tr w:rsidR="00C40522" w:rsidRPr="00490E06" w14:paraId="330E41FB"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28491241" w14:textId="77777777" w:rsidR="00C40522" w:rsidRPr="00490E06" w:rsidRDefault="00C40522" w:rsidP="00490E06">
            <w:pPr>
              <w:rPr>
                <w:color w:val="000000"/>
                <w:sz w:val="22"/>
                <w:szCs w:val="22"/>
                <w:lang w:val="es-GT" w:eastAsia="es-GT"/>
              </w:rPr>
            </w:pPr>
            <w:r w:rsidRPr="00490E06">
              <w:rPr>
                <w:color w:val="000000"/>
                <w:sz w:val="22"/>
                <w:szCs w:val="22"/>
                <w:lang w:val="es-GT" w:eastAsia="es-GT"/>
              </w:rPr>
              <w:t>Vivienda</w:t>
            </w:r>
          </w:p>
        </w:tc>
        <w:tc>
          <w:tcPr>
            <w:tcW w:w="1842" w:type="dxa"/>
            <w:tcBorders>
              <w:top w:val="nil"/>
              <w:left w:val="single" w:sz="4" w:space="0" w:color="auto"/>
              <w:bottom w:val="nil"/>
              <w:right w:val="single" w:sz="4" w:space="0" w:color="auto"/>
            </w:tcBorders>
            <w:shd w:val="clear" w:color="000000" w:fill="FFFFFF"/>
            <w:noWrap/>
            <w:vAlign w:val="center"/>
            <w:hideMark/>
          </w:tcPr>
          <w:p w14:paraId="164E097A"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0.2%</w:t>
            </w:r>
          </w:p>
        </w:tc>
        <w:tc>
          <w:tcPr>
            <w:tcW w:w="1843" w:type="dxa"/>
            <w:tcBorders>
              <w:top w:val="nil"/>
              <w:left w:val="nil"/>
              <w:bottom w:val="nil"/>
              <w:right w:val="single" w:sz="4" w:space="0" w:color="auto"/>
            </w:tcBorders>
            <w:shd w:val="clear" w:color="000000" w:fill="FFFFFF"/>
            <w:noWrap/>
            <w:vAlign w:val="center"/>
            <w:hideMark/>
          </w:tcPr>
          <w:p w14:paraId="4ACE5A32"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0.2%</w:t>
            </w:r>
          </w:p>
        </w:tc>
        <w:tc>
          <w:tcPr>
            <w:tcW w:w="1559" w:type="dxa"/>
            <w:tcBorders>
              <w:top w:val="nil"/>
              <w:left w:val="nil"/>
              <w:bottom w:val="nil"/>
              <w:right w:val="single" w:sz="8" w:space="0" w:color="auto"/>
            </w:tcBorders>
            <w:shd w:val="clear" w:color="000000" w:fill="FFFFFF"/>
            <w:noWrap/>
            <w:vAlign w:val="center"/>
            <w:hideMark/>
          </w:tcPr>
          <w:p w14:paraId="696717F0"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0.6%</w:t>
            </w:r>
          </w:p>
        </w:tc>
      </w:tr>
      <w:tr w:rsidR="00C40522" w:rsidRPr="00490E06" w14:paraId="1A9C6F13"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45061453"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Gasto Social</w:t>
            </w:r>
          </w:p>
        </w:tc>
        <w:tc>
          <w:tcPr>
            <w:tcW w:w="1842" w:type="dxa"/>
            <w:tcBorders>
              <w:top w:val="nil"/>
              <w:left w:val="single" w:sz="4" w:space="0" w:color="auto"/>
              <w:bottom w:val="nil"/>
              <w:right w:val="single" w:sz="4" w:space="0" w:color="auto"/>
            </w:tcBorders>
            <w:shd w:val="clear" w:color="000000" w:fill="FFFFFF"/>
            <w:noWrap/>
            <w:vAlign w:val="center"/>
            <w:hideMark/>
          </w:tcPr>
          <w:p w14:paraId="15467B56"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44.5%</w:t>
            </w:r>
          </w:p>
        </w:tc>
        <w:tc>
          <w:tcPr>
            <w:tcW w:w="1843" w:type="dxa"/>
            <w:tcBorders>
              <w:top w:val="nil"/>
              <w:left w:val="nil"/>
              <w:bottom w:val="nil"/>
              <w:right w:val="single" w:sz="4" w:space="0" w:color="auto"/>
            </w:tcBorders>
            <w:shd w:val="clear" w:color="000000" w:fill="FFFFFF"/>
            <w:noWrap/>
            <w:vAlign w:val="center"/>
            <w:hideMark/>
          </w:tcPr>
          <w:p w14:paraId="4BF65B26"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38.2%</w:t>
            </w:r>
          </w:p>
        </w:tc>
        <w:tc>
          <w:tcPr>
            <w:tcW w:w="1559" w:type="dxa"/>
            <w:tcBorders>
              <w:top w:val="nil"/>
              <w:left w:val="nil"/>
              <w:bottom w:val="nil"/>
              <w:right w:val="single" w:sz="8" w:space="0" w:color="auto"/>
            </w:tcBorders>
            <w:shd w:val="clear" w:color="000000" w:fill="FFFFFF"/>
            <w:noWrap/>
            <w:vAlign w:val="center"/>
            <w:hideMark/>
          </w:tcPr>
          <w:p w14:paraId="45139087"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37.3%</w:t>
            </w:r>
          </w:p>
        </w:tc>
      </w:tr>
      <w:tr w:rsidR="00C40522" w:rsidRPr="00490E06" w14:paraId="32742745"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7E5DF22E" w14:textId="77777777" w:rsidR="00C40522" w:rsidRPr="00490E06" w:rsidRDefault="00C40522" w:rsidP="00490E06">
            <w:pPr>
              <w:rPr>
                <w:color w:val="000000"/>
                <w:sz w:val="22"/>
                <w:szCs w:val="22"/>
                <w:lang w:val="es-GT" w:eastAsia="es-GT"/>
              </w:rPr>
            </w:pPr>
            <w:r w:rsidRPr="00490E06">
              <w:rPr>
                <w:color w:val="000000"/>
                <w:sz w:val="22"/>
                <w:szCs w:val="22"/>
                <w:lang w:val="es-GT" w:eastAsia="es-GT"/>
              </w:rPr>
              <w:t>Seguridad Interna</w:t>
            </w:r>
          </w:p>
        </w:tc>
        <w:tc>
          <w:tcPr>
            <w:tcW w:w="1842" w:type="dxa"/>
            <w:tcBorders>
              <w:top w:val="nil"/>
              <w:left w:val="single" w:sz="4" w:space="0" w:color="auto"/>
              <w:bottom w:val="nil"/>
              <w:right w:val="single" w:sz="4" w:space="0" w:color="auto"/>
            </w:tcBorders>
            <w:shd w:val="clear" w:color="000000" w:fill="FFFFFF"/>
            <w:noWrap/>
            <w:vAlign w:val="center"/>
            <w:hideMark/>
          </w:tcPr>
          <w:p w14:paraId="7520DD72"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6.3%</w:t>
            </w:r>
          </w:p>
        </w:tc>
        <w:tc>
          <w:tcPr>
            <w:tcW w:w="1843" w:type="dxa"/>
            <w:tcBorders>
              <w:top w:val="nil"/>
              <w:left w:val="nil"/>
              <w:bottom w:val="nil"/>
              <w:right w:val="single" w:sz="4" w:space="0" w:color="auto"/>
            </w:tcBorders>
            <w:shd w:val="clear" w:color="000000" w:fill="FFFFFF"/>
            <w:noWrap/>
            <w:vAlign w:val="center"/>
            <w:hideMark/>
          </w:tcPr>
          <w:p w14:paraId="08DC5FAB"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5.4%</w:t>
            </w:r>
          </w:p>
        </w:tc>
        <w:tc>
          <w:tcPr>
            <w:tcW w:w="1559" w:type="dxa"/>
            <w:tcBorders>
              <w:top w:val="nil"/>
              <w:left w:val="nil"/>
              <w:bottom w:val="nil"/>
              <w:right w:val="single" w:sz="8" w:space="0" w:color="auto"/>
            </w:tcBorders>
            <w:shd w:val="clear" w:color="000000" w:fill="FFFFFF"/>
            <w:noWrap/>
            <w:vAlign w:val="center"/>
            <w:hideMark/>
          </w:tcPr>
          <w:p w14:paraId="094EE357"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5.7%</w:t>
            </w:r>
          </w:p>
        </w:tc>
      </w:tr>
      <w:tr w:rsidR="00C40522" w:rsidRPr="00490E06" w14:paraId="4826E772"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2D13516B" w14:textId="77777777" w:rsidR="00C40522" w:rsidRPr="00490E06" w:rsidRDefault="00C40522" w:rsidP="00490E06">
            <w:pPr>
              <w:rPr>
                <w:color w:val="000000"/>
                <w:sz w:val="22"/>
                <w:szCs w:val="22"/>
                <w:lang w:val="es-GT" w:eastAsia="es-GT"/>
              </w:rPr>
            </w:pPr>
            <w:r w:rsidRPr="00490E06">
              <w:rPr>
                <w:color w:val="000000"/>
                <w:sz w:val="22"/>
                <w:szCs w:val="22"/>
                <w:lang w:val="es-GT" w:eastAsia="es-GT"/>
              </w:rPr>
              <w:t>Organismo Judicial y C.C</w:t>
            </w:r>
          </w:p>
        </w:tc>
        <w:tc>
          <w:tcPr>
            <w:tcW w:w="1842" w:type="dxa"/>
            <w:tcBorders>
              <w:top w:val="nil"/>
              <w:left w:val="single" w:sz="4" w:space="0" w:color="auto"/>
              <w:bottom w:val="nil"/>
              <w:right w:val="single" w:sz="4" w:space="0" w:color="auto"/>
            </w:tcBorders>
            <w:shd w:val="clear" w:color="000000" w:fill="FFFFFF"/>
            <w:noWrap/>
            <w:vAlign w:val="center"/>
            <w:hideMark/>
          </w:tcPr>
          <w:p w14:paraId="5927370F"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2.7%</w:t>
            </w:r>
          </w:p>
        </w:tc>
        <w:tc>
          <w:tcPr>
            <w:tcW w:w="1843" w:type="dxa"/>
            <w:tcBorders>
              <w:top w:val="nil"/>
              <w:left w:val="nil"/>
              <w:bottom w:val="nil"/>
              <w:right w:val="single" w:sz="4" w:space="0" w:color="auto"/>
            </w:tcBorders>
            <w:shd w:val="clear" w:color="000000" w:fill="FFFFFF"/>
            <w:noWrap/>
            <w:vAlign w:val="center"/>
            <w:hideMark/>
          </w:tcPr>
          <w:p w14:paraId="50781556"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2.8%</w:t>
            </w:r>
          </w:p>
        </w:tc>
        <w:tc>
          <w:tcPr>
            <w:tcW w:w="1559" w:type="dxa"/>
            <w:tcBorders>
              <w:top w:val="nil"/>
              <w:left w:val="nil"/>
              <w:bottom w:val="nil"/>
              <w:right w:val="single" w:sz="8" w:space="0" w:color="auto"/>
            </w:tcBorders>
            <w:shd w:val="clear" w:color="000000" w:fill="FFFFFF"/>
            <w:noWrap/>
            <w:vAlign w:val="center"/>
            <w:hideMark/>
          </w:tcPr>
          <w:p w14:paraId="29D76ABF"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2.8%</w:t>
            </w:r>
          </w:p>
        </w:tc>
      </w:tr>
      <w:tr w:rsidR="00C40522" w:rsidRPr="00490E06" w14:paraId="1BE82267" w14:textId="77777777" w:rsidTr="00490E06">
        <w:trPr>
          <w:trHeight w:val="318"/>
        </w:trPr>
        <w:tc>
          <w:tcPr>
            <w:tcW w:w="3818" w:type="dxa"/>
            <w:tcBorders>
              <w:top w:val="nil"/>
              <w:left w:val="single" w:sz="8" w:space="0" w:color="auto"/>
              <w:bottom w:val="nil"/>
              <w:right w:val="nil"/>
            </w:tcBorders>
            <w:shd w:val="clear" w:color="000000" w:fill="FFFFFF"/>
            <w:noWrap/>
            <w:vAlign w:val="center"/>
            <w:hideMark/>
          </w:tcPr>
          <w:p w14:paraId="1789D3E3" w14:textId="77777777" w:rsidR="00C40522" w:rsidRPr="00490E06" w:rsidRDefault="00C40522" w:rsidP="00490E06">
            <w:pPr>
              <w:rPr>
                <w:color w:val="000000"/>
                <w:sz w:val="22"/>
                <w:szCs w:val="22"/>
                <w:lang w:val="es-GT" w:eastAsia="es-GT"/>
              </w:rPr>
            </w:pPr>
            <w:r w:rsidRPr="00490E06">
              <w:rPr>
                <w:color w:val="000000"/>
                <w:sz w:val="22"/>
                <w:szCs w:val="22"/>
                <w:lang w:val="es-GT" w:eastAsia="es-GT"/>
              </w:rPr>
              <w:t>Ministerio Público</w:t>
            </w:r>
          </w:p>
        </w:tc>
        <w:tc>
          <w:tcPr>
            <w:tcW w:w="1842" w:type="dxa"/>
            <w:tcBorders>
              <w:top w:val="nil"/>
              <w:left w:val="single" w:sz="4" w:space="0" w:color="auto"/>
              <w:bottom w:val="nil"/>
              <w:right w:val="single" w:sz="4" w:space="0" w:color="auto"/>
            </w:tcBorders>
            <w:shd w:val="clear" w:color="000000" w:fill="FFFFFF"/>
            <w:noWrap/>
            <w:vAlign w:val="center"/>
            <w:hideMark/>
          </w:tcPr>
          <w:p w14:paraId="1D926C48"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1.9%</w:t>
            </w:r>
          </w:p>
        </w:tc>
        <w:tc>
          <w:tcPr>
            <w:tcW w:w="1843" w:type="dxa"/>
            <w:tcBorders>
              <w:top w:val="nil"/>
              <w:left w:val="nil"/>
              <w:bottom w:val="nil"/>
              <w:right w:val="single" w:sz="4" w:space="0" w:color="auto"/>
            </w:tcBorders>
            <w:shd w:val="clear" w:color="000000" w:fill="FFFFFF"/>
            <w:noWrap/>
            <w:vAlign w:val="center"/>
            <w:hideMark/>
          </w:tcPr>
          <w:p w14:paraId="1550BE35"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2.9%</w:t>
            </w:r>
          </w:p>
        </w:tc>
        <w:tc>
          <w:tcPr>
            <w:tcW w:w="1559" w:type="dxa"/>
            <w:tcBorders>
              <w:top w:val="nil"/>
              <w:left w:val="nil"/>
              <w:bottom w:val="nil"/>
              <w:right w:val="single" w:sz="8" w:space="0" w:color="auto"/>
            </w:tcBorders>
            <w:shd w:val="clear" w:color="000000" w:fill="FFFFFF"/>
            <w:noWrap/>
            <w:vAlign w:val="center"/>
            <w:hideMark/>
          </w:tcPr>
          <w:p w14:paraId="559DA5A2" w14:textId="77777777" w:rsidR="00C40522" w:rsidRPr="00490E06" w:rsidRDefault="00C40522" w:rsidP="00C40522">
            <w:pPr>
              <w:jc w:val="center"/>
              <w:rPr>
                <w:color w:val="000000"/>
                <w:sz w:val="22"/>
                <w:szCs w:val="22"/>
                <w:lang w:val="es-GT" w:eastAsia="es-GT"/>
              </w:rPr>
            </w:pPr>
            <w:r w:rsidRPr="00490E06">
              <w:rPr>
                <w:color w:val="000000"/>
                <w:sz w:val="22"/>
                <w:szCs w:val="22"/>
                <w:lang w:val="es-GT" w:eastAsia="es-GT"/>
              </w:rPr>
              <w:t>2.5%</w:t>
            </w:r>
          </w:p>
        </w:tc>
      </w:tr>
      <w:tr w:rsidR="00C40522" w:rsidRPr="00490E06" w14:paraId="28949A28" w14:textId="77777777" w:rsidTr="00490E06">
        <w:trPr>
          <w:trHeight w:val="333"/>
        </w:trPr>
        <w:tc>
          <w:tcPr>
            <w:tcW w:w="3818" w:type="dxa"/>
            <w:tcBorders>
              <w:top w:val="nil"/>
              <w:left w:val="single" w:sz="8" w:space="0" w:color="auto"/>
              <w:bottom w:val="single" w:sz="8" w:space="0" w:color="auto"/>
              <w:right w:val="nil"/>
            </w:tcBorders>
            <w:shd w:val="clear" w:color="000000" w:fill="FFFFFF"/>
            <w:noWrap/>
            <w:vAlign w:val="center"/>
            <w:hideMark/>
          </w:tcPr>
          <w:p w14:paraId="337C8822"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Sector Justicia</w:t>
            </w:r>
          </w:p>
        </w:tc>
        <w:tc>
          <w:tcPr>
            <w:tcW w:w="1842" w:type="dxa"/>
            <w:tcBorders>
              <w:top w:val="nil"/>
              <w:left w:val="single" w:sz="4" w:space="0" w:color="auto"/>
              <w:bottom w:val="single" w:sz="8" w:space="0" w:color="auto"/>
              <w:right w:val="single" w:sz="4" w:space="0" w:color="auto"/>
            </w:tcBorders>
            <w:shd w:val="clear" w:color="000000" w:fill="FFFFFF"/>
            <w:noWrap/>
            <w:vAlign w:val="center"/>
            <w:hideMark/>
          </w:tcPr>
          <w:p w14:paraId="4B7F5B77"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10.9%</w:t>
            </w:r>
          </w:p>
        </w:tc>
        <w:tc>
          <w:tcPr>
            <w:tcW w:w="1843" w:type="dxa"/>
            <w:tcBorders>
              <w:top w:val="nil"/>
              <w:left w:val="nil"/>
              <w:bottom w:val="single" w:sz="8" w:space="0" w:color="auto"/>
              <w:right w:val="single" w:sz="4" w:space="0" w:color="auto"/>
            </w:tcBorders>
            <w:shd w:val="clear" w:color="000000" w:fill="FFFFFF"/>
            <w:noWrap/>
            <w:vAlign w:val="center"/>
            <w:hideMark/>
          </w:tcPr>
          <w:p w14:paraId="6FE4B945"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11.1%</w:t>
            </w:r>
          </w:p>
        </w:tc>
        <w:tc>
          <w:tcPr>
            <w:tcW w:w="1559" w:type="dxa"/>
            <w:tcBorders>
              <w:top w:val="nil"/>
              <w:left w:val="nil"/>
              <w:bottom w:val="single" w:sz="8" w:space="0" w:color="auto"/>
              <w:right w:val="single" w:sz="8" w:space="0" w:color="auto"/>
            </w:tcBorders>
            <w:shd w:val="clear" w:color="000000" w:fill="FFFFFF"/>
            <w:noWrap/>
            <w:vAlign w:val="center"/>
            <w:hideMark/>
          </w:tcPr>
          <w:p w14:paraId="34A4927D" w14:textId="77777777" w:rsidR="00C40522" w:rsidRPr="00490E06" w:rsidRDefault="00C40522" w:rsidP="00C40522">
            <w:pPr>
              <w:jc w:val="center"/>
              <w:rPr>
                <w:b/>
                <w:bCs/>
                <w:color w:val="000000"/>
                <w:sz w:val="22"/>
                <w:szCs w:val="22"/>
                <w:lang w:val="es-GT" w:eastAsia="es-GT"/>
              </w:rPr>
            </w:pPr>
            <w:r w:rsidRPr="00490E06">
              <w:rPr>
                <w:b/>
                <w:bCs/>
                <w:color w:val="000000"/>
                <w:sz w:val="22"/>
                <w:szCs w:val="22"/>
                <w:lang w:val="es-GT" w:eastAsia="es-GT"/>
              </w:rPr>
              <w:t>11.0%</w:t>
            </w:r>
          </w:p>
        </w:tc>
      </w:tr>
      <w:tr w:rsidR="00C40522" w:rsidRPr="00490E06" w14:paraId="563C9D9E" w14:textId="77777777" w:rsidTr="00490E06">
        <w:trPr>
          <w:trHeight w:val="333"/>
        </w:trPr>
        <w:tc>
          <w:tcPr>
            <w:tcW w:w="3818" w:type="dxa"/>
            <w:tcBorders>
              <w:top w:val="nil"/>
              <w:left w:val="nil"/>
              <w:bottom w:val="nil"/>
              <w:right w:val="nil"/>
            </w:tcBorders>
            <w:shd w:val="clear" w:color="000000" w:fill="FFFFFF"/>
            <w:noWrap/>
            <w:vAlign w:val="center"/>
            <w:hideMark/>
          </w:tcPr>
          <w:p w14:paraId="67EAB4B7" w14:textId="004B8600" w:rsidR="00C40522" w:rsidRPr="00490E06" w:rsidRDefault="00400B3E" w:rsidP="00490E06">
            <w:pPr>
              <w:rPr>
                <w:b/>
                <w:color w:val="000000"/>
                <w:sz w:val="22"/>
                <w:szCs w:val="22"/>
                <w:lang w:val="es-GT" w:eastAsia="es-GT"/>
              </w:rPr>
            </w:pPr>
            <w:r>
              <w:rPr>
                <w:b/>
                <w:color w:val="000000"/>
                <w:sz w:val="22"/>
                <w:szCs w:val="22"/>
                <w:lang w:val="es-GT" w:eastAsia="es-GT"/>
              </w:rPr>
              <w:t xml:space="preserve">Total de </w:t>
            </w:r>
            <w:r w:rsidR="00C40522" w:rsidRPr="00490E06">
              <w:rPr>
                <w:b/>
                <w:color w:val="000000"/>
                <w:sz w:val="22"/>
                <w:szCs w:val="22"/>
                <w:lang w:val="es-GT" w:eastAsia="es-GT"/>
              </w:rPr>
              <w:t>Ejecución Presupuestaria</w:t>
            </w:r>
          </w:p>
        </w:tc>
        <w:tc>
          <w:tcPr>
            <w:tcW w:w="1842" w:type="dxa"/>
            <w:tcBorders>
              <w:top w:val="nil"/>
              <w:left w:val="nil"/>
              <w:bottom w:val="nil"/>
              <w:right w:val="nil"/>
            </w:tcBorders>
            <w:shd w:val="clear" w:color="000000" w:fill="FFFFFF"/>
            <w:noWrap/>
            <w:vAlign w:val="center"/>
            <w:hideMark/>
          </w:tcPr>
          <w:p w14:paraId="3223B58F" w14:textId="58F46BE8" w:rsidR="00C40522" w:rsidRPr="00490E06" w:rsidRDefault="00C40522" w:rsidP="00C40522">
            <w:pPr>
              <w:jc w:val="center"/>
              <w:rPr>
                <w:b/>
                <w:color w:val="000000"/>
                <w:sz w:val="22"/>
                <w:szCs w:val="22"/>
                <w:lang w:val="es-GT" w:eastAsia="es-GT"/>
              </w:rPr>
            </w:pPr>
            <w:r w:rsidRPr="00490E06">
              <w:rPr>
                <w:b/>
                <w:color w:val="000000"/>
                <w:sz w:val="22"/>
                <w:szCs w:val="22"/>
                <w:lang w:val="es-GT" w:eastAsia="es-GT"/>
              </w:rPr>
              <w:t>41,408.5</w:t>
            </w:r>
          </w:p>
        </w:tc>
        <w:tc>
          <w:tcPr>
            <w:tcW w:w="1843" w:type="dxa"/>
            <w:tcBorders>
              <w:top w:val="nil"/>
              <w:left w:val="nil"/>
              <w:bottom w:val="nil"/>
              <w:right w:val="nil"/>
            </w:tcBorders>
            <w:shd w:val="clear" w:color="000000" w:fill="FFFFFF"/>
            <w:noWrap/>
            <w:vAlign w:val="center"/>
            <w:hideMark/>
          </w:tcPr>
          <w:p w14:paraId="1EF90A10" w14:textId="33DC885C" w:rsidR="00C40522" w:rsidRPr="00490E06" w:rsidRDefault="00C40522" w:rsidP="00C40522">
            <w:pPr>
              <w:jc w:val="center"/>
              <w:rPr>
                <w:b/>
                <w:color w:val="000000"/>
                <w:sz w:val="22"/>
                <w:szCs w:val="22"/>
                <w:lang w:val="es-GT" w:eastAsia="es-GT"/>
              </w:rPr>
            </w:pPr>
            <w:r w:rsidRPr="00490E06">
              <w:rPr>
                <w:b/>
                <w:color w:val="000000"/>
                <w:sz w:val="22"/>
                <w:szCs w:val="22"/>
                <w:lang w:val="es-GT" w:eastAsia="es-GT"/>
              </w:rPr>
              <w:t>47,518.8</w:t>
            </w:r>
          </w:p>
        </w:tc>
        <w:tc>
          <w:tcPr>
            <w:tcW w:w="1559" w:type="dxa"/>
            <w:tcBorders>
              <w:top w:val="nil"/>
              <w:left w:val="nil"/>
              <w:bottom w:val="nil"/>
              <w:right w:val="nil"/>
            </w:tcBorders>
            <w:shd w:val="clear" w:color="000000" w:fill="FFFFFF"/>
            <w:noWrap/>
            <w:vAlign w:val="center"/>
            <w:hideMark/>
          </w:tcPr>
          <w:p w14:paraId="5303DCDB" w14:textId="2E680C89" w:rsidR="00C40522" w:rsidRPr="00490E06" w:rsidRDefault="00C40522" w:rsidP="00C40522">
            <w:pPr>
              <w:jc w:val="center"/>
              <w:rPr>
                <w:b/>
                <w:color w:val="000000"/>
                <w:sz w:val="22"/>
                <w:szCs w:val="22"/>
                <w:lang w:val="es-GT" w:eastAsia="es-GT"/>
              </w:rPr>
            </w:pPr>
            <w:r w:rsidRPr="00490E06">
              <w:rPr>
                <w:b/>
                <w:color w:val="000000"/>
                <w:sz w:val="22"/>
                <w:szCs w:val="22"/>
                <w:lang w:val="es-GT" w:eastAsia="es-GT"/>
              </w:rPr>
              <w:t>54,863.3</w:t>
            </w:r>
          </w:p>
        </w:tc>
      </w:tr>
    </w:tbl>
    <w:p w14:paraId="6E778AFD" w14:textId="4888FDE9" w:rsidR="00C40522" w:rsidRDefault="00E203E6" w:rsidP="00C40522">
      <w:pPr>
        <w:jc w:val="both"/>
        <w:rPr>
          <w:sz w:val="18"/>
          <w:lang w:val="es-MX"/>
        </w:rPr>
      </w:pPr>
      <w:r>
        <w:rPr>
          <w:sz w:val="18"/>
          <w:lang w:val="es-MX"/>
        </w:rPr>
        <w:t xml:space="preserve">  </w:t>
      </w:r>
      <w:r w:rsidR="00C40522" w:rsidRPr="00240C29">
        <w:rPr>
          <w:sz w:val="18"/>
          <w:lang w:val="es-MX"/>
        </w:rPr>
        <w:t xml:space="preserve">Fuente: Ministerio </w:t>
      </w:r>
      <w:r w:rsidR="00C40522">
        <w:rPr>
          <w:sz w:val="18"/>
          <w:lang w:val="es-MX"/>
        </w:rPr>
        <w:t>de</w:t>
      </w:r>
      <w:r w:rsidR="00C40522" w:rsidRPr="00240C29">
        <w:rPr>
          <w:sz w:val="18"/>
          <w:lang w:val="es-MX"/>
        </w:rPr>
        <w:t xml:space="preserve"> Finanzas Públicas con base al SICOIN.</w:t>
      </w:r>
    </w:p>
    <w:p w14:paraId="573D1190" w14:textId="5CD7B839" w:rsidR="00A840E5" w:rsidRPr="00D553AD" w:rsidRDefault="00A840E5" w:rsidP="00C40522">
      <w:pPr>
        <w:jc w:val="both"/>
        <w:rPr>
          <w:lang w:val="es-MX"/>
        </w:rPr>
      </w:pPr>
    </w:p>
    <w:p w14:paraId="5AC346A9" w14:textId="77777777" w:rsidR="00A840E5" w:rsidRPr="00D553AD" w:rsidRDefault="00A840E5" w:rsidP="00C40522">
      <w:pPr>
        <w:jc w:val="both"/>
        <w:rPr>
          <w:lang w:val="es-MX"/>
        </w:rPr>
      </w:pPr>
    </w:p>
    <w:p w14:paraId="7B1C0EE2" w14:textId="77777777" w:rsidR="00C40522" w:rsidRPr="00FB6AC8" w:rsidRDefault="00C40522" w:rsidP="00A840E5">
      <w:pPr>
        <w:pStyle w:val="Ttulo3"/>
        <w:numPr>
          <w:ilvl w:val="0"/>
          <w:numId w:val="5"/>
        </w:numPr>
        <w:ind w:left="426"/>
        <w:rPr>
          <w:rFonts w:ascii="Times New Roman" w:hAnsi="Times New Roman"/>
          <w:color w:val="auto"/>
          <w:lang w:val="es-MX"/>
        </w:rPr>
      </w:pPr>
      <w:bookmarkStart w:id="23" w:name="_Toc114732538"/>
      <w:bookmarkStart w:id="24" w:name="_Toc142920542"/>
      <w:r w:rsidRPr="00FB6AC8">
        <w:rPr>
          <w:rFonts w:ascii="Times New Roman" w:hAnsi="Times New Roman"/>
          <w:color w:val="auto"/>
          <w:lang w:val="es-MX"/>
        </w:rPr>
        <w:t>Gasto Ejecutado a través de Fideicomisos</w:t>
      </w:r>
      <w:bookmarkEnd w:id="23"/>
      <w:bookmarkEnd w:id="24"/>
    </w:p>
    <w:p w14:paraId="7E73E16B" w14:textId="77777777" w:rsidR="00C40522" w:rsidRDefault="00C40522" w:rsidP="00C40522">
      <w:pPr>
        <w:jc w:val="both"/>
        <w:rPr>
          <w:lang w:val="es-MX"/>
        </w:rPr>
      </w:pPr>
    </w:p>
    <w:p w14:paraId="3E9BC6AC" w14:textId="6B45BE14" w:rsidR="00C40522" w:rsidRDefault="00C40522" w:rsidP="00C40522">
      <w:pPr>
        <w:jc w:val="both"/>
        <w:rPr>
          <w:lang w:val="es-MX"/>
        </w:rPr>
      </w:pPr>
      <w:r w:rsidRPr="00FB641E">
        <w:rPr>
          <w:lang w:val="es-MX"/>
        </w:rPr>
        <w:t>Al 30 de junio de 20</w:t>
      </w:r>
      <w:r>
        <w:rPr>
          <w:lang w:val="es-MX"/>
        </w:rPr>
        <w:t>23</w:t>
      </w:r>
      <w:r w:rsidRPr="00FB641E">
        <w:rPr>
          <w:lang w:val="es-MX"/>
        </w:rPr>
        <w:t xml:space="preserve">, la ejecución </w:t>
      </w:r>
      <w:r>
        <w:rPr>
          <w:lang w:val="es-MX"/>
        </w:rPr>
        <w:t xml:space="preserve">de gasto público bajo la modalidad de </w:t>
      </w:r>
      <w:r w:rsidRPr="00FB641E">
        <w:rPr>
          <w:lang w:val="es-MX"/>
        </w:rPr>
        <w:t>fideicomisos</w:t>
      </w:r>
      <w:r>
        <w:rPr>
          <w:lang w:val="es-MX"/>
        </w:rPr>
        <w:t xml:space="preserve"> aumentó en Q.196.4 millones</w:t>
      </w:r>
      <w:r w:rsidR="00A463E8">
        <w:rPr>
          <w:lang w:val="es-MX"/>
        </w:rPr>
        <w:t>,</w:t>
      </w:r>
      <w:r>
        <w:rPr>
          <w:lang w:val="es-MX"/>
        </w:rPr>
        <w:t xml:space="preserve"> respecto de lo observado en el mismo período de 2022, pasando de Q.237.2 millones</w:t>
      </w:r>
      <w:r w:rsidR="0036241B">
        <w:rPr>
          <w:lang w:val="es-MX"/>
        </w:rPr>
        <w:t xml:space="preserve">, equivalentes al </w:t>
      </w:r>
      <w:r>
        <w:rPr>
          <w:lang w:val="es-MX"/>
        </w:rPr>
        <w:t>0.5%</w:t>
      </w:r>
      <w:r w:rsidR="0036241B">
        <w:rPr>
          <w:lang w:val="es-MX"/>
        </w:rPr>
        <w:t xml:space="preserve"> de la ejecución presupuestaria,</w:t>
      </w:r>
      <w:r>
        <w:rPr>
          <w:lang w:val="es-MX"/>
        </w:rPr>
        <w:t xml:space="preserve"> a Q.433.6 millones en 2023, </w:t>
      </w:r>
      <w:r w:rsidR="0036241B">
        <w:rPr>
          <w:lang w:val="es-MX"/>
        </w:rPr>
        <w:t xml:space="preserve">que equivalen al </w:t>
      </w:r>
      <w:r>
        <w:rPr>
          <w:lang w:val="es-MX"/>
        </w:rPr>
        <w:t>0.8% de la ejecución total.</w:t>
      </w:r>
    </w:p>
    <w:p w14:paraId="7921979D" w14:textId="77777777" w:rsidR="00C40522" w:rsidRDefault="00C40522" w:rsidP="00C40522">
      <w:pPr>
        <w:jc w:val="both"/>
        <w:rPr>
          <w:lang w:val="es-MX"/>
        </w:rPr>
      </w:pPr>
    </w:p>
    <w:p w14:paraId="18C247CA" w14:textId="29E56398" w:rsidR="00C40522" w:rsidRPr="00FB641E" w:rsidRDefault="00C40522" w:rsidP="00C40522">
      <w:pPr>
        <w:jc w:val="both"/>
        <w:rPr>
          <w:lang w:val="es-MX"/>
        </w:rPr>
      </w:pPr>
      <w:r>
        <w:rPr>
          <w:lang w:val="es-MX"/>
        </w:rPr>
        <w:t xml:space="preserve">La ejecución </w:t>
      </w:r>
      <w:r w:rsidR="00236014">
        <w:rPr>
          <w:lang w:val="es-MX"/>
        </w:rPr>
        <w:t xml:space="preserve">del 2023 </w:t>
      </w:r>
      <w:r>
        <w:rPr>
          <w:lang w:val="es-MX"/>
        </w:rPr>
        <w:t xml:space="preserve">se concentra especialmente en los siguientes fideicomisos: Inversión para la Vivienda con Q.245.5 millones; Fondo de Protección Social con Q.162.9 millones; </w:t>
      </w:r>
      <w:r w:rsidRPr="002C670F">
        <w:rPr>
          <w:lang w:val="es-MX"/>
        </w:rPr>
        <w:t xml:space="preserve">Fondo Nacional para la Conservación de la Naturaleza </w:t>
      </w:r>
      <w:r w:rsidR="00236014">
        <w:rPr>
          <w:lang w:val="es-MX"/>
        </w:rPr>
        <w:t>que eje</w:t>
      </w:r>
      <w:r>
        <w:rPr>
          <w:lang w:val="es-MX"/>
        </w:rPr>
        <w:t xml:space="preserve">cutó Q.15.4 millones; </w:t>
      </w:r>
      <w:r w:rsidRPr="002C670F">
        <w:rPr>
          <w:lang w:val="es-GT" w:eastAsia="es-GT"/>
        </w:rPr>
        <w:t>Fondo de Desarrollo Indígena Guatemalteco</w:t>
      </w:r>
      <w:r>
        <w:rPr>
          <w:lang w:val="es-GT" w:eastAsia="es-GT"/>
        </w:rPr>
        <w:t xml:space="preserve"> con Q.4.7 millones; </w:t>
      </w:r>
      <w:r w:rsidRPr="002C670F">
        <w:rPr>
          <w:lang w:val="es-GT" w:eastAsia="es-GT"/>
        </w:rPr>
        <w:t xml:space="preserve">Fondo Nacional de Ciencia y Tecnología </w:t>
      </w:r>
      <w:r>
        <w:rPr>
          <w:lang w:val="es-GT" w:eastAsia="es-GT"/>
        </w:rPr>
        <w:t xml:space="preserve">con Q.2.5 millones; </w:t>
      </w:r>
      <w:r w:rsidR="00236014">
        <w:rPr>
          <w:lang w:val="es-GT" w:eastAsia="es-GT"/>
        </w:rPr>
        <w:t>F</w:t>
      </w:r>
      <w:r>
        <w:rPr>
          <w:lang w:val="es-GT" w:eastAsia="es-GT"/>
        </w:rPr>
        <w:t xml:space="preserve">ideicomiso de </w:t>
      </w:r>
      <w:r w:rsidRPr="002C670F">
        <w:rPr>
          <w:lang w:val="es-GT" w:eastAsia="es-GT"/>
        </w:rPr>
        <w:t>Apoyo Financiero para los Productores del Sector Cafetalero</w:t>
      </w:r>
      <w:r>
        <w:rPr>
          <w:lang w:val="es-GT" w:eastAsia="es-GT"/>
        </w:rPr>
        <w:t xml:space="preserve"> con Q.2.0 millones y </w:t>
      </w:r>
      <w:r w:rsidRPr="002C670F">
        <w:rPr>
          <w:lang w:val="es-GT" w:eastAsia="es-GT"/>
        </w:rPr>
        <w:t>Fideicomiso Nacional de Becas y Crédito Educativo</w:t>
      </w:r>
      <w:r>
        <w:rPr>
          <w:lang w:val="es-GT" w:eastAsia="es-GT"/>
        </w:rPr>
        <w:t xml:space="preserve"> con Q.0.5 millones.</w:t>
      </w:r>
    </w:p>
    <w:p w14:paraId="7048DDA2" w14:textId="5B459C08" w:rsidR="00C40522" w:rsidRDefault="00C40522" w:rsidP="00C40522">
      <w:pPr>
        <w:jc w:val="both"/>
        <w:rPr>
          <w:lang w:val="es-MX"/>
        </w:rPr>
      </w:pPr>
    </w:p>
    <w:p w14:paraId="187FD5D2" w14:textId="7B3A96E0" w:rsidR="00D553AD" w:rsidRDefault="00D553AD" w:rsidP="00C40522">
      <w:pPr>
        <w:jc w:val="both"/>
        <w:rPr>
          <w:lang w:val="es-MX"/>
        </w:rPr>
      </w:pPr>
    </w:p>
    <w:p w14:paraId="11BB1B6B" w14:textId="52179E14" w:rsidR="00D553AD" w:rsidRDefault="00D553AD" w:rsidP="00C40522">
      <w:pPr>
        <w:jc w:val="both"/>
        <w:rPr>
          <w:lang w:val="es-MX"/>
        </w:rPr>
      </w:pPr>
    </w:p>
    <w:p w14:paraId="6F1846AB" w14:textId="115C136C" w:rsidR="00D553AD" w:rsidRDefault="00D553AD" w:rsidP="00C40522">
      <w:pPr>
        <w:jc w:val="both"/>
        <w:rPr>
          <w:lang w:val="es-MX"/>
        </w:rPr>
      </w:pPr>
    </w:p>
    <w:p w14:paraId="1461CF1C" w14:textId="0753137B" w:rsidR="00D553AD" w:rsidRDefault="00D553AD" w:rsidP="00C40522">
      <w:pPr>
        <w:jc w:val="both"/>
        <w:rPr>
          <w:lang w:val="es-MX"/>
        </w:rPr>
      </w:pPr>
    </w:p>
    <w:p w14:paraId="191F12E7" w14:textId="5824EAC1" w:rsidR="00D553AD" w:rsidRDefault="00D553AD" w:rsidP="00C40522">
      <w:pPr>
        <w:jc w:val="both"/>
        <w:rPr>
          <w:lang w:val="es-MX"/>
        </w:rPr>
      </w:pPr>
    </w:p>
    <w:p w14:paraId="1B4EC8DB" w14:textId="4CF376DB" w:rsidR="00D553AD" w:rsidRDefault="00D553AD" w:rsidP="00C40522">
      <w:pPr>
        <w:jc w:val="both"/>
        <w:rPr>
          <w:lang w:val="es-MX"/>
        </w:rPr>
      </w:pPr>
    </w:p>
    <w:p w14:paraId="33239756" w14:textId="77777777" w:rsidR="00692919" w:rsidRDefault="00692919" w:rsidP="00C40522">
      <w:pPr>
        <w:jc w:val="both"/>
        <w:rPr>
          <w:lang w:val="es-MX"/>
        </w:rPr>
      </w:pPr>
    </w:p>
    <w:p w14:paraId="0EA7A625" w14:textId="77777777" w:rsidR="00D553AD" w:rsidRDefault="00D553AD" w:rsidP="00C40522">
      <w:pPr>
        <w:jc w:val="both"/>
        <w:rPr>
          <w:lang w:val="es-MX"/>
        </w:rPr>
      </w:pPr>
    </w:p>
    <w:p w14:paraId="366B741B" w14:textId="77777777" w:rsidR="00C40522" w:rsidRDefault="00C40522" w:rsidP="00C40522">
      <w:pPr>
        <w:jc w:val="both"/>
        <w:rPr>
          <w:lang w:val="es-MX"/>
        </w:rPr>
      </w:pPr>
    </w:p>
    <w:p w14:paraId="53520B25" w14:textId="77777777" w:rsidR="00C40522" w:rsidRPr="00E4168F" w:rsidRDefault="00C40522" w:rsidP="00C40522">
      <w:pPr>
        <w:jc w:val="center"/>
        <w:rPr>
          <w:b/>
          <w:szCs w:val="22"/>
          <w:lang w:val="es-MX"/>
        </w:rPr>
      </w:pPr>
      <w:r w:rsidRPr="00E4168F">
        <w:rPr>
          <w:b/>
          <w:szCs w:val="22"/>
          <w:lang w:val="es-MX"/>
        </w:rPr>
        <w:t>Cuadro 1</w:t>
      </w:r>
      <w:r>
        <w:rPr>
          <w:b/>
          <w:szCs w:val="22"/>
          <w:lang w:val="es-MX"/>
        </w:rPr>
        <w:t>1</w:t>
      </w:r>
    </w:p>
    <w:p w14:paraId="0D827465" w14:textId="77777777" w:rsidR="00C40522" w:rsidRPr="00E4168F" w:rsidRDefault="00C40522" w:rsidP="00C40522">
      <w:pPr>
        <w:jc w:val="center"/>
        <w:rPr>
          <w:b/>
          <w:szCs w:val="22"/>
          <w:lang w:val="es-MX"/>
        </w:rPr>
      </w:pPr>
      <w:r w:rsidRPr="00E4168F">
        <w:rPr>
          <w:b/>
          <w:szCs w:val="22"/>
          <w:lang w:val="es-MX"/>
        </w:rPr>
        <w:t>Ejecución Presupuestaria a través de Fideicomisos</w:t>
      </w:r>
    </w:p>
    <w:p w14:paraId="60B7F405" w14:textId="77777777" w:rsidR="00C40522" w:rsidRDefault="00C40522" w:rsidP="00C40522">
      <w:pPr>
        <w:jc w:val="center"/>
        <w:rPr>
          <w:rFonts w:ascii="Calibri" w:eastAsia="Calibri" w:hAnsi="Calibri"/>
          <w:sz w:val="20"/>
          <w:szCs w:val="20"/>
          <w:lang w:val="es-MX" w:eastAsia="es-MX"/>
        </w:rPr>
      </w:pPr>
      <w:r w:rsidRPr="00E4168F">
        <w:rPr>
          <w:b/>
          <w:szCs w:val="22"/>
          <w:lang w:val="es-MX"/>
        </w:rPr>
        <w:t>Al 30 de junio de cada año</w:t>
      </w:r>
      <w:r>
        <w:rPr>
          <w:lang w:val="es-MX"/>
        </w:rPr>
        <w:fldChar w:fldCharType="begin"/>
      </w:r>
      <w:r>
        <w:rPr>
          <w:lang w:val="es-MX"/>
        </w:rPr>
        <w:instrText xml:space="preserve"> LINK Excel.Sheet.12 "C:\\Users\\deefoper19\\Desktop\\BACKUP EMATUL\\Archivos Compartidos\\2022\\2022\\Excel\\Cuadros para Informe\\Cuadros junio 2022 Informe de medio año Ever.xlsx" Fideicomisos!F6C2:F19C6 \a \f 4 \h </w:instrText>
      </w:r>
      <w:r>
        <w:rPr>
          <w:lang w:val="es-MX"/>
        </w:rPr>
        <w:fldChar w:fldCharType="separate"/>
      </w:r>
    </w:p>
    <w:p w14:paraId="0C195FE7" w14:textId="77777777" w:rsidR="00C40522" w:rsidRPr="00820D28" w:rsidRDefault="00C40522" w:rsidP="00C40522">
      <w:pPr>
        <w:jc w:val="center"/>
        <w:rPr>
          <w:b/>
          <w:lang w:val="es-MX"/>
        </w:rPr>
      </w:pPr>
      <w:r>
        <w:rPr>
          <w:sz w:val="18"/>
          <w:lang w:val="es-MX"/>
        </w:rPr>
        <w:fldChar w:fldCharType="end"/>
      </w:r>
      <w:r w:rsidRPr="00820D28">
        <w:rPr>
          <w:b/>
          <w:lang w:val="es-MX"/>
        </w:rPr>
        <w:t>(En Millones de Quetzales)</w:t>
      </w:r>
    </w:p>
    <w:tbl>
      <w:tblPr>
        <w:tblW w:w="9160" w:type="dxa"/>
        <w:tblCellMar>
          <w:left w:w="70" w:type="dxa"/>
          <w:right w:w="70" w:type="dxa"/>
        </w:tblCellMar>
        <w:tblLook w:val="04A0" w:firstRow="1" w:lastRow="0" w:firstColumn="1" w:lastColumn="0" w:noHBand="0" w:noVBand="1"/>
      </w:tblPr>
      <w:tblGrid>
        <w:gridCol w:w="5019"/>
        <w:gridCol w:w="960"/>
        <w:gridCol w:w="940"/>
        <w:gridCol w:w="1154"/>
        <w:gridCol w:w="1087"/>
      </w:tblGrid>
      <w:tr w:rsidR="00C40522" w:rsidRPr="00236014" w14:paraId="68BED9C7" w14:textId="77777777" w:rsidTr="00D553AD">
        <w:trPr>
          <w:trHeight w:val="315"/>
        </w:trPr>
        <w:tc>
          <w:tcPr>
            <w:tcW w:w="5019" w:type="dxa"/>
            <w:vMerge w:val="restart"/>
            <w:tcBorders>
              <w:top w:val="single" w:sz="8" w:space="0" w:color="auto"/>
              <w:left w:val="single" w:sz="8" w:space="0" w:color="auto"/>
              <w:bottom w:val="single" w:sz="4" w:space="0" w:color="000000"/>
              <w:right w:val="single" w:sz="4" w:space="0" w:color="auto"/>
            </w:tcBorders>
            <w:shd w:val="clear" w:color="auto" w:fill="00B0F0"/>
            <w:vAlign w:val="center"/>
            <w:hideMark/>
          </w:tcPr>
          <w:p w14:paraId="4480CC9A" w14:textId="77777777" w:rsidR="00C40522" w:rsidRPr="00236014" w:rsidRDefault="00C40522" w:rsidP="00C40522">
            <w:pPr>
              <w:jc w:val="center"/>
              <w:rPr>
                <w:b/>
                <w:bCs/>
                <w:lang w:val="es-GT" w:eastAsia="es-GT"/>
              </w:rPr>
            </w:pPr>
            <w:r w:rsidRPr="00236014">
              <w:rPr>
                <w:b/>
                <w:bCs/>
                <w:lang w:val="es-GT" w:eastAsia="es-GT"/>
              </w:rPr>
              <w:t>Descripción</w:t>
            </w:r>
          </w:p>
        </w:tc>
        <w:tc>
          <w:tcPr>
            <w:tcW w:w="960"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1C3605D1" w14:textId="77777777" w:rsidR="00C40522" w:rsidRPr="00236014" w:rsidRDefault="00C40522" w:rsidP="00236014">
            <w:pPr>
              <w:jc w:val="center"/>
              <w:rPr>
                <w:b/>
                <w:bCs/>
                <w:lang w:val="es-GT" w:eastAsia="es-GT"/>
              </w:rPr>
            </w:pPr>
            <w:r w:rsidRPr="00236014">
              <w:rPr>
                <w:b/>
                <w:bCs/>
                <w:lang w:val="es-GT" w:eastAsia="es-GT"/>
              </w:rPr>
              <w:t>2022</w:t>
            </w:r>
          </w:p>
        </w:tc>
        <w:tc>
          <w:tcPr>
            <w:tcW w:w="940" w:type="dxa"/>
            <w:vMerge w:val="restart"/>
            <w:tcBorders>
              <w:top w:val="single" w:sz="8" w:space="0" w:color="auto"/>
              <w:left w:val="nil"/>
              <w:bottom w:val="single" w:sz="4" w:space="0" w:color="000000"/>
              <w:right w:val="single" w:sz="4" w:space="0" w:color="auto"/>
            </w:tcBorders>
            <w:shd w:val="clear" w:color="auto" w:fill="00B0F0"/>
            <w:vAlign w:val="center"/>
            <w:hideMark/>
          </w:tcPr>
          <w:p w14:paraId="5F89DC8B" w14:textId="77777777" w:rsidR="00C40522" w:rsidRPr="00236014" w:rsidRDefault="00C40522" w:rsidP="00236014">
            <w:pPr>
              <w:jc w:val="center"/>
              <w:rPr>
                <w:b/>
                <w:bCs/>
                <w:lang w:val="es-GT" w:eastAsia="es-GT"/>
              </w:rPr>
            </w:pPr>
            <w:r w:rsidRPr="00236014">
              <w:rPr>
                <w:b/>
                <w:bCs/>
                <w:lang w:val="es-GT" w:eastAsia="es-GT"/>
              </w:rPr>
              <w:t>2023</w:t>
            </w:r>
          </w:p>
        </w:tc>
        <w:tc>
          <w:tcPr>
            <w:tcW w:w="2241" w:type="dxa"/>
            <w:gridSpan w:val="2"/>
            <w:tcBorders>
              <w:top w:val="single" w:sz="8" w:space="0" w:color="auto"/>
              <w:left w:val="nil"/>
              <w:bottom w:val="single" w:sz="4" w:space="0" w:color="auto"/>
              <w:right w:val="single" w:sz="8" w:space="0" w:color="000000"/>
            </w:tcBorders>
            <w:shd w:val="clear" w:color="auto" w:fill="00B0F0"/>
            <w:noWrap/>
            <w:vAlign w:val="bottom"/>
            <w:hideMark/>
          </w:tcPr>
          <w:p w14:paraId="46DEB47C" w14:textId="77777777" w:rsidR="00C40522" w:rsidRPr="00236014" w:rsidRDefault="00C40522" w:rsidP="00C40522">
            <w:pPr>
              <w:jc w:val="center"/>
              <w:rPr>
                <w:b/>
                <w:bCs/>
                <w:lang w:val="es-GT" w:eastAsia="es-GT"/>
              </w:rPr>
            </w:pPr>
            <w:r w:rsidRPr="00236014">
              <w:rPr>
                <w:b/>
                <w:bCs/>
                <w:lang w:val="es-GT" w:eastAsia="es-GT"/>
              </w:rPr>
              <w:t>Diferencias</w:t>
            </w:r>
          </w:p>
        </w:tc>
      </w:tr>
      <w:tr w:rsidR="00C40522" w:rsidRPr="00236014" w14:paraId="247E6ED4" w14:textId="77777777" w:rsidTr="00D553AD">
        <w:trPr>
          <w:trHeight w:val="315"/>
        </w:trPr>
        <w:tc>
          <w:tcPr>
            <w:tcW w:w="5019" w:type="dxa"/>
            <w:vMerge/>
            <w:tcBorders>
              <w:top w:val="single" w:sz="8" w:space="0" w:color="auto"/>
              <w:left w:val="single" w:sz="8" w:space="0" w:color="auto"/>
              <w:bottom w:val="single" w:sz="4" w:space="0" w:color="000000"/>
              <w:right w:val="single" w:sz="4" w:space="0" w:color="auto"/>
            </w:tcBorders>
            <w:vAlign w:val="center"/>
            <w:hideMark/>
          </w:tcPr>
          <w:p w14:paraId="7CB5943C" w14:textId="77777777" w:rsidR="00C40522" w:rsidRPr="00236014" w:rsidRDefault="00C40522" w:rsidP="00C40522">
            <w:pPr>
              <w:rPr>
                <w:b/>
                <w:bCs/>
                <w:lang w:val="es-GT" w:eastAsia="es-GT"/>
              </w:rPr>
            </w:pPr>
          </w:p>
        </w:tc>
        <w:tc>
          <w:tcPr>
            <w:tcW w:w="960" w:type="dxa"/>
            <w:vMerge/>
            <w:tcBorders>
              <w:top w:val="single" w:sz="8" w:space="0" w:color="auto"/>
              <w:left w:val="single" w:sz="4" w:space="0" w:color="auto"/>
              <w:bottom w:val="single" w:sz="4" w:space="0" w:color="000000"/>
              <w:right w:val="single" w:sz="4" w:space="0" w:color="auto"/>
            </w:tcBorders>
            <w:vAlign w:val="center"/>
            <w:hideMark/>
          </w:tcPr>
          <w:p w14:paraId="5D04C60B" w14:textId="77777777" w:rsidR="00C40522" w:rsidRPr="00236014" w:rsidRDefault="00C40522" w:rsidP="00C40522">
            <w:pPr>
              <w:rPr>
                <w:b/>
                <w:bCs/>
                <w:lang w:val="es-GT" w:eastAsia="es-GT"/>
              </w:rPr>
            </w:pPr>
          </w:p>
        </w:tc>
        <w:tc>
          <w:tcPr>
            <w:tcW w:w="940" w:type="dxa"/>
            <w:vMerge/>
            <w:tcBorders>
              <w:top w:val="single" w:sz="8" w:space="0" w:color="auto"/>
              <w:left w:val="nil"/>
              <w:bottom w:val="single" w:sz="4" w:space="0" w:color="000000"/>
              <w:right w:val="single" w:sz="4" w:space="0" w:color="auto"/>
            </w:tcBorders>
            <w:vAlign w:val="center"/>
            <w:hideMark/>
          </w:tcPr>
          <w:p w14:paraId="1B2E84C4" w14:textId="77777777" w:rsidR="00C40522" w:rsidRPr="00236014" w:rsidRDefault="00C40522" w:rsidP="00C40522">
            <w:pPr>
              <w:rPr>
                <w:b/>
                <w:bCs/>
                <w:lang w:val="es-GT" w:eastAsia="es-GT"/>
              </w:rPr>
            </w:pPr>
          </w:p>
        </w:tc>
        <w:tc>
          <w:tcPr>
            <w:tcW w:w="1154" w:type="dxa"/>
            <w:tcBorders>
              <w:top w:val="single" w:sz="4" w:space="0" w:color="auto"/>
              <w:left w:val="nil"/>
              <w:bottom w:val="single" w:sz="4" w:space="0" w:color="auto"/>
              <w:right w:val="single" w:sz="4" w:space="0" w:color="auto"/>
            </w:tcBorders>
            <w:shd w:val="clear" w:color="auto" w:fill="00B0F0"/>
            <w:noWrap/>
            <w:vAlign w:val="bottom"/>
            <w:hideMark/>
          </w:tcPr>
          <w:p w14:paraId="62A814D7" w14:textId="77777777" w:rsidR="00C40522" w:rsidRPr="00236014" w:rsidRDefault="00C40522" w:rsidP="00C40522">
            <w:pPr>
              <w:jc w:val="center"/>
              <w:rPr>
                <w:b/>
                <w:bCs/>
                <w:lang w:val="es-GT" w:eastAsia="es-GT"/>
              </w:rPr>
            </w:pPr>
            <w:r w:rsidRPr="00236014">
              <w:rPr>
                <w:b/>
                <w:bCs/>
                <w:lang w:val="es-GT" w:eastAsia="es-GT"/>
              </w:rPr>
              <w:t xml:space="preserve">Absolutas </w:t>
            </w:r>
          </w:p>
        </w:tc>
        <w:tc>
          <w:tcPr>
            <w:tcW w:w="1087" w:type="dxa"/>
            <w:tcBorders>
              <w:top w:val="nil"/>
              <w:left w:val="nil"/>
              <w:bottom w:val="single" w:sz="4" w:space="0" w:color="auto"/>
              <w:right w:val="single" w:sz="8" w:space="0" w:color="auto"/>
            </w:tcBorders>
            <w:shd w:val="clear" w:color="auto" w:fill="00B0F0"/>
            <w:noWrap/>
            <w:vAlign w:val="bottom"/>
            <w:hideMark/>
          </w:tcPr>
          <w:p w14:paraId="65345A70" w14:textId="77777777" w:rsidR="00C40522" w:rsidRPr="00236014" w:rsidRDefault="00C40522" w:rsidP="00C40522">
            <w:pPr>
              <w:jc w:val="center"/>
              <w:rPr>
                <w:b/>
                <w:bCs/>
                <w:lang w:val="es-GT" w:eastAsia="es-GT"/>
              </w:rPr>
            </w:pPr>
            <w:r w:rsidRPr="00236014">
              <w:rPr>
                <w:b/>
                <w:bCs/>
                <w:lang w:val="es-GT" w:eastAsia="es-GT"/>
              </w:rPr>
              <w:t>Relativas</w:t>
            </w:r>
          </w:p>
        </w:tc>
      </w:tr>
      <w:tr w:rsidR="00C40522" w:rsidRPr="00692919" w14:paraId="206D6FA5" w14:textId="77777777" w:rsidTr="00236014">
        <w:trPr>
          <w:trHeight w:val="315"/>
        </w:trPr>
        <w:tc>
          <w:tcPr>
            <w:tcW w:w="5019" w:type="dxa"/>
            <w:tcBorders>
              <w:top w:val="nil"/>
              <w:left w:val="single" w:sz="8" w:space="0" w:color="auto"/>
              <w:bottom w:val="nil"/>
              <w:right w:val="single" w:sz="4" w:space="0" w:color="auto"/>
            </w:tcBorders>
            <w:shd w:val="clear" w:color="000000" w:fill="auto"/>
            <w:vAlign w:val="bottom"/>
            <w:hideMark/>
          </w:tcPr>
          <w:p w14:paraId="216E8353" w14:textId="77777777" w:rsidR="00C40522" w:rsidRPr="00692919" w:rsidRDefault="00C40522" w:rsidP="00C40522">
            <w:pPr>
              <w:jc w:val="center"/>
              <w:rPr>
                <w:b/>
                <w:bCs/>
                <w:sz w:val="23"/>
                <w:szCs w:val="23"/>
                <w:lang w:val="es-GT" w:eastAsia="es-GT"/>
              </w:rPr>
            </w:pPr>
            <w:r w:rsidRPr="00692919">
              <w:rPr>
                <w:b/>
                <w:bCs/>
                <w:sz w:val="23"/>
                <w:szCs w:val="23"/>
                <w:lang w:val="es-GT" w:eastAsia="es-GT"/>
              </w:rPr>
              <w:t>Total</w:t>
            </w:r>
          </w:p>
        </w:tc>
        <w:tc>
          <w:tcPr>
            <w:tcW w:w="960" w:type="dxa"/>
            <w:tcBorders>
              <w:top w:val="nil"/>
              <w:left w:val="single" w:sz="4" w:space="0" w:color="auto"/>
              <w:bottom w:val="nil"/>
              <w:right w:val="single" w:sz="4" w:space="0" w:color="auto"/>
            </w:tcBorders>
            <w:shd w:val="clear" w:color="000000" w:fill="auto"/>
            <w:vAlign w:val="bottom"/>
            <w:hideMark/>
          </w:tcPr>
          <w:p w14:paraId="27B0C57F" w14:textId="77777777" w:rsidR="00C40522" w:rsidRPr="00692919" w:rsidRDefault="00C40522" w:rsidP="00C40522">
            <w:pPr>
              <w:jc w:val="center"/>
              <w:rPr>
                <w:b/>
                <w:bCs/>
                <w:sz w:val="23"/>
                <w:szCs w:val="23"/>
                <w:lang w:val="es-GT" w:eastAsia="es-GT"/>
              </w:rPr>
            </w:pPr>
            <w:r w:rsidRPr="00692919">
              <w:rPr>
                <w:b/>
                <w:bCs/>
                <w:sz w:val="23"/>
                <w:szCs w:val="23"/>
                <w:lang w:val="es-GT" w:eastAsia="es-GT"/>
              </w:rPr>
              <w:t>237.2</w:t>
            </w:r>
          </w:p>
        </w:tc>
        <w:tc>
          <w:tcPr>
            <w:tcW w:w="940" w:type="dxa"/>
            <w:tcBorders>
              <w:top w:val="nil"/>
              <w:left w:val="nil"/>
              <w:bottom w:val="nil"/>
              <w:right w:val="single" w:sz="4" w:space="0" w:color="auto"/>
            </w:tcBorders>
            <w:shd w:val="clear" w:color="000000" w:fill="auto"/>
            <w:vAlign w:val="bottom"/>
            <w:hideMark/>
          </w:tcPr>
          <w:p w14:paraId="43955168" w14:textId="77777777" w:rsidR="00C40522" w:rsidRPr="00692919" w:rsidRDefault="00C40522" w:rsidP="00C40522">
            <w:pPr>
              <w:jc w:val="center"/>
              <w:rPr>
                <w:b/>
                <w:bCs/>
                <w:sz w:val="23"/>
                <w:szCs w:val="23"/>
                <w:lang w:val="es-GT" w:eastAsia="es-GT"/>
              </w:rPr>
            </w:pPr>
            <w:r w:rsidRPr="00692919">
              <w:rPr>
                <w:b/>
                <w:bCs/>
                <w:sz w:val="23"/>
                <w:szCs w:val="23"/>
                <w:lang w:val="es-GT" w:eastAsia="es-GT"/>
              </w:rPr>
              <w:t>433.6</w:t>
            </w:r>
          </w:p>
        </w:tc>
        <w:tc>
          <w:tcPr>
            <w:tcW w:w="1154" w:type="dxa"/>
            <w:tcBorders>
              <w:top w:val="nil"/>
              <w:left w:val="nil"/>
              <w:bottom w:val="nil"/>
              <w:right w:val="single" w:sz="4" w:space="0" w:color="auto"/>
            </w:tcBorders>
            <w:shd w:val="clear" w:color="000000" w:fill="auto"/>
            <w:vAlign w:val="bottom"/>
            <w:hideMark/>
          </w:tcPr>
          <w:p w14:paraId="5260EC6E" w14:textId="77777777" w:rsidR="00C40522" w:rsidRPr="00692919" w:rsidRDefault="00C40522" w:rsidP="00C40522">
            <w:pPr>
              <w:jc w:val="center"/>
              <w:rPr>
                <w:b/>
                <w:bCs/>
                <w:sz w:val="23"/>
                <w:szCs w:val="23"/>
                <w:lang w:val="es-GT" w:eastAsia="es-GT"/>
              </w:rPr>
            </w:pPr>
            <w:r w:rsidRPr="00692919">
              <w:rPr>
                <w:b/>
                <w:bCs/>
                <w:sz w:val="23"/>
                <w:szCs w:val="23"/>
                <w:lang w:val="es-GT" w:eastAsia="es-GT"/>
              </w:rPr>
              <w:t>196.4</w:t>
            </w:r>
          </w:p>
        </w:tc>
        <w:tc>
          <w:tcPr>
            <w:tcW w:w="1087" w:type="dxa"/>
            <w:tcBorders>
              <w:top w:val="nil"/>
              <w:left w:val="nil"/>
              <w:bottom w:val="nil"/>
              <w:right w:val="single" w:sz="8" w:space="0" w:color="auto"/>
            </w:tcBorders>
            <w:shd w:val="clear" w:color="000000" w:fill="FFFFFF"/>
            <w:noWrap/>
            <w:vAlign w:val="bottom"/>
            <w:hideMark/>
          </w:tcPr>
          <w:p w14:paraId="6B5B1625" w14:textId="77777777" w:rsidR="00C40522" w:rsidRPr="00692919" w:rsidRDefault="00C40522" w:rsidP="00C40522">
            <w:pPr>
              <w:jc w:val="center"/>
              <w:rPr>
                <w:b/>
                <w:bCs/>
                <w:sz w:val="23"/>
                <w:szCs w:val="23"/>
                <w:lang w:val="es-GT" w:eastAsia="es-GT"/>
              </w:rPr>
            </w:pPr>
            <w:r w:rsidRPr="00692919">
              <w:rPr>
                <w:b/>
                <w:bCs/>
                <w:sz w:val="23"/>
                <w:szCs w:val="23"/>
                <w:lang w:val="es-GT" w:eastAsia="es-GT"/>
              </w:rPr>
              <w:t>82.8%</w:t>
            </w:r>
          </w:p>
        </w:tc>
      </w:tr>
      <w:tr w:rsidR="00C40522" w:rsidRPr="00692919" w14:paraId="7FF413C2" w14:textId="77777777" w:rsidTr="00692919">
        <w:trPr>
          <w:trHeight w:val="467"/>
        </w:trPr>
        <w:tc>
          <w:tcPr>
            <w:tcW w:w="5019" w:type="dxa"/>
            <w:tcBorders>
              <w:top w:val="nil"/>
              <w:left w:val="single" w:sz="8" w:space="0" w:color="auto"/>
              <w:bottom w:val="nil"/>
              <w:right w:val="single" w:sz="4" w:space="0" w:color="auto"/>
            </w:tcBorders>
            <w:shd w:val="clear" w:color="000000" w:fill="auto"/>
            <w:hideMark/>
          </w:tcPr>
          <w:p w14:paraId="2160DD7E" w14:textId="77777777" w:rsidR="00C40522" w:rsidRPr="00692919" w:rsidRDefault="00C40522" w:rsidP="00C40522">
            <w:pPr>
              <w:rPr>
                <w:sz w:val="23"/>
                <w:szCs w:val="23"/>
                <w:lang w:val="es-GT" w:eastAsia="es-GT"/>
              </w:rPr>
            </w:pPr>
            <w:r w:rsidRPr="00692919">
              <w:rPr>
                <w:sz w:val="23"/>
                <w:szCs w:val="23"/>
                <w:lang w:val="es-GT" w:eastAsia="es-GT"/>
              </w:rPr>
              <w:t xml:space="preserve">Fondo Nacional para la Conservación de la Naturaleza </w:t>
            </w:r>
          </w:p>
        </w:tc>
        <w:tc>
          <w:tcPr>
            <w:tcW w:w="960" w:type="dxa"/>
            <w:tcBorders>
              <w:top w:val="nil"/>
              <w:left w:val="single" w:sz="4" w:space="0" w:color="auto"/>
              <w:bottom w:val="nil"/>
              <w:right w:val="single" w:sz="4" w:space="0" w:color="auto"/>
            </w:tcBorders>
            <w:shd w:val="clear" w:color="000000" w:fill="auto"/>
            <w:noWrap/>
            <w:vAlign w:val="bottom"/>
            <w:hideMark/>
          </w:tcPr>
          <w:p w14:paraId="1C1DE85E" w14:textId="77777777" w:rsidR="00C40522" w:rsidRPr="00692919" w:rsidRDefault="00C40522" w:rsidP="00692919">
            <w:pPr>
              <w:jc w:val="center"/>
              <w:rPr>
                <w:color w:val="000000"/>
                <w:sz w:val="23"/>
                <w:szCs w:val="23"/>
                <w:lang w:val="es-GT" w:eastAsia="es-GT"/>
              </w:rPr>
            </w:pPr>
            <w:r w:rsidRPr="00692919">
              <w:rPr>
                <w:color w:val="000000"/>
                <w:sz w:val="23"/>
                <w:szCs w:val="23"/>
                <w:lang w:val="es-GT" w:eastAsia="es-GT"/>
              </w:rPr>
              <w:t>0.6</w:t>
            </w:r>
          </w:p>
        </w:tc>
        <w:tc>
          <w:tcPr>
            <w:tcW w:w="940" w:type="dxa"/>
            <w:tcBorders>
              <w:top w:val="nil"/>
              <w:left w:val="nil"/>
              <w:bottom w:val="nil"/>
              <w:right w:val="single" w:sz="4" w:space="0" w:color="auto"/>
            </w:tcBorders>
            <w:shd w:val="clear" w:color="000000" w:fill="auto"/>
            <w:noWrap/>
            <w:vAlign w:val="bottom"/>
            <w:hideMark/>
          </w:tcPr>
          <w:p w14:paraId="42681D77" w14:textId="77777777" w:rsidR="00C40522" w:rsidRPr="00692919" w:rsidRDefault="00C40522" w:rsidP="00692919">
            <w:pPr>
              <w:jc w:val="center"/>
              <w:rPr>
                <w:color w:val="000000"/>
                <w:sz w:val="23"/>
                <w:szCs w:val="23"/>
                <w:lang w:val="es-GT" w:eastAsia="es-GT"/>
              </w:rPr>
            </w:pPr>
            <w:r w:rsidRPr="00692919">
              <w:rPr>
                <w:color w:val="000000"/>
                <w:sz w:val="23"/>
                <w:szCs w:val="23"/>
                <w:lang w:val="es-GT" w:eastAsia="es-GT"/>
              </w:rPr>
              <w:t>15.4</w:t>
            </w:r>
          </w:p>
        </w:tc>
        <w:tc>
          <w:tcPr>
            <w:tcW w:w="1154" w:type="dxa"/>
            <w:tcBorders>
              <w:top w:val="nil"/>
              <w:left w:val="nil"/>
              <w:bottom w:val="nil"/>
              <w:right w:val="single" w:sz="4" w:space="0" w:color="auto"/>
            </w:tcBorders>
            <w:shd w:val="clear" w:color="000000" w:fill="FFFFFF"/>
            <w:noWrap/>
            <w:vAlign w:val="bottom"/>
            <w:hideMark/>
          </w:tcPr>
          <w:p w14:paraId="2F3F245D" w14:textId="77777777" w:rsidR="00C40522" w:rsidRPr="00692919" w:rsidRDefault="00C40522" w:rsidP="00692919">
            <w:pPr>
              <w:jc w:val="center"/>
              <w:rPr>
                <w:sz w:val="23"/>
                <w:szCs w:val="23"/>
                <w:lang w:val="es-GT" w:eastAsia="es-GT"/>
              </w:rPr>
            </w:pPr>
            <w:r w:rsidRPr="00692919">
              <w:rPr>
                <w:sz w:val="23"/>
                <w:szCs w:val="23"/>
                <w:lang w:val="es-GT" w:eastAsia="es-GT"/>
              </w:rPr>
              <w:t>14.9</w:t>
            </w:r>
          </w:p>
        </w:tc>
        <w:tc>
          <w:tcPr>
            <w:tcW w:w="1087" w:type="dxa"/>
            <w:tcBorders>
              <w:top w:val="nil"/>
              <w:left w:val="nil"/>
              <w:bottom w:val="nil"/>
              <w:right w:val="single" w:sz="8" w:space="0" w:color="auto"/>
            </w:tcBorders>
            <w:shd w:val="clear" w:color="000000" w:fill="FFFFFF"/>
            <w:noWrap/>
            <w:vAlign w:val="bottom"/>
            <w:hideMark/>
          </w:tcPr>
          <w:p w14:paraId="2462DE3A" w14:textId="77777777" w:rsidR="00C40522" w:rsidRPr="00692919" w:rsidRDefault="00C40522" w:rsidP="00692919">
            <w:pPr>
              <w:jc w:val="center"/>
              <w:rPr>
                <w:sz w:val="23"/>
                <w:szCs w:val="23"/>
                <w:lang w:val="es-GT" w:eastAsia="es-GT"/>
              </w:rPr>
            </w:pPr>
            <w:r w:rsidRPr="00692919">
              <w:rPr>
                <w:sz w:val="23"/>
                <w:szCs w:val="23"/>
                <w:lang w:val="es-GT" w:eastAsia="es-GT"/>
              </w:rPr>
              <w:t>2657.3%</w:t>
            </w:r>
          </w:p>
        </w:tc>
      </w:tr>
      <w:tr w:rsidR="00C40522" w:rsidRPr="00692919" w14:paraId="48D8C372" w14:textId="77777777" w:rsidTr="00692919">
        <w:trPr>
          <w:trHeight w:val="547"/>
        </w:trPr>
        <w:tc>
          <w:tcPr>
            <w:tcW w:w="5019" w:type="dxa"/>
            <w:tcBorders>
              <w:top w:val="nil"/>
              <w:left w:val="single" w:sz="8" w:space="0" w:color="auto"/>
              <w:bottom w:val="nil"/>
              <w:right w:val="single" w:sz="4" w:space="0" w:color="auto"/>
            </w:tcBorders>
            <w:shd w:val="clear" w:color="000000" w:fill="auto"/>
            <w:hideMark/>
          </w:tcPr>
          <w:p w14:paraId="33249757" w14:textId="77777777" w:rsidR="00C40522" w:rsidRPr="00692919" w:rsidRDefault="00C40522" w:rsidP="00C40522">
            <w:pPr>
              <w:rPr>
                <w:sz w:val="23"/>
                <w:szCs w:val="23"/>
                <w:lang w:val="es-GT" w:eastAsia="es-GT"/>
              </w:rPr>
            </w:pPr>
            <w:r w:rsidRPr="00692919">
              <w:rPr>
                <w:sz w:val="23"/>
                <w:szCs w:val="23"/>
                <w:lang w:val="es-GT" w:eastAsia="es-GT"/>
              </w:rPr>
              <w:t>Fondo Nacional para la Reactivación y Modernización de la Actividad Agropecuaria</w:t>
            </w:r>
          </w:p>
        </w:tc>
        <w:tc>
          <w:tcPr>
            <w:tcW w:w="960" w:type="dxa"/>
            <w:tcBorders>
              <w:top w:val="nil"/>
              <w:left w:val="single" w:sz="4" w:space="0" w:color="auto"/>
              <w:bottom w:val="nil"/>
              <w:right w:val="single" w:sz="4" w:space="0" w:color="auto"/>
            </w:tcBorders>
            <w:shd w:val="clear" w:color="000000" w:fill="auto"/>
            <w:noWrap/>
            <w:vAlign w:val="bottom"/>
            <w:hideMark/>
          </w:tcPr>
          <w:p w14:paraId="1DCEAFC3" w14:textId="77777777" w:rsidR="00C40522" w:rsidRPr="00692919" w:rsidRDefault="00C40522" w:rsidP="00692919">
            <w:pPr>
              <w:jc w:val="center"/>
              <w:rPr>
                <w:color w:val="000000"/>
                <w:sz w:val="23"/>
                <w:szCs w:val="23"/>
                <w:lang w:val="es-GT" w:eastAsia="es-GT"/>
              </w:rPr>
            </w:pPr>
            <w:r w:rsidRPr="00692919">
              <w:rPr>
                <w:color w:val="000000"/>
                <w:sz w:val="23"/>
                <w:szCs w:val="23"/>
                <w:lang w:val="es-GT" w:eastAsia="es-GT"/>
              </w:rPr>
              <w:t>25.6</w:t>
            </w:r>
          </w:p>
        </w:tc>
        <w:tc>
          <w:tcPr>
            <w:tcW w:w="940" w:type="dxa"/>
            <w:tcBorders>
              <w:top w:val="nil"/>
              <w:left w:val="nil"/>
              <w:bottom w:val="nil"/>
              <w:right w:val="single" w:sz="4" w:space="0" w:color="auto"/>
            </w:tcBorders>
            <w:shd w:val="clear" w:color="000000" w:fill="auto"/>
            <w:noWrap/>
            <w:vAlign w:val="bottom"/>
            <w:hideMark/>
          </w:tcPr>
          <w:p w14:paraId="1D398670" w14:textId="4DF60B66" w:rsidR="00C40522" w:rsidRPr="00692919" w:rsidRDefault="00C40522" w:rsidP="00692919">
            <w:pPr>
              <w:jc w:val="center"/>
              <w:rPr>
                <w:color w:val="000000"/>
                <w:sz w:val="23"/>
                <w:szCs w:val="23"/>
                <w:lang w:val="es-GT" w:eastAsia="es-GT"/>
              </w:rPr>
            </w:pPr>
          </w:p>
        </w:tc>
        <w:tc>
          <w:tcPr>
            <w:tcW w:w="1154" w:type="dxa"/>
            <w:tcBorders>
              <w:top w:val="nil"/>
              <w:left w:val="nil"/>
              <w:bottom w:val="nil"/>
              <w:right w:val="single" w:sz="4" w:space="0" w:color="auto"/>
            </w:tcBorders>
            <w:shd w:val="clear" w:color="000000" w:fill="FFFFFF"/>
            <w:noWrap/>
            <w:vAlign w:val="bottom"/>
            <w:hideMark/>
          </w:tcPr>
          <w:p w14:paraId="42E72BD0" w14:textId="77777777" w:rsidR="00C40522" w:rsidRPr="00692919" w:rsidRDefault="00C40522" w:rsidP="00692919">
            <w:pPr>
              <w:jc w:val="center"/>
              <w:rPr>
                <w:sz w:val="23"/>
                <w:szCs w:val="23"/>
                <w:lang w:val="es-GT" w:eastAsia="es-GT"/>
              </w:rPr>
            </w:pPr>
            <w:r w:rsidRPr="00692919">
              <w:rPr>
                <w:sz w:val="23"/>
                <w:szCs w:val="23"/>
                <w:lang w:val="es-GT" w:eastAsia="es-GT"/>
              </w:rPr>
              <w:t>-25.6</w:t>
            </w:r>
          </w:p>
        </w:tc>
        <w:tc>
          <w:tcPr>
            <w:tcW w:w="1087" w:type="dxa"/>
            <w:tcBorders>
              <w:top w:val="nil"/>
              <w:left w:val="nil"/>
              <w:bottom w:val="nil"/>
              <w:right w:val="single" w:sz="8" w:space="0" w:color="auto"/>
            </w:tcBorders>
            <w:shd w:val="clear" w:color="000000" w:fill="FFFFFF"/>
            <w:noWrap/>
            <w:vAlign w:val="bottom"/>
            <w:hideMark/>
          </w:tcPr>
          <w:p w14:paraId="39889C16" w14:textId="77777777" w:rsidR="00C40522" w:rsidRPr="00692919" w:rsidRDefault="00C40522" w:rsidP="00692919">
            <w:pPr>
              <w:jc w:val="center"/>
              <w:rPr>
                <w:sz w:val="23"/>
                <w:szCs w:val="23"/>
                <w:lang w:val="es-GT" w:eastAsia="es-GT"/>
              </w:rPr>
            </w:pPr>
            <w:r w:rsidRPr="00692919">
              <w:rPr>
                <w:sz w:val="23"/>
                <w:szCs w:val="23"/>
                <w:lang w:val="es-GT" w:eastAsia="es-GT"/>
              </w:rPr>
              <w:t>-</w:t>
            </w:r>
          </w:p>
        </w:tc>
      </w:tr>
      <w:tr w:rsidR="00C40522" w:rsidRPr="00692919" w14:paraId="6395788A" w14:textId="77777777" w:rsidTr="00236014">
        <w:trPr>
          <w:trHeight w:val="315"/>
        </w:trPr>
        <w:tc>
          <w:tcPr>
            <w:tcW w:w="5019" w:type="dxa"/>
            <w:tcBorders>
              <w:top w:val="nil"/>
              <w:left w:val="single" w:sz="8" w:space="0" w:color="auto"/>
              <w:bottom w:val="nil"/>
              <w:right w:val="single" w:sz="4" w:space="0" w:color="auto"/>
            </w:tcBorders>
            <w:shd w:val="clear" w:color="000000" w:fill="auto"/>
            <w:hideMark/>
          </w:tcPr>
          <w:p w14:paraId="3ECEC2E2" w14:textId="77777777" w:rsidR="00C40522" w:rsidRPr="00692919" w:rsidRDefault="00C40522" w:rsidP="00C40522">
            <w:pPr>
              <w:rPr>
                <w:sz w:val="23"/>
                <w:szCs w:val="23"/>
                <w:lang w:val="es-GT" w:eastAsia="es-GT"/>
              </w:rPr>
            </w:pPr>
            <w:r w:rsidRPr="00692919">
              <w:rPr>
                <w:sz w:val="23"/>
                <w:szCs w:val="23"/>
                <w:lang w:val="es-GT" w:eastAsia="es-GT"/>
              </w:rPr>
              <w:t>Fideicomiso Nacional de Becas y Crédito Educativo</w:t>
            </w:r>
          </w:p>
        </w:tc>
        <w:tc>
          <w:tcPr>
            <w:tcW w:w="960" w:type="dxa"/>
            <w:tcBorders>
              <w:top w:val="nil"/>
              <w:left w:val="single" w:sz="4" w:space="0" w:color="auto"/>
              <w:bottom w:val="nil"/>
              <w:right w:val="single" w:sz="4" w:space="0" w:color="auto"/>
            </w:tcBorders>
            <w:shd w:val="clear" w:color="000000" w:fill="auto"/>
            <w:noWrap/>
            <w:vAlign w:val="center"/>
            <w:hideMark/>
          </w:tcPr>
          <w:p w14:paraId="1D17231B" w14:textId="77777777" w:rsidR="00C40522" w:rsidRPr="00692919" w:rsidRDefault="00C40522" w:rsidP="00236014">
            <w:pPr>
              <w:jc w:val="center"/>
              <w:rPr>
                <w:color w:val="000000"/>
                <w:sz w:val="23"/>
                <w:szCs w:val="23"/>
                <w:lang w:val="es-GT" w:eastAsia="es-GT"/>
              </w:rPr>
            </w:pPr>
            <w:r w:rsidRPr="00692919">
              <w:rPr>
                <w:color w:val="000000"/>
                <w:sz w:val="23"/>
                <w:szCs w:val="23"/>
                <w:lang w:val="es-GT" w:eastAsia="es-GT"/>
              </w:rPr>
              <w:t>0.2</w:t>
            </w:r>
          </w:p>
        </w:tc>
        <w:tc>
          <w:tcPr>
            <w:tcW w:w="940" w:type="dxa"/>
            <w:tcBorders>
              <w:top w:val="nil"/>
              <w:left w:val="nil"/>
              <w:bottom w:val="nil"/>
              <w:right w:val="single" w:sz="4" w:space="0" w:color="auto"/>
            </w:tcBorders>
            <w:shd w:val="clear" w:color="000000" w:fill="auto"/>
            <w:noWrap/>
            <w:vAlign w:val="center"/>
            <w:hideMark/>
          </w:tcPr>
          <w:p w14:paraId="1BAA95D5" w14:textId="77777777" w:rsidR="00C40522" w:rsidRPr="00692919" w:rsidRDefault="00C40522" w:rsidP="00236014">
            <w:pPr>
              <w:jc w:val="center"/>
              <w:rPr>
                <w:color w:val="000000"/>
                <w:sz w:val="23"/>
                <w:szCs w:val="23"/>
                <w:lang w:val="es-GT" w:eastAsia="es-GT"/>
              </w:rPr>
            </w:pPr>
            <w:r w:rsidRPr="00692919">
              <w:rPr>
                <w:color w:val="000000"/>
                <w:sz w:val="23"/>
                <w:szCs w:val="23"/>
                <w:lang w:val="es-GT" w:eastAsia="es-GT"/>
              </w:rPr>
              <w:t>0.5</w:t>
            </w:r>
          </w:p>
        </w:tc>
        <w:tc>
          <w:tcPr>
            <w:tcW w:w="1154" w:type="dxa"/>
            <w:tcBorders>
              <w:top w:val="nil"/>
              <w:left w:val="nil"/>
              <w:bottom w:val="nil"/>
              <w:right w:val="single" w:sz="4" w:space="0" w:color="auto"/>
            </w:tcBorders>
            <w:shd w:val="clear" w:color="000000" w:fill="FFFFFF"/>
            <w:noWrap/>
            <w:vAlign w:val="center"/>
            <w:hideMark/>
          </w:tcPr>
          <w:p w14:paraId="7A42C9BE" w14:textId="77777777" w:rsidR="00C40522" w:rsidRPr="00692919" w:rsidRDefault="00C40522" w:rsidP="00236014">
            <w:pPr>
              <w:jc w:val="center"/>
              <w:rPr>
                <w:sz w:val="23"/>
                <w:szCs w:val="23"/>
                <w:lang w:val="es-GT" w:eastAsia="es-GT"/>
              </w:rPr>
            </w:pPr>
            <w:r w:rsidRPr="00692919">
              <w:rPr>
                <w:sz w:val="23"/>
                <w:szCs w:val="23"/>
                <w:lang w:val="es-GT" w:eastAsia="es-GT"/>
              </w:rPr>
              <w:t>0.3</w:t>
            </w:r>
          </w:p>
        </w:tc>
        <w:tc>
          <w:tcPr>
            <w:tcW w:w="1087" w:type="dxa"/>
            <w:tcBorders>
              <w:top w:val="nil"/>
              <w:left w:val="nil"/>
              <w:bottom w:val="nil"/>
              <w:right w:val="single" w:sz="8" w:space="0" w:color="auto"/>
            </w:tcBorders>
            <w:shd w:val="clear" w:color="000000" w:fill="FFFFFF"/>
            <w:noWrap/>
            <w:vAlign w:val="center"/>
            <w:hideMark/>
          </w:tcPr>
          <w:p w14:paraId="6F427528" w14:textId="1D1FF803" w:rsidR="00C40522" w:rsidRPr="00692919" w:rsidRDefault="00D553AD" w:rsidP="00236014">
            <w:pPr>
              <w:jc w:val="center"/>
              <w:rPr>
                <w:sz w:val="23"/>
                <w:szCs w:val="23"/>
                <w:lang w:val="es-GT" w:eastAsia="es-GT"/>
              </w:rPr>
            </w:pPr>
            <w:r w:rsidRPr="00692919">
              <w:rPr>
                <w:sz w:val="23"/>
                <w:szCs w:val="23"/>
                <w:lang w:val="es-GT" w:eastAsia="es-GT"/>
              </w:rPr>
              <w:t>154.1%</w:t>
            </w:r>
          </w:p>
        </w:tc>
      </w:tr>
      <w:tr w:rsidR="00C40522" w:rsidRPr="00692919" w14:paraId="31181617" w14:textId="77777777" w:rsidTr="00692919">
        <w:trPr>
          <w:trHeight w:val="80"/>
        </w:trPr>
        <w:tc>
          <w:tcPr>
            <w:tcW w:w="5019" w:type="dxa"/>
            <w:tcBorders>
              <w:top w:val="nil"/>
              <w:left w:val="single" w:sz="8" w:space="0" w:color="auto"/>
              <w:bottom w:val="nil"/>
              <w:right w:val="single" w:sz="4" w:space="0" w:color="auto"/>
            </w:tcBorders>
            <w:shd w:val="clear" w:color="000000" w:fill="auto"/>
            <w:hideMark/>
          </w:tcPr>
          <w:p w14:paraId="783E2D75" w14:textId="77777777" w:rsidR="00C40522" w:rsidRPr="00692919" w:rsidRDefault="00C40522" w:rsidP="00C40522">
            <w:pPr>
              <w:rPr>
                <w:sz w:val="23"/>
                <w:szCs w:val="23"/>
                <w:lang w:val="es-GT" w:eastAsia="es-GT"/>
              </w:rPr>
            </w:pPr>
            <w:r w:rsidRPr="00692919">
              <w:rPr>
                <w:sz w:val="23"/>
                <w:szCs w:val="23"/>
                <w:lang w:val="es-GT" w:eastAsia="es-GT"/>
              </w:rPr>
              <w:t>Apoyo Financiero para los Productores del Sector Cafetalero</w:t>
            </w:r>
          </w:p>
        </w:tc>
        <w:tc>
          <w:tcPr>
            <w:tcW w:w="960" w:type="dxa"/>
            <w:tcBorders>
              <w:top w:val="nil"/>
              <w:left w:val="single" w:sz="4" w:space="0" w:color="auto"/>
              <w:bottom w:val="nil"/>
              <w:right w:val="single" w:sz="4" w:space="0" w:color="auto"/>
            </w:tcBorders>
            <w:shd w:val="clear" w:color="000000" w:fill="auto"/>
            <w:noWrap/>
            <w:vAlign w:val="bottom"/>
            <w:hideMark/>
          </w:tcPr>
          <w:p w14:paraId="0462CDDB" w14:textId="77777777" w:rsidR="00C40522" w:rsidRPr="00692919" w:rsidRDefault="00C40522" w:rsidP="00692919">
            <w:pPr>
              <w:jc w:val="center"/>
              <w:rPr>
                <w:color w:val="000000"/>
                <w:sz w:val="23"/>
                <w:szCs w:val="23"/>
                <w:lang w:val="es-GT" w:eastAsia="es-GT"/>
              </w:rPr>
            </w:pPr>
            <w:r w:rsidRPr="00692919">
              <w:rPr>
                <w:color w:val="000000"/>
                <w:sz w:val="23"/>
                <w:szCs w:val="23"/>
                <w:lang w:val="es-GT" w:eastAsia="es-GT"/>
              </w:rPr>
              <w:t>9.7</w:t>
            </w:r>
          </w:p>
        </w:tc>
        <w:tc>
          <w:tcPr>
            <w:tcW w:w="940" w:type="dxa"/>
            <w:tcBorders>
              <w:top w:val="nil"/>
              <w:left w:val="nil"/>
              <w:bottom w:val="nil"/>
              <w:right w:val="single" w:sz="4" w:space="0" w:color="auto"/>
            </w:tcBorders>
            <w:shd w:val="clear" w:color="000000" w:fill="auto"/>
            <w:noWrap/>
            <w:vAlign w:val="bottom"/>
            <w:hideMark/>
          </w:tcPr>
          <w:p w14:paraId="5D7FF0D8" w14:textId="77777777" w:rsidR="00C40522" w:rsidRPr="00692919" w:rsidRDefault="00C40522" w:rsidP="00692919">
            <w:pPr>
              <w:jc w:val="center"/>
              <w:rPr>
                <w:color w:val="000000"/>
                <w:sz w:val="23"/>
                <w:szCs w:val="23"/>
                <w:lang w:val="es-GT" w:eastAsia="es-GT"/>
              </w:rPr>
            </w:pPr>
            <w:r w:rsidRPr="00692919">
              <w:rPr>
                <w:color w:val="000000"/>
                <w:sz w:val="23"/>
                <w:szCs w:val="23"/>
                <w:lang w:val="es-GT" w:eastAsia="es-GT"/>
              </w:rPr>
              <w:t>2.0</w:t>
            </w:r>
          </w:p>
        </w:tc>
        <w:tc>
          <w:tcPr>
            <w:tcW w:w="1154" w:type="dxa"/>
            <w:tcBorders>
              <w:top w:val="nil"/>
              <w:left w:val="nil"/>
              <w:bottom w:val="nil"/>
              <w:right w:val="single" w:sz="4" w:space="0" w:color="auto"/>
            </w:tcBorders>
            <w:shd w:val="clear" w:color="000000" w:fill="FFFFFF"/>
            <w:noWrap/>
            <w:vAlign w:val="bottom"/>
            <w:hideMark/>
          </w:tcPr>
          <w:p w14:paraId="104787B5" w14:textId="77777777" w:rsidR="00C40522" w:rsidRPr="00692919" w:rsidRDefault="00C40522" w:rsidP="00692919">
            <w:pPr>
              <w:jc w:val="center"/>
              <w:rPr>
                <w:sz w:val="23"/>
                <w:szCs w:val="23"/>
                <w:lang w:val="es-GT" w:eastAsia="es-GT"/>
              </w:rPr>
            </w:pPr>
            <w:r w:rsidRPr="00692919">
              <w:rPr>
                <w:sz w:val="23"/>
                <w:szCs w:val="23"/>
                <w:lang w:val="es-GT" w:eastAsia="es-GT"/>
              </w:rPr>
              <w:t>-7.7</w:t>
            </w:r>
          </w:p>
        </w:tc>
        <w:tc>
          <w:tcPr>
            <w:tcW w:w="1087" w:type="dxa"/>
            <w:tcBorders>
              <w:top w:val="nil"/>
              <w:left w:val="nil"/>
              <w:bottom w:val="nil"/>
              <w:right w:val="single" w:sz="8" w:space="0" w:color="auto"/>
            </w:tcBorders>
            <w:shd w:val="clear" w:color="000000" w:fill="FFFFFF"/>
            <w:noWrap/>
            <w:vAlign w:val="bottom"/>
            <w:hideMark/>
          </w:tcPr>
          <w:p w14:paraId="232DDA30" w14:textId="300FDEA4" w:rsidR="00C40522" w:rsidRPr="00692919" w:rsidRDefault="00D553AD" w:rsidP="00692919">
            <w:pPr>
              <w:jc w:val="center"/>
              <w:rPr>
                <w:sz w:val="23"/>
                <w:szCs w:val="23"/>
                <w:lang w:val="es-GT" w:eastAsia="es-GT"/>
              </w:rPr>
            </w:pPr>
            <w:r w:rsidRPr="00692919">
              <w:rPr>
                <w:sz w:val="23"/>
                <w:szCs w:val="23"/>
                <w:lang w:val="es-GT" w:eastAsia="es-GT"/>
              </w:rPr>
              <w:t>79.7%</w:t>
            </w:r>
          </w:p>
        </w:tc>
      </w:tr>
      <w:tr w:rsidR="00C40522" w:rsidRPr="00692919" w14:paraId="1F792367" w14:textId="77777777" w:rsidTr="00236014">
        <w:trPr>
          <w:trHeight w:val="315"/>
        </w:trPr>
        <w:tc>
          <w:tcPr>
            <w:tcW w:w="5019" w:type="dxa"/>
            <w:tcBorders>
              <w:top w:val="nil"/>
              <w:left w:val="single" w:sz="8" w:space="0" w:color="auto"/>
              <w:bottom w:val="nil"/>
              <w:right w:val="single" w:sz="4" w:space="0" w:color="auto"/>
            </w:tcBorders>
            <w:shd w:val="clear" w:color="000000" w:fill="auto"/>
            <w:vAlign w:val="bottom"/>
            <w:hideMark/>
          </w:tcPr>
          <w:p w14:paraId="0414421B" w14:textId="77777777" w:rsidR="00C40522" w:rsidRPr="00692919" w:rsidRDefault="00C40522" w:rsidP="00C40522">
            <w:pPr>
              <w:rPr>
                <w:sz w:val="23"/>
                <w:szCs w:val="23"/>
                <w:lang w:val="es-GT" w:eastAsia="es-GT"/>
              </w:rPr>
            </w:pPr>
            <w:r w:rsidRPr="00692919">
              <w:rPr>
                <w:sz w:val="23"/>
                <w:szCs w:val="23"/>
                <w:lang w:val="es-GT" w:eastAsia="es-GT"/>
              </w:rPr>
              <w:t>Fondo de Protección Social</w:t>
            </w:r>
          </w:p>
        </w:tc>
        <w:tc>
          <w:tcPr>
            <w:tcW w:w="960" w:type="dxa"/>
            <w:tcBorders>
              <w:top w:val="nil"/>
              <w:left w:val="single" w:sz="4" w:space="0" w:color="auto"/>
              <w:bottom w:val="nil"/>
              <w:right w:val="single" w:sz="4" w:space="0" w:color="auto"/>
            </w:tcBorders>
            <w:shd w:val="clear" w:color="000000" w:fill="auto"/>
            <w:noWrap/>
            <w:vAlign w:val="bottom"/>
            <w:hideMark/>
          </w:tcPr>
          <w:p w14:paraId="1838BFCE"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121.5</w:t>
            </w:r>
          </w:p>
        </w:tc>
        <w:tc>
          <w:tcPr>
            <w:tcW w:w="940" w:type="dxa"/>
            <w:tcBorders>
              <w:top w:val="nil"/>
              <w:left w:val="nil"/>
              <w:bottom w:val="nil"/>
              <w:right w:val="single" w:sz="4" w:space="0" w:color="auto"/>
            </w:tcBorders>
            <w:shd w:val="clear" w:color="000000" w:fill="auto"/>
            <w:noWrap/>
            <w:vAlign w:val="bottom"/>
            <w:hideMark/>
          </w:tcPr>
          <w:p w14:paraId="54230BF0"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162.9</w:t>
            </w:r>
          </w:p>
        </w:tc>
        <w:tc>
          <w:tcPr>
            <w:tcW w:w="1154" w:type="dxa"/>
            <w:tcBorders>
              <w:top w:val="nil"/>
              <w:left w:val="nil"/>
              <w:bottom w:val="nil"/>
              <w:right w:val="single" w:sz="4" w:space="0" w:color="auto"/>
            </w:tcBorders>
            <w:shd w:val="clear" w:color="000000" w:fill="FFFFFF"/>
            <w:noWrap/>
            <w:vAlign w:val="bottom"/>
            <w:hideMark/>
          </w:tcPr>
          <w:p w14:paraId="5F8DE8AD" w14:textId="77777777" w:rsidR="00C40522" w:rsidRPr="00692919" w:rsidRDefault="00C40522" w:rsidP="00C40522">
            <w:pPr>
              <w:jc w:val="center"/>
              <w:rPr>
                <w:sz w:val="23"/>
                <w:szCs w:val="23"/>
                <w:lang w:val="es-GT" w:eastAsia="es-GT"/>
              </w:rPr>
            </w:pPr>
            <w:r w:rsidRPr="00692919">
              <w:rPr>
                <w:sz w:val="23"/>
                <w:szCs w:val="23"/>
                <w:lang w:val="es-GT" w:eastAsia="es-GT"/>
              </w:rPr>
              <w:t>41.4</w:t>
            </w:r>
          </w:p>
        </w:tc>
        <w:tc>
          <w:tcPr>
            <w:tcW w:w="1087" w:type="dxa"/>
            <w:tcBorders>
              <w:top w:val="nil"/>
              <w:left w:val="nil"/>
              <w:bottom w:val="nil"/>
              <w:right w:val="single" w:sz="8" w:space="0" w:color="auto"/>
            </w:tcBorders>
            <w:shd w:val="clear" w:color="000000" w:fill="FFFFFF"/>
            <w:noWrap/>
            <w:vAlign w:val="bottom"/>
            <w:hideMark/>
          </w:tcPr>
          <w:p w14:paraId="622423AA" w14:textId="77777777" w:rsidR="00C40522" w:rsidRPr="00692919" w:rsidRDefault="00C40522" w:rsidP="00C40522">
            <w:pPr>
              <w:jc w:val="center"/>
              <w:rPr>
                <w:sz w:val="23"/>
                <w:szCs w:val="23"/>
                <w:lang w:val="es-GT" w:eastAsia="es-GT"/>
              </w:rPr>
            </w:pPr>
            <w:r w:rsidRPr="00692919">
              <w:rPr>
                <w:sz w:val="23"/>
                <w:szCs w:val="23"/>
                <w:lang w:val="es-GT" w:eastAsia="es-GT"/>
              </w:rPr>
              <w:t>34.1%</w:t>
            </w:r>
          </w:p>
        </w:tc>
      </w:tr>
      <w:tr w:rsidR="00C40522" w:rsidRPr="00692919" w14:paraId="42FCE3DB" w14:textId="77777777" w:rsidTr="00236014">
        <w:trPr>
          <w:trHeight w:val="315"/>
        </w:trPr>
        <w:tc>
          <w:tcPr>
            <w:tcW w:w="5019" w:type="dxa"/>
            <w:tcBorders>
              <w:top w:val="nil"/>
              <w:left w:val="single" w:sz="8" w:space="0" w:color="auto"/>
              <w:bottom w:val="nil"/>
              <w:right w:val="single" w:sz="4" w:space="0" w:color="auto"/>
            </w:tcBorders>
            <w:shd w:val="clear" w:color="000000" w:fill="auto"/>
            <w:vAlign w:val="bottom"/>
            <w:hideMark/>
          </w:tcPr>
          <w:p w14:paraId="23E7D881" w14:textId="77777777" w:rsidR="00C40522" w:rsidRPr="00692919" w:rsidRDefault="00C40522" w:rsidP="00C40522">
            <w:pPr>
              <w:rPr>
                <w:sz w:val="23"/>
                <w:szCs w:val="23"/>
                <w:lang w:val="es-GT" w:eastAsia="es-GT"/>
              </w:rPr>
            </w:pPr>
            <w:r w:rsidRPr="00692919">
              <w:rPr>
                <w:sz w:val="23"/>
                <w:szCs w:val="23"/>
                <w:lang w:val="es-GT" w:eastAsia="es-GT"/>
              </w:rPr>
              <w:t>Fondo de Desarrollo Indígena Guatemalteco</w:t>
            </w:r>
          </w:p>
        </w:tc>
        <w:tc>
          <w:tcPr>
            <w:tcW w:w="960" w:type="dxa"/>
            <w:tcBorders>
              <w:top w:val="nil"/>
              <w:left w:val="single" w:sz="4" w:space="0" w:color="auto"/>
              <w:bottom w:val="nil"/>
              <w:right w:val="single" w:sz="4" w:space="0" w:color="auto"/>
            </w:tcBorders>
            <w:shd w:val="clear" w:color="000000" w:fill="auto"/>
            <w:noWrap/>
            <w:vAlign w:val="bottom"/>
            <w:hideMark/>
          </w:tcPr>
          <w:p w14:paraId="1069A5BB"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0.4</w:t>
            </w:r>
          </w:p>
        </w:tc>
        <w:tc>
          <w:tcPr>
            <w:tcW w:w="940" w:type="dxa"/>
            <w:tcBorders>
              <w:top w:val="nil"/>
              <w:left w:val="nil"/>
              <w:bottom w:val="nil"/>
              <w:right w:val="single" w:sz="4" w:space="0" w:color="auto"/>
            </w:tcBorders>
            <w:shd w:val="clear" w:color="000000" w:fill="auto"/>
            <w:noWrap/>
            <w:vAlign w:val="bottom"/>
            <w:hideMark/>
          </w:tcPr>
          <w:p w14:paraId="4007BABE"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4.7</w:t>
            </w:r>
          </w:p>
        </w:tc>
        <w:tc>
          <w:tcPr>
            <w:tcW w:w="1154" w:type="dxa"/>
            <w:tcBorders>
              <w:top w:val="nil"/>
              <w:left w:val="nil"/>
              <w:bottom w:val="nil"/>
              <w:right w:val="single" w:sz="4" w:space="0" w:color="auto"/>
            </w:tcBorders>
            <w:shd w:val="clear" w:color="000000" w:fill="FFFFFF"/>
            <w:noWrap/>
            <w:vAlign w:val="bottom"/>
            <w:hideMark/>
          </w:tcPr>
          <w:p w14:paraId="0393F3A1" w14:textId="77777777" w:rsidR="00C40522" w:rsidRPr="00692919" w:rsidRDefault="00C40522" w:rsidP="00C40522">
            <w:pPr>
              <w:jc w:val="center"/>
              <w:rPr>
                <w:sz w:val="23"/>
                <w:szCs w:val="23"/>
                <w:lang w:val="es-GT" w:eastAsia="es-GT"/>
              </w:rPr>
            </w:pPr>
            <w:r w:rsidRPr="00692919">
              <w:rPr>
                <w:sz w:val="23"/>
                <w:szCs w:val="23"/>
                <w:lang w:val="es-GT" w:eastAsia="es-GT"/>
              </w:rPr>
              <w:t>4.4</w:t>
            </w:r>
          </w:p>
        </w:tc>
        <w:tc>
          <w:tcPr>
            <w:tcW w:w="1087" w:type="dxa"/>
            <w:tcBorders>
              <w:top w:val="nil"/>
              <w:left w:val="nil"/>
              <w:bottom w:val="nil"/>
              <w:right w:val="single" w:sz="8" w:space="0" w:color="auto"/>
            </w:tcBorders>
            <w:shd w:val="clear" w:color="000000" w:fill="FFFFFF"/>
            <w:noWrap/>
            <w:vAlign w:val="bottom"/>
            <w:hideMark/>
          </w:tcPr>
          <w:p w14:paraId="5DF60A7A" w14:textId="77777777" w:rsidR="00C40522" w:rsidRPr="00692919" w:rsidRDefault="00C40522" w:rsidP="00C40522">
            <w:pPr>
              <w:jc w:val="center"/>
              <w:rPr>
                <w:sz w:val="23"/>
                <w:szCs w:val="23"/>
                <w:lang w:val="es-GT" w:eastAsia="es-GT"/>
              </w:rPr>
            </w:pPr>
            <w:r w:rsidRPr="00692919">
              <w:rPr>
                <w:sz w:val="23"/>
                <w:szCs w:val="23"/>
                <w:lang w:val="es-GT" w:eastAsia="es-GT"/>
              </w:rPr>
              <w:t>1166.4%</w:t>
            </w:r>
          </w:p>
        </w:tc>
      </w:tr>
      <w:tr w:rsidR="00C40522" w:rsidRPr="00692919" w14:paraId="0A7A0197" w14:textId="77777777" w:rsidTr="00236014">
        <w:trPr>
          <w:trHeight w:val="315"/>
        </w:trPr>
        <w:tc>
          <w:tcPr>
            <w:tcW w:w="5019" w:type="dxa"/>
            <w:tcBorders>
              <w:top w:val="nil"/>
              <w:left w:val="single" w:sz="8" w:space="0" w:color="auto"/>
              <w:bottom w:val="nil"/>
              <w:right w:val="single" w:sz="4" w:space="0" w:color="auto"/>
            </w:tcBorders>
            <w:shd w:val="clear" w:color="000000" w:fill="auto"/>
            <w:vAlign w:val="bottom"/>
            <w:hideMark/>
          </w:tcPr>
          <w:p w14:paraId="7ABE13DC" w14:textId="77777777" w:rsidR="00C40522" w:rsidRPr="00692919" w:rsidRDefault="00C40522" w:rsidP="00C40522">
            <w:pPr>
              <w:rPr>
                <w:sz w:val="23"/>
                <w:szCs w:val="23"/>
                <w:lang w:val="es-GT" w:eastAsia="es-GT"/>
              </w:rPr>
            </w:pPr>
            <w:r w:rsidRPr="00692919">
              <w:rPr>
                <w:sz w:val="23"/>
                <w:szCs w:val="23"/>
                <w:lang w:val="es-GT" w:eastAsia="es-GT"/>
              </w:rPr>
              <w:t>Inversión para la Vivienda</w:t>
            </w:r>
          </w:p>
        </w:tc>
        <w:tc>
          <w:tcPr>
            <w:tcW w:w="960" w:type="dxa"/>
            <w:tcBorders>
              <w:top w:val="nil"/>
              <w:left w:val="single" w:sz="4" w:space="0" w:color="auto"/>
              <w:bottom w:val="nil"/>
              <w:right w:val="single" w:sz="4" w:space="0" w:color="auto"/>
            </w:tcBorders>
            <w:shd w:val="clear" w:color="000000" w:fill="auto"/>
            <w:noWrap/>
            <w:vAlign w:val="bottom"/>
            <w:hideMark/>
          </w:tcPr>
          <w:p w14:paraId="690CCDD0"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77.8</w:t>
            </w:r>
          </w:p>
        </w:tc>
        <w:tc>
          <w:tcPr>
            <w:tcW w:w="940" w:type="dxa"/>
            <w:tcBorders>
              <w:top w:val="nil"/>
              <w:left w:val="nil"/>
              <w:bottom w:val="nil"/>
              <w:right w:val="single" w:sz="4" w:space="0" w:color="auto"/>
            </w:tcBorders>
            <w:shd w:val="clear" w:color="000000" w:fill="auto"/>
            <w:noWrap/>
            <w:vAlign w:val="bottom"/>
            <w:hideMark/>
          </w:tcPr>
          <w:p w14:paraId="2B409E2C"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245.5</w:t>
            </w:r>
          </w:p>
        </w:tc>
        <w:tc>
          <w:tcPr>
            <w:tcW w:w="1154" w:type="dxa"/>
            <w:tcBorders>
              <w:top w:val="nil"/>
              <w:left w:val="nil"/>
              <w:bottom w:val="nil"/>
              <w:right w:val="single" w:sz="4" w:space="0" w:color="auto"/>
            </w:tcBorders>
            <w:shd w:val="clear" w:color="000000" w:fill="FFFFFF"/>
            <w:noWrap/>
            <w:vAlign w:val="bottom"/>
            <w:hideMark/>
          </w:tcPr>
          <w:p w14:paraId="6900D041" w14:textId="77777777" w:rsidR="00C40522" w:rsidRPr="00692919" w:rsidRDefault="00C40522" w:rsidP="00C40522">
            <w:pPr>
              <w:jc w:val="center"/>
              <w:rPr>
                <w:sz w:val="23"/>
                <w:szCs w:val="23"/>
                <w:lang w:val="es-GT" w:eastAsia="es-GT"/>
              </w:rPr>
            </w:pPr>
            <w:r w:rsidRPr="00692919">
              <w:rPr>
                <w:sz w:val="23"/>
                <w:szCs w:val="23"/>
                <w:lang w:val="es-GT" w:eastAsia="es-GT"/>
              </w:rPr>
              <w:t>167.7</w:t>
            </w:r>
          </w:p>
        </w:tc>
        <w:tc>
          <w:tcPr>
            <w:tcW w:w="1087" w:type="dxa"/>
            <w:tcBorders>
              <w:top w:val="nil"/>
              <w:left w:val="nil"/>
              <w:bottom w:val="nil"/>
              <w:right w:val="single" w:sz="8" w:space="0" w:color="auto"/>
            </w:tcBorders>
            <w:shd w:val="clear" w:color="000000" w:fill="FFFFFF"/>
            <w:noWrap/>
            <w:vAlign w:val="bottom"/>
            <w:hideMark/>
          </w:tcPr>
          <w:p w14:paraId="5F423862" w14:textId="77777777" w:rsidR="00C40522" w:rsidRPr="00692919" w:rsidRDefault="00C40522" w:rsidP="00C40522">
            <w:pPr>
              <w:jc w:val="center"/>
              <w:rPr>
                <w:sz w:val="23"/>
                <w:szCs w:val="23"/>
                <w:lang w:val="es-GT" w:eastAsia="es-GT"/>
              </w:rPr>
            </w:pPr>
            <w:r w:rsidRPr="00692919">
              <w:rPr>
                <w:sz w:val="23"/>
                <w:szCs w:val="23"/>
                <w:lang w:val="es-GT" w:eastAsia="es-GT"/>
              </w:rPr>
              <w:t>215.6%</w:t>
            </w:r>
          </w:p>
        </w:tc>
      </w:tr>
      <w:tr w:rsidR="00C40522" w:rsidRPr="00692919" w14:paraId="2660DE8B" w14:textId="77777777" w:rsidTr="00236014">
        <w:trPr>
          <w:trHeight w:val="330"/>
        </w:trPr>
        <w:tc>
          <w:tcPr>
            <w:tcW w:w="5019" w:type="dxa"/>
            <w:tcBorders>
              <w:top w:val="nil"/>
              <w:left w:val="single" w:sz="8" w:space="0" w:color="auto"/>
              <w:bottom w:val="single" w:sz="8" w:space="0" w:color="auto"/>
              <w:right w:val="single" w:sz="4" w:space="0" w:color="auto"/>
            </w:tcBorders>
            <w:shd w:val="clear" w:color="000000" w:fill="auto"/>
            <w:vAlign w:val="bottom"/>
            <w:hideMark/>
          </w:tcPr>
          <w:p w14:paraId="059BA63F" w14:textId="77777777" w:rsidR="00C40522" w:rsidRPr="00692919" w:rsidRDefault="00C40522" w:rsidP="00C40522">
            <w:pPr>
              <w:rPr>
                <w:sz w:val="23"/>
                <w:szCs w:val="23"/>
                <w:lang w:val="es-GT" w:eastAsia="es-GT"/>
              </w:rPr>
            </w:pPr>
            <w:r w:rsidRPr="00692919">
              <w:rPr>
                <w:sz w:val="23"/>
                <w:szCs w:val="23"/>
                <w:lang w:val="es-GT" w:eastAsia="es-GT"/>
              </w:rPr>
              <w:t xml:space="preserve">Fondo Nacional de Ciencia y Tecnología  </w:t>
            </w:r>
          </w:p>
        </w:tc>
        <w:tc>
          <w:tcPr>
            <w:tcW w:w="960" w:type="dxa"/>
            <w:tcBorders>
              <w:top w:val="nil"/>
              <w:left w:val="nil"/>
              <w:bottom w:val="single" w:sz="8" w:space="0" w:color="auto"/>
              <w:right w:val="single" w:sz="4" w:space="0" w:color="auto"/>
            </w:tcBorders>
            <w:shd w:val="clear" w:color="000000" w:fill="auto"/>
            <w:noWrap/>
            <w:vAlign w:val="bottom"/>
            <w:hideMark/>
          </w:tcPr>
          <w:p w14:paraId="3F456EB1"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1.5</w:t>
            </w:r>
          </w:p>
        </w:tc>
        <w:tc>
          <w:tcPr>
            <w:tcW w:w="940" w:type="dxa"/>
            <w:tcBorders>
              <w:top w:val="nil"/>
              <w:left w:val="nil"/>
              <w:bottom w:val="single" w:sz="8" w:space="0" w:color="auto"/>
              <w:right w:val="single" w:sz="4" w:space="0" w:color="auto"/>
            </w:tcBorders>
            <w:shd w:val="clear" w:color="000000" w:fill="auto"/>
            <w:noWrap/>
            <w:vAlign w:val="bottom"/>
            <w:hideMark/>
          </w:tcPr>
          <w:p w14:paraId="65B451CB" w14:textId="77777777" w:rsidR="00C40522" w:rsidRPr="00692919" w:rsidRDefault="00C40522" w:rsidP="00C40522">
            <w:pPr>
              <w:jc w:val="center"/>
              <w:rPr>
                <w:color w:val="000000"/>
                <w:sz w:val="23"/>
                <w:szCs w:val="23"/>
                <w:lang w:val="es-GT" w:eastAsia="es-GT"/>
              </w:rPr>
            </w:pPr>
            <w:r w:rsidRPr="00692919">
              <w:rPr>
                <w:color w:val="000000"/>
                <w:sz w:val="23"/>
                <w:szCs w:val="23"/>
                <w:lang w:val="es-GT" w:eastAsia="es-GT"/>
              </w:rPr>
              <w:t>2.5</w:t>
            </w:r>
          </w:p>
        </w:tc>
        <w:tc>
          <w:tcPr>
            <w:tcW w:w="1154" w:type="dxa"/>
            <w:tcBorders>
              <w:top w:val="nil"/>
              <w:left w:val="nil"/>
              <w:bottom w:val="single" w:sz="8" w:space="0" w:color="auto"/>
              <w:right w:val="single" w:sz="4" w:space="0" w:color="auto"/>
            </w:tcBorders>
            <w:shd w:val="clear" w:color="000000" w:fill="FFFFFF"/>
            <w:noWrap/>
            <w:vAlign w:val="bottom"/>
            <w:hideMark/>
          </w:tcPr>
          <w:p w14:paraId="51B2BC40" w14:textId="77777777" w:rsidR="00C40522" w:rsidRPr="00692919" w:rsidRDefault="00C40522" w:rsidP="00C40522">
            <w:pPr>
              <w:jc w:val="center"/>
              <w:rPr>
                <w:sz w:val="23"/>
                <w:szCs w:val="23"/>
                <w:lang w:val="es-GT" w:eastAsia="es-GT"/>
              </w:rPr>
            </w:pPr>
            <w:r w:rsidRPr="00692919">
              <w:rPr>
                <w:sz w:val="23"/>
                <w:szCs w:val="23"/>
                <w:lang w:val="es-GT" w:eastAsia="es-GT"/>
              </w:rPr>
              <w:t>1.0</w:t>
            </w:r>
          </w:p>
        </w:tc>
        <w:tc>
          <w:tcPr>
            <w:tcW w:w="1087" w:type="dxa"/>
            <w:tcBorders>
              <w:top w:val="nil"/>
              <w:left w:val="nil"/>
              <w:bottom w:val="single" w:sz="8" w:space="0" w:color="auto"/>
              <w:right w:val="single" w:sz="8" w:space="0" w:color="auto"/>
            </w:tcBorders>
            <w:shd w:val="clear" w:color="000000" w:fill="FFFFFF"/>
            <w:noWrap/>
            <w:vAlign w:val="bottom"/>
            <w:hideMark/>
          </w:tcPr>
          <w:p w14:paraId="50ECC57B" w14:textId="77777777" w:rsidR="00C40522" w:rsidRPr="00692919" w:rsidRDefault="00C40522" w:rsidP="00C40522">
            <w:pPr>
              <w:jc w:val="center"/>
              <w:rPr>
                <w:sz w:val="23"/>
                <w:szCs w:val="23"/>
                <w:lang w:val="es-GT" w:eastAsia="es-GT"/>
              </w:rPr>
            </w:pPr>
            <w:r w:rsidRPr="00692919">
              <w:rPr>
                <w:sz w:val="23"/>
                <w:szCs w:val="23"/>
                <w:lang w:val="es-GT" w:eastAsia="es-GT"/>
              </w:rPr>
              <w:t>64.7%</w:t>
            </w:r>
          </w:p>
        </w:tc>
      </w:tr>
      <w:tr w:rsidR="00C40522" w:rsidRPr="00236014" w14:paraId="1D1170AF" w14:textId="77777777" w:rsidTr="00236014">
        <w:trPr>
          <w:trHeight w:val="315"/>
        </w:trPr>
        <w:tc>
          <w:tcPr>
            <w:tcW w:w="5019" w:type="dxa"/>
            <w:tcBorders>
              <w:top w:val="nil"/>
              <w:left w:val="nil"/>
              <w:bottom w:val="nil"/>
              <w:right w:val="nil"/>
            </w:tcBorders>
            <w:shd w:val="clear" w:color="000000" w:fill="FFFFFF"/>
            <w:vAlign w:val="bottom"/>
            <w:hideMark/>
          </w:tcPr>
          <w:p w14:paraId="6D4652AF" w14:textId="71E52736" w:rsidR="00C40522" w:rsidRPr="00236014" w:rsidRDefault="00C40522" w:rsidP="00C40522">
            <w:pPr>
              <w:rPr>
                <w:b/>
                <w:bCs/>
                <w:lang w:val="es-GT" w:eastAsia="es-GT"/>
              </w:rPr>
            </w:pPr>
            <w:r w:rsidRPr="00236014">
              <w:rPr>
                <w:b/>
                <w:bCs/>
                <w:lang w:val="es-GT" w:eastAsia="es-GT"/>
              </w:rPr>
              <w:t xml:space="preserve">Porcentaje de </w:t>
            </w:r>
            <w:r w:rsidR="00236014">
              <w:rPr>
                <w:b/>
                <w:bCs/>
                <w:lang w:val="es-GT" w:eastAsia="es-GT"/>
              </w:rPr>
              <w:t>E</w:t>
            </w:r>
            <w:r w:rsidRPr="00236014">
              <w:rPr>
                <w:b/>
                <w:bCs/>
                <w:lang w:val="es-GT" w:eastAsia="es-GT"/>
              </w:rPr>
              <w:t xml:space="preserve">jecución </w:t>
            </w:r>
            <w:r w:rsidR="00236014">
              <w:rPr>
                <w:b/>
                <w:bCs/>
                <w:lang w:val="es-GT" w:eastAsia="es-GT"/>
              </w:rPr>
              <w:t>P</w:t>
            </w:r>
            <w:r w:rsidRPr="00236014">
              <w:rPr>
                <w:b/>
                <w:bCs/>
                <w:lang w:val="es-GT" w:eastAsia="es-GT"/>
              </w:rPr>
              <w:t>resupuestaria</w:t>
            </w:r>
          </w:p>
        </w:tc>
        <w:tc>
          <w:tcPr>
            <w:tcW w:w="960" w:type="dxa"/>
            <w:tcBorders>
              <w:top w:val="nil"/>
              <w:left w:val="nil"/>
              <w:bottom w:val="nil"/>
              <w:right w:val="nil"/>
            </w:tcBorders>
            <w:shd w:val="clear" w:color="000000" w:fill="FFFFFF"/>
            <w:noWrap/>
            <w:vAlign w:val="bottom"/>
            <w:hideMark/>
          </w:tcPr>
          <w:p w14:paraId="3DDEFBC2" w14:textId="77777777" w:rsidR="00C40522" w:rsidRPr="00236014" w:rsidRDefault="00C40522" w:rsidP="00C40522">
            <w:pPr>
              <w:jc w:val="right"/>
              <w:rPr>
                <w:b/>
                <w:bCs/>
                <w:lang w:val="es-GT" w:eastAsia="es-GT"/>
              </w:rPr>
            </w:pPr>
            <w:r w:rsidRPr="00236014">
              <w:rPr>
                <w:b/>
                <w:bCs/>
                <w:lang w:val="es-GT" w:eastAsia="es-GT"/>
              </w:rPr>
              <w:t>0.5%</w:t>
            </w:r>
          </w:p>
        </w:tc>
        <w:tc>
          <w:tcPr>
            <w:tcW w:w="940" w:type="dxa"/>
            <w:tcBorders>
              <w:top w:val="nil"/>
              <w:left w:val="nil"/>
              <w:bottom w:val="nil"/>
              <w:right w:val="nil"/>
            </w:tcBorders>
            <w:shd w:val="clear" w:color="000000" w:fill="FFFFFF"/>
            <w:noWrap/>
            <w:vAlign w:val="bottom"/>
            <w:hideMark/>
          </w:tcPr>
          <w:p w14:paraId="2E6D28CE" w14:textId="77777777" w:rsidR="00C40522" w:rsidRPr="00236014" w:rsidRDefault="00C40522" w:rsidP="00C40522">
            <w:pPr>
              <w:jc w:val="right"/>
              <w:rPr>
                <w:b/>
                <w:bCs/>
                <w:lang w:val="es-GT" w:eastAsia="es-GT"/>
              </w:rPr>
            </w:pPr>
            <w:r w:rsidRPr="00236014">
              <w:rPr>
                <w:b/>
                <w:bCs/>
                <w:lang w:val="es-GT" w:eastAsia="es-GT"/>
              </w:rPr>
              <w:t>0.8%</w:t>
            </w:r>
          </w:p>
        </w:tc>
        <w:tc>
          <w:tcPr>
            <w:tcW w:w="1154" w:type="dxa"/>
            <w:tcBorders>
              <w:top w:val="nil"/>
              <w:left w:val="nil"/>
              <w:bottom w:val="nil"/>
              <w:right w:val="nil"/>
            </w:tcBorders>
            <w:shd w:val="clear" w:color="000000" w:fill="FFFFFF"/>
            <w:noWrap/>
            <w:vAlign w:val="bottom"/>
            <w:hideMark/>
          </w:tcPr>
          <w:p w14:paraId="2CC32CD2" w14:textId="77777777" w:rsidR="00C40522" w:rsidRPr="00236014" w:rsidRDefault="00C40522" w:rsidP="00C40522">
            <w:pPr>
              <w:jc w:val="right"/>
              <w:rPr>
                <w:b/>
                <w:bCs/>
                <w:lang w:val="es-GT" w:eastAsia="es-GT"/>
              </w:rPr>
            </w:pPr>
            <w:r w:rsidRPr="00236014">
              <w:rPr>
                <w:b/>
                <w:bCs/>
                <w:lang w:val="es-GT" w:eastAsia="es-GT"/>
              </w:rPr>
              <w:t> </w:t>
            </w:r>
          </w:p>
        </w:tc>
        <w:tc>
          <w:tcPr>
            <w:tcW w:w="1087" w:type="dxa"/>
            <w:tcBorders>
              <w:top w:val="nil"/>
              <w:left w:val="nil"/>
              <w:bottom w:val="nil"/>
              <w:right w:val="nil"/>
            </w:tcBorders>
            <w:shd w:val="clear" w:color="000000" w:fill="FFFFFF"/>
            <w:noWrap/>
            <w:vAlign w:val="bottom"/>
            <w:hideMark/>
          </w:tcPr>
          <w:p w14:paraId="569B40CA" w14:textId="77777777" w:rsidR="00C40522" w:rsidRPr="00236014" w:rsidRDefault="00C40522" w:rsidP="00C40522">
            <w:pPr>
              <w:jc w:val="right"/>
              <w:rPr>
                <w:b/>
                <w:bCs/>
                <w:lang w:val="es-GT" w:eastAsia="es-GT"/>
              </w:rPr>
            </w:pPr>
            <w:r w:rsidRPr="00236014">
              <w:rPr>
                <w:b/>
                <w:bCs/>
                <w:lang w:val="es-GT" w:eastAsia="es-GT"/>
              </w:rPr>
              <w:t> </w:t>
            </w:r>
          </w:p>
        </w:tc>
      </w:tr>
    </w:tbl>
    <w:p w14:paraId="411CA13F" w14:textId="443EA355" w:rsidR="00C40522" w:rsidRPr="00E4580C" w:rsidRDefault="00236014" w:rsidP="00C40522">
      <w:pPr>
        <w:jc w:val="both"/>
        <w:rPr>
          <w:sz w:val="18"/>
          <w:lang w:val="es-MX"/>
        </w:rPr>
      </w:pPr>
      <w:r>
        <w:rPr>
          <w:sz w:val="18"/>
          <w:lang w:val="es-MX"/>
        </w:rPr>
        <w:t xml:space="preserve">  </w:t>
      </w:r>
      <w:r w:rsidR="00C40522" w:rsidRPr="00E4580C">
        <w:rPr>
          <w:sz w:val="18"/>
          <w:lang w:val="es-MX"/>
        </w:rPr>
        <w:t>Fuente: Ministerio de Finanzas Públicas</w:t>
      </w:r>
      <w:r w:rsidR="00C40522">
        <w:rPr>
          <w:sz w:val="18"/>
          <w:lang w:val="es-MX"/>
        </w:rPr>
        <w:t>,</w:t>
      </w:r>
      <w:r w:rsidR="00C40522" w:rsidRPr="00E4580C">
        <w:rPr>
          <w:sz w:val="18"/>
          <w:lang w:val="es-MX"/>
        </w:rPr>
        <w:t xml:space="preserve"> SICOIN.</w:t>
      </w:r>
    </w:p>
    <w:p w14:paraId="0262C628" w14:textId="509D85CC" w:rsidR="00C40522" w:rsidRDefault="00C40522" w:rsidP="00C40522">
      <w:pPr>
        <w:jc w:val="both"/>
        <w:rPr>
          <w:lang w:val="es-MX"/>
        </w:rPr>
      </w:pPr>
    </w:p>
    <w:p w14:paraId="4622D154" w14:textId="77777777" w:rsidR="00D553AD" w:rsidRPr="00D553AD" w:rsidRDefault="00D553AD" w:rsidP="00C40522">
      <w:pPr>
        <w:jc w:val="both"/>
        <w:rPr>
          <w:lang w:val="es-MX"/>
        </w:rPr>
      </w:pPr>
    </w:p>
    <w:p w14:paraId="22589EF6" w14:textId="7D0A34A3" w:rsidR="00C40522" w:rsidRPr="00A840E5" w:rsidRDefault="00C40522" w:rsidP="00A840E5">
      <w:pPr>
        <w:pStyle w:val="Ttulo3"/>
        <w:numPr>
          <w:ilvl w:val="0"/>
          <w:numId w:val="5"/>
        </w:numPr>
        <w:ind w:left="426"/>
        <w:rPr>
          <w:rFonts w:ascii="Times New Roman" w:hAnsi="Times New Roman"/>
          <w:color w:val="auto"/>
          <w:lang w:val="es-MX"/>
        </w:rPr>
      </w:pPr>
      <w:bookmarkStart w:id="25" w:name="_Toc114732539"/>
      <w:bookmarkStart w:id="26" w:name="_Toc142920543"/>
      <w:r w:rsidRPr="00FB6AC8">
        <w:rPr>
          <w:rFonts w:ascii="Times New Roman" w:hAnsi="Times New Roman"/>
          <w:color w:val="auto"/>
          <w:lang w:val="es-MX"/>
        </w:rPr>
        <w:t>Gasto Ejecutado a través de Organizaciones No Gubernamentales</w:t>
      </w:r>
      <w:bookmarkEnd w:id="25"/>
      <w:bookmarkEnd w:id="26"/>
    </w:p>
    <w:p w14:paraId="3CD70036" w14:textId="77777777" w:rsidR="00C40522" w:rsidRPr="00E4580C" w:rsidRDefault="00C40522" w:rsidP="00C40522">
      <w:pPr>
        <w:jc w:val="both"/>
        <w:rPr>
          <w:lang w:val="es-MX"/>
        </w:rPr>
      </w:pPr>
    </w:p>
    <w:p w14:paraId="1F2FF4FB" w14:textId="600D12DE" w:rsidR="00C40522" w:rsidRDefault="00C40522" w:rsidP="00C40522">
      <w:pPr>
        <w:jc w:val="both"/>
        <w:rPr>
          <w:lang w:val="es-MX"/>
        </w:rPr>
      </w:pPr>
      <w:r>
        <w:rPr>
          <w:lang w:val="es-MX"/>
        </w:rPr>
        <w:t xml:space="preserve">Otra de las modalidades que utiliza el gobierno para ejecutar el presupuesto general de la nación es a través de Organizaciones No Gubernamentales, que son transferencias a entidades del sector privado </w:t>
      </w:r>
      <w:r w:rsidR="00F903C4">
        <w:rPr>
          <w:lang w:val="es-MX"/>
        </w:rPr>
        <w:t xml:space="preserve">o externo </w:t>
      </w:r>
      <w:r>
        <w:rPr>
          <w:lang w:val="es-MX"/>
        </w:rPr>
        <w:t>que cumplen funciones que permiten prestar apoyo y servicio</w:t>
      </w:r>
      <w:r w:rsidR="00F903C4">
        <w:rPr>
          <w:lang w:val="es-MX"/>
        </w:rPr>
        <w:t>s</w:t>
      </w:r>
      <w:r>
        <w:rPr>
          <w:lang w:val="es-MX"/>
        </w:rPr>
        <w:t xml:space="preserve"> a la población de las comunidades con menor acceso a los servicios públicos.</w:t>
      </w:r>
    </w:p>
    <w:p w14:paraId="0DD6011A" w14:textId="77777777" w:rsidR="00C40522" w:rsidRDefault="00C40522" w:rsidP="00C40522">
      <w:pPr>
        <w:jc w:val="both"/>
        <w:rPr>
          <w:lang w:val="es-MX"/>
        </w:rPr>
      </w:pPr>
    </w:p>
    <w:p w14:paraId="65F4F399" w14:textId="73E07AEE" w:rsidR="00C40522" w:rsidRPr="00FB641E" w:rsidRDefault="00C40522" w:rsidP="00C40522">
      <w:pPr>
        <w:jc w:val="both"/>
        <w:rPr>
          <w:lang w:val="es-MX"/>
        </w:rPr>
      </w:pPr>
      <w:r>
        <w:rPr>
          <w:lang w:val="es-MX"/>
        </w:rPr>
        <w:t xml:space="preserve">Derivado de lo anterior, al </w:t>
      </w:r>
      <w:r w:rsidRPr="00FB641E">
        <w:rPr>
          <w:lang w:val="es-MX"/>
        </w:rPr>
        <w:t>30 de junio de 20</w:t>
      </w:r>
      <w:r>
        <w:rPr>
          <w:lang w:val="es-MX"/>
        </w:rPr>
        <w:t>23,</w:t>
      </w:r>
      <w:r w:rsidRPr="00FB641E">
        <w:rPr>
          <w:lang w:val="es-MX"/>
        </w:rPr>
        <w:t xml:space="preserve"> </w:t>
      </w:r>
      <w:r>
        <w:rPr>
          <w:lang w:val="es-MX"/>
        </w:rPr>
        <w:t>la ejecución a través de Organizaciones No Gubernamentales asciende al monto de</w:t>
      </w:r>
      <w:r w:rsidRPr="00FB641E">
        <w:rPr>
          <w:lang w:val="es-MX"/>
        </w:rPr>
        <w:t xml:space="preserve"> Q</w:t>
      </w:r>
      <w:r>
        <w:rPr>
          <w:lang w:val="es-MX"/>
        </w:rPr>
        <w:t>.775.9 millones</w:t>
      </w:r>
      <w:r w:rsidRPr="00FB641E">
        <w:rPr>
          <w:lang w:val="es-MX"/>
        </w:rPr>
        <w:t>, equivalen</w:t>
      </w:r>
      <w:r>
        <w:rPr>
          <w:lang w:val="es-MX"/>
        </w:rPr>
        <w:t>tes</w:t>
      </w:r>
      <w:r w:rsidRPr="00FB641E">
        <w:rPr>
          <w:lang w:val="es-MX"/>
        </w:rPr>
        <w:t xml:space="preserve"> al </w:t>
      </w:r>
      <w:r>
        <w:rPr>
          <w:lang w:val="es-MX"/>
        </w:rPr>
        <w:t>1.4</w:t>
      </w:r>
      <w:r w:rsidRPr="00FB641E">
        <w:rPr>
          <w:lang w:val="es-MX"/>
        </w:rPr>
        <w:t>% de la ejecución presupuestaria total</w:t>
      </w:r>
      <w:r>
        <w:rPr>
          <w:lang w:val="es-MX"/>
        </w:rPr>
        <w:t xml:space="preserve">; el monto ejecutado es superior </w:t>
      </w:r>
      <w:r w:rsidRPr="00FB641E">
        <w:rPr>
          <w:lang w:val="es-MX"/>
        </w:rPr>
        <w:t>en Q</w:t>
      </w:r>
      <w:r>
        <w:rPr>
          <w:lang w:val="es-MX"/>
        </w:rPr>
        <w:t xml:space="preserve">.54.6 </w:t>
      </w:r>
      <w:r w:rsidRPr="00FB641E">
        <w:rPr>
          <w:lang w:val="es-MX"/>
        </w:rPr>
        <w:t xml:space="preserve">millones respecto </w:t>
      </w:r>
      <w:r>
        <w:rPr>
          <w:lang w:val="es-MX"/>
        </w:rPr>
        <w:t>del mismo período en</w:t>
      </w:r>
      <w:r w:rsidRPr="00FB641E">
        <w:rPr>
          <w:lang w:val="es-MX"/>
        </w:rPr>
        <w:t xml:space="preserve"> 20</w:t>
      </w:r>
      <w:r>
        <w:rPr>
          <w:lang w:val="es-MX"/>
        </w:rPr>
        <w:t>22. Las entidades de mayor ejecución son: el Ministerio de Salud Pública y Asistencia Social con Q.416.4 millones</w:t>
      </w:r>
      <w:r w:rsidR="00F903C4">
        <w:rPr>
          <w:lang w:val="es-MX"/>
        </w:rPr>
        <w:t xml:space="preserve">; </w:t>
      </w:r>
      <w:r>
        <w:rPr>
          <w:lang w:val="es-MX"/>
        </w:rPr>
        <w:t>Obligaciones del Estado a Cargo del Tesoro con Q.144.9 millones</w:t>
      </w:r>
      <w:r w:rsidR="00F903C4">
        <w:rPr>
          <w:lang w:val="es-MX"/>
        </w:rPr>
        <w:t>;</w:t>
      </w:r>
      <w:r>
        <w:rPr>
          <w:lang w:val="es-MX"/>
        </w:rPr>
        <w:t xml:space="preserve"> </w:t>
      </w:r>
      <w:r w:rsidRPr="00FB641E">
        <w:rPr>
          <w:lang w:val="es-MX"/>
        </w:rPr>
        <w:t>e</w:t>
      </w:r>
      <w:r>
        <w:rPr>
          <w:lang w:val="es-MX"/>
        </w:rPr>
        <w:t xml:space="preserve">l Ministerio de Educación con Q.158.6 millones; el Ministerio de Agricultura, Ganadería y Alimentación con Q.18.7 millones; el Ministerio de Desarrollo Social con Q.25.0 millones; el Ministerio de Cultura y Deportes con Q.10.7 millones; </w:t>
      </w:r>
      <w:r w:rsidR="00F903C4">
        <w:rPr>
          <w:lang w:val="es-MX"/>
        </w:rPr>
        <w:t xml:space="preserve">y </w:t>
      </w:r>
      <w:r>
        <w:rPr>
          <w:lang w:val="es-MX"/>
        </w:rPr>
        <w:t>las demás entidades han ejecutado Q.1.6 millones en su conjunto.</w:t>
      </w:r>
    </w:p>
    <w:p w14:paraId="0132146B" w14:textId="360CA743" w:rsidR="00C40522" w:rsidRDefault="00C40522" w:rsidP="00C40522">
      <w:pPr>
        <w:rPr>
          <w:b/>
          <w:sz w:val="22"/>
          <w:lang w:val="es-MX"/>
        </w:rPr>
      </w:pPr>
    </w:p>
    <w:p w14:paraId="1E79812B" w14:textId="365D2191" w:rsidR="000B5A34" w:rsidRDefault="000B5A34" w:rsidP="00C40522">
      <w:pPr>
        <w:rPr>
          <w:b/>
          <w:sz w:val="22"/>
          <w:lang w:val="es-MX"/>
        </w:rPr>
      </w:pPr>
    </w:p>
    <w:p w14:paraId="2DDD9470" w14:textId="28946195" w:rsidR="000B5A34" w:rsidRDefault="000B5A34" w:rsidP="00C40522">
      <w:pPr>
        <w:rPr>
          <w:b/>
          <w:sz w:val="22"/>
          <w:lang w:val="es-MX"/>
        </w:rPr>
      </w:pPr>
    </w:p>
    <w:p w14:paraId="5F706340" w14:textId="759C6B15" w:rsidR="000B5A34" w:rsidRDefault="000B5A34" w:rsidP="00C40522">
      <w:pPr>
        <w:rPr>
          <w:b/>
          <w:sz w:val="22"/>
          <w:lang w:val="es-MX"/>
        </w:rPr>
      </w:pPr>
    </w:p>
    <w:p w14:paraId="0CC506DC" w14:textId="7DA4CDB5" w:rsidR="000B5A34" w:rsidRDefault="000B5A34" w:rsidP="00C40522">
      <w:pPr>
        <w:rPr>
          <w:b/>
          <w:sz w:val="22"/>
          <w:lang w:val="es-MX"/>
        </w:rPr>
      </w:pPr>
    </w:p>
    <w:p w14:paraId="367483E7" w14:textId="2EF5052B" w:rsidR="000B5A34" w:rsidRDefault="000B5A34" w:rsidP="00C40522">
      <w:pPr>
        <w:rPr>
          <w:b/>
          <w:sz w:val="22"/>
          <w:lang w:val="es-MX"/>
        </w:rPr>
      </w:pPr>
    </w:p>
    <w:p w14:paraId="08D40AB5" w14:textId="77777777" w:rsidR="000B5A34" w:rsidRDefault="000B5A34" w:rsidP="00C40522">
      <w:pPr>
        <w:rPr>
          <w:b/>
          <w:sz w:val="22"/>
          <w:lang w:val="es-MX"/>
        </w:rPr>
      </w:pPr>
    </w:p>
    <w:p w14:paraId="79460C8F" w14:textId="77777777" w:rsidR="00C40522" w:rsidRPr="007F6AD4" w:rsidRDefault="00C40522" w:rsidP="00C40522">
      <w:pPr>
        <w:jc w:val="center"/>
        <w:rPr>
          <w:b/>
          <w:szCs w:val="22"/>
          <w:lang w:val="es-MX"/>
        </w:rPr>
      </w:pPr>
      <w:r w:rsidRPr="007F6AD4">
        <w:rPr>
          <w:b/>
          <w:szCs w:val="22"/>
          <w:lang w:val="es-MX"/>
        </w:rPr>
        <w:t>Cuadro 1</w:t>
      </w:r>
      <w:r>
        <w:rPr>
          <w:b/>
          <w:szCs w:val="22"/>
          <w:lang w:val="es-MX"/>
        </w:rPr>
        <w:t>2</w:t>
      </w:r>
    </w:p>
    <w:p w14:paraId="0F5CB2EE" w14:textId="77777777" w:rsidR="00C40522" w:rsidRPr="007F6AD4" w:rsidRDefault="00C40522" w:rsidP="00C40522">
      <w:pPr>
        <w:jc w:val="center"/>
        <w:rPr>
          <w:b/>
          <w:szCs w:val="22"/>
          <w:lang w:val="es-MX"/>
        </w:rPr>
      </w:pPr>
      <w:r w:rsidRPr="007F6AD4">
        <w:rPr>
          <w:b/>
          <w:szCs w:val="22"/>
          <w:lang w:val="es-MX"/>
        </w:rPr>
        <w:t>Aportes Realizados a Organizaciones No Gubernamentales -ONG-</w:t>
      </w:r>
    </w:p>
    <w:p w14:paraId="7248FF8B" w14:textId="77777777" w:rsidR="00C40522" w:rsidRPr="007F6AD4" w:rsidRDefault="00C40522" w:rsidP="00C40522">
      <w:pPr>
        <w:jc w:val="center"/>
        <w:rPr>
          <w:b/>
          <w:szCs w:val="22"/>
          <w:lang w:val="es-MX"/>
        </w:rPr>
      </w:pPr>
      <w:r w:rsidRPr="007F6AD4">
        <w:rPr>
          <w:b/>
          <w:szCs w:val="22"/>
          <w:lang w:val="es-MX"/>
        </w:rPr>
        <w:t>Al 30 de junio de cada año</w:t>
      </w:r>
    </w:p>
    <w:p w14:paraId="75806257" w14:textId="77777777" w:rsidR="00C40522" w:rsidRPr="007F6AD4" w:rsidRDefault="00C40522" w:rsidP="00C40522">
      <w:pPr>
        <w:jc w:val="center"/>
        <w:rPr>
          <w:b/>
          <w:szCs w:val="22"/>
          <w:lang w:val="es-MX"/>
        </w:rPr>
      </w:pPr>
      <w:r w:rsidRPr="007F6AD4">
        <w:rPr>
          <w:b/>
          <w:szCs w:val="22"/>
          <w:lang w:val="es-MX"/>
        </w:rPr>
        <w:t>(Cifras en Millones de Quetzales)</w:t>
      </w:r>
    </w:p>
    <w:tbl>
      <w:tblPr>
        <w:tblW w:w="9204" w:type="dxa"/>
        <w:tblCellMar>
          <w:left w:w="70" w:type="dxa"/>
          <w:right w:w="70" w:type="dxa"/>
        </w:tblCellMar>
        <w:tblLook w:val="04A0" w:firstRow="1" w:lastRow="0" w:firstColumn="1" w:lastColumn="0" w:noHBand="0" w:noVBand="1"/>
      </w:tblPr>
      <w:tblGrid>
        <w:gridCol w:w="4385"/>
        <w:gridCol w:w="1107"/>
        <w:gridCol w:w="1019"/>
        <w:gridCol w:w="1417"/>
        <w:gridCol w:w="1276"/>
      </w:tblGrid>
      <w:tr w:rsidR="00C40522" w:rsidRPr="000B5A34" w14:paraId="42977C11" w14:textId="77777777" w:rsidTr="00E10E8E">
        <w:trPr>
          <w:trHeight w:val="315"/>
        </w:trPr>
        <w:tc>
          <w:tcPr>
            <w:tcW w:w="4385" w:type="dxa"/>
            <w:vMerge w:val="restart"/>
            <w:tcBorders>
              <w:top w:val="single" w:sz="8" w:space="0" w:color="auto"/>
              <w:left w:val="single" w:sz="8" w:space="0" w:color="auto"/>
              <w:bottom w:val="single" w:sz="4" w:space="0" w:color="000000"/>
              <w:right w:val="nil"/>
            </w:tcBorders>
            <w:shd w:val="clear" w:color="auto" w:fill="00B0F0"/>
            <w:vAlign w:val="center"/>
            <w:hideMark/>
          </w:tcPr>
          <w:p w14:paraId="5949A4B5" w14:textId="77777777" w:rsidR="00C40522" w:rsidRPr="004001E9" w:rsidRDefault="00C40522" w:rsidP="00C40522">
            <w:pPr>
              <w:jc w:val="center"/>
              <w:rPr>
                <w:b/>
                <w:bCs/>
                <w:szCs w:val="22"/>
                <w:lang w:val="es-GT" w:eastAsia="es-GT"/>
              </w:rPr>
            </w:pPr>
            <w:r w:rsidRPr="004001E9">
              <w:rPr>
                <w:b/>
                <w:bCs/>
                <w:szCs w:val="22"/>
                <w:lang w:val="es-GT" w:eastAsia="es-GT"/>
              </w:rPr>
              <w:t>Entidad</w:t>
            </w:r>
          </w:p>
        </w:tc>
        <w:tc>
          <w:tcPr>
            <w:tcW w:w="1107"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79408C64" w14:textId="77777777" w:rsidR="00C40522" w:rsidRPr="004001E9" w:rsidRDefault="00C40522" w:rsidP="00C40522">
            <w:pPr>
              <w:jc w:val="center"/>
              <w:rPr>
                <w:b/>
                <w:bCs/>
                <w:szCs w:val="22"/>
                <w:lang w:val="es-GT" w:eastAsia="es-GT"/>
              </w:rPr>
            </w:pPr>
            <w:r w:rsidRPr="004001E9">
              <w:rPr>
                <w:b/>
                <w:bCs/>
                <w:szCs w:val="22"/>
                <w:lang w:val="es-GT" w:eastAsia="es-GT"/>
              </w:rPr>
              <w:t>2022</w:t>
            </w:r>
          </w:p>
        </w:tc>
        <w:tc>
          <w:tcPr>
            <w:tcW w:w="1019" w:type="dxa"/>
            <w:vMerge w:val="restart"/>
            <w:tcBorders>
              <w:top w:val="single" w:sz="8" w:space="0" w:color="auto"/>
              <w:left w:val="single" w:sz="4" w:space="0" w:color="auto"/>
              <w:bottom w:val="single" w:sz="4" w:space="0" w:color="000000"/>
              <w:right w:val="single" w:sz="4" w:space="0" w:color="auto"/>
            </w:tcBorders>
            <w:shd w:val="clear" w:color="auto" w:fill="00B0F0"/>
            <w:vAlign w:val="center"/>
            <w:hideMark/>
          </w:tcPr>
          <w:p w14:paraId="3C56D3F6" w14:textId="77777777" w:rsidR="00C40522" w:rsidRPr="004001E9" w:rsidRDefault="00C40522" w:rsidP="00C40522">
            <w:pPr>
              <w:jc w:val="center"/>
              <w:rPr>
                <w:b/>
                <w:bCs/>
                <w:szCs w:val="22"/>
                <w:lang w:val="es-GT" w:eastAsia="es-GT"/>
              </w:rPr>
            </w:pPr>
            <w:r w:rsidRPr="004001E9">
              <w:rPr>
                <w:b/>
                <w:bCs/>
                <w:szCs w:val="22"/>
                <w:lang w:val="es-GT" w:eastAsia="es-GT"/>
              </w:rPr>
              <w:t>2023</w:t>
            </w:r>
          </w:p>
        </w:tc>
        <w:tc>
          <w:tcPr>
            <w:tcW w:w="2693" w:type="dxa"/>
            <w:gridSpan w:val="2"/>
            <w:tcBorders>
              <w:top w:val="single" w:sz="8" w:space="0" w:color="auto"/>
              <w:left w:val="nil"/>
              <w:bottom w:val="single" w:sz="4" w:space="0" w:color="auto"/>
              <w:right w:val="single" w:sz="8" w:space="0" w:color="000000"/>
            </w:tcBorders>
            <w:shd w:val="clear" w:color="auto" w:fill="00B0F0"/>
            <w:noWrap/>
            <w:vAlign w:val="center"/>
            <w:hideMark/>
          </w:tcPr>
          <w:p w14:paraId="6A0E531D" w14:textId="77777777" w:rsidR="00C40522" w:rsidRPr="004001E9" w:rsidRDefault="00C40522" w:rsidP="00C40522">
            <w:pPr>
              <w:jc w:val="center"/>
              <w:rPr>
                <w:b/>
                <w:bCs/>
                <w:szCs w:val="22"/>
                <w:lang w:val="es-GT" w:eastAsia="es-GT"/>
              </w:rPr>
            </w:pPr>
            <w:r w:rsidRPr="004001E9">
              <w:rPr>
                <w:b/>
                <w:bCs/>
                <w:szCs w:val="22"/>
                <w:lang w:val="es-GT" w:eastAsia="es-GT"/>
              </w:rPr>
              <w:t>Diferencias</w:t>
            </w:r>
          </w:p>
        </w:tc>
      </w:tr>
      <w:tr w:rsidR="00C40522" w:rsidRPr="000B5A34" w14:paraId="2EA06123" w14:textId="77777777" w:rsidTr="00E10E8E">
        <w:trPr>
          <w:trHeight w:val="315"/>
        </w:trPr>
        <w:tc>
          <w:tcPr>
            <w:tcW w:w="4385" w:type="dxa"/>
            <w:vMerge/>
            <w:tcBorders>
              <w:top w:val="single" w:sz="8" w:space="0" w:color="auto"/>
              <w:left w:val="single" w:sz="8" w:space="0" w:color="auto"/>
              <w:bottom w:val="single" w:sz="4" w:space="0" w:color="000000"/>
              <w:right w:val="nil"/>
            </w:tcBorders>
            <w:vAlign w:val="center"/>
            <w:hideMark/>
          </w:tcPr>
          <w:p w14:paraId="487F6DAB" w14:textId="77777777" w:rsidR="00C40522" w:rsidRPr="004001E9" w:rsidRDefault="00C40522" w:rsidP="00C40522">
            <w:pPr>
              <w:rPr>
                <w:b/>
                <w:bCs/>
                <w:szCs w:val="22"/>
                <w:lang w:val="es-GT" w:eastAsia="es-GT"/>
              </w:rPr>
            </w:pPr>
          </w:p>
        </w:tc>
        <w:tc>
          <w:tcPr>
            <w:tcW w:w="1107" w:type="dxa"/>
            <w:vMerge/>
            <w:tcBorders>
              <w:top w:val="single" w:sz="8" w:space="0" w:color="auto"/>
              <w:left w:val="single" w:sz="4" w:space="0" w:color="auto"/>
              <w:bottom w:val="single" w:sz="4" w:space="0" w:color="000000"/>
              <w:right w:val="single" w:sz="4" w:space="0" w:color="auto"/>
            </w:tcBorders>
            <w:vAlign w:val="center"/>
            <w:hideMark/>
          </w:tcPr>
          <w:p w14:paraId="5B9F1CA0" w14:textId="77777777" w:rsidR="00C40522" w:rsidRPr="004001E9" w:rsidRDefault="00C40522" w:rsidP="00C40522">
            <w:pPr>
              <w:rPr>
                <w:b/>
                <w:bCs/>
                <w:szCs w:val="22"/>
                <w:lang w:val="es-GT" w:eastAsia="es-GT"/>
              </w:rPr>
            </w:pPr>
          </w:p>
        </w:tc>
        <w:tc>
          <w:tcPr>
            <w:tcW w:w="1019" w:type="dxa"/>
            <w:vMerge/>
            <w:tcBorders>
              <w:top w:val="single" w:sz="8" w:space="0" w:color="auto"/>
              <w:left w:val="single" w:sz="4" w:space="0" w:color="auto"/>
              <w:bottom w:val="single" w:sz="4" w:space="0" w:color="000000"/>
              <w:right w:val="single" w:sz="4" w:space="0" w:color="auto"/>
            </w:tcBorders>
            <w:vAlign w:val="center"/>
            <w:hideMark/>
          </w:tcPr>
          <w:p w14:paraId="021A085C" w14:textId="77777777" w:rsidR="00C40522" w:rsidRPr="004001E9" w:rsidRDefault="00C40522" w:rsidP="00C40522">
            <w:pPr>
              <w:rPr>
                <w:b/>
                <w:bCs/>
                <w:szCs w:val="22"/>
                <w:lang w:val="es-GT" w:eastAsia="es-GT"/>
              </w:rPr>
            </w:pPr>
          </w:p>
        </w:tc>
        <w:tc>
          <w:tcPr>
            <w:tcW w:w="1417" w:type="dxa"/>
            <w:tcBorders>
              <w:top w:val="single" w:sz="4" w:space="0" w:color="auto"/>
              <w:left w:val="nil"/>
              <w:bottom w:val="single" w:sz="4" w:space="0" w:color="auto"/>
              <w:right w:val="single" w:sz="4" w:space="0" w:color="auto"/>
            </w:tcBorders>
            <w:shd w:val="clear" w:color="auto" w:fill="00B0F0"/>
            <w:noWrap/>
            <w:vAlign w:val="center"/>
            <w:hideMark/>
          </w:tcPr>
          <w:p w14:paraId="3BBF69EB" w14:textId="77777777" w:rsidR="00C40522" w:rsidRPr="004001E9" w:rsidRDefault="00C40522" w:rsidP="00C40522">
            <w:pPr>
              <w:jc w:val="center"/>
              <w:rPr>
                <w:b/>
                <w:bCs/>
                <w:szCs w:val="22"/>
                <w:lang w:val="es-GT" w:eastAsia="es-GT"/>
              </w:rPr>
            </w:pPr>
            <w:r w:rsidRPr="004001E9">
              <w:rPr>
                <w:b/>
                <w:bCs/>
                <w:szCs w:val="22"/>
                <w:lang w:val="es-GT" w:eastAsia="es-GT"/>
              </w:rPr>
              <w:t>Absolutas</w:t>
            </w:r>
          </w:p>
        </w:tc>
        <w:tc>
          <w:tcPr>
            <w:tcW w:w="1276" w:type="dxa"/>
            <w:tcBorders>
              <w:top w:val="single" w:sz="4" w:space="0" w:color="auto"/>
              <w:left w:val="nil"/>
              <w:bottom w:val="single" w:sz="4" w:space="0" w:color="auto"/>
              <w:right w:val="single" w:sz="8" w:space="0" w:color="auto"/>
            </w:tcBorders>
            <w:shd w:val="clear" w:color="auto" w:fill="00B0F0"/>
            <w:noWrap/>
            <w:vAlign w:val="center"/>
            <w:hideMark/>
          </w:tcPr>
          <w:p w14:paraId="394F3491" w14:textId="77777777" w:rsidR="00C40522" w:rsidRPr="004001E9" w:rsidRDefault="00C40522" w:rsidP="00C40522">
            <w:pPr>
              <w:jc w:val="center"/>
              <w:rPr>
                <w:b/>
                <w:bCs/>
                <w:szCs w:val="22"/>
                <w:lang w:val="es-GT" w:eastAsia="es-GT"/>
              </w:rPr>
            </w:pPr>
            <w:r w:rsidRPr="004001E9">
              <w:rPr>
                <w:b/>
                <w:bCs/>
                <w:szCs w:val="22"/>
                <w:lang w:val="es-GT" w:eastAsia="es-GT"/>
              </w:rPr>
              <w:t>Relativas</w:t>
            </w:r>
          </w:p>
        </w:tc>
      </w:tr>
      <w:tr w:rsidR="00C40522" w:rsidRPr="000B5A34" w14:paraId="66B3DCF2"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59BB59F9" w14:textId="77777777" w:rsidR="00C40522" w:rsidRPr="000B5A34" w:rsidRDefault="00C40522" w:rsidP="00C40522">
            <w:pPr>
              <w:jc w:val="center"/>
              <w:rPr>
                <w:b/>
                <w:bCs/>
                <w:color w:val="000000"/>
                <w:sz w:val="22"/>
                <w:szCs w:val="22"/>
                <w:lang w:val="es-GT" w:eastAsia="es-GT"/>
              </w:rPr>
            </w:pPr>
            <w:r w:rsidRPr="000B5A34">
              <w:rPr>
                <w:b/>
                <w:bCs/>
                <w:color w:val="000000"/>
                <w:sz w:val="22"/>
                <w:szCs w:val="22"/>
                <w:lang w:val="es-GT" w:eastAsia="es-GT"/>
              </w:rPr>
              <w:t>Total</w:t>
            </w:r>
          </w:p>
        </w:tc>
        <w:tc>
          <w:tcPr>
            <w:tcW w:w="1107" w:type="dxa"/>
            <w:tcBorders>
              <w:top w:val="nil"/>
              <w:left w:val="single" w:sz="4" w:space="0" w:color="auto"/>
              <w:bottom w:val="nil"/>
              <w:right w:val="single" w:sz="4" w:space="0" w:color="auto"/>
            </w:tcBorders>
            <w:shd w:val="clear" w:color="000000" w:fill="FFFFFF"/>
            <w:noWrap/>
            <w:vAlign w:val="center"/>
            <w:hideMark/>
          </w:tcPr>
          <w:p w14:paraId="037792A2" w14:textId="1629056C" w:rsidR="00C40522" w:rsidRPr="000B5A34" w:rsidRDefault="00C40522" w:rsidP="000B5A34">
            <w:pPr>
              <w:jc w:val="right"/>
              <w:rPr>
                <w:b/>
                <w:bCs/>
                <w:color w:val="000000"/>
                <w:sz w:val="22"/>
                <w:szCs w:val="22"/>
                <w:lang w:val="es-GT" w:eastAsia="es-GT"/>
              </w:rPr>
            </w:pPr>
            <w:r w:rsidRPr="000B5A34">
              <w:rPr>
                <w:b/>
                <w:bCs/>
                <w:color w:val="000000"/>
                <w:sz w:val="22"/>
                <w:szCs w:val="22"/>
                <w:lang w:val="es-GT" w:eastAsia="es-GT"/>
              </w:rPr>
              <w:t>723.3</w:t>
            </w:r>
          </w:p>
        </w:tc>
        <w:tc>
          <w:tcPr>
            <w:tcW w:w="1019" w:type="dxa"/>
            <w:tcBorders>
              <w:top w:val="nil"/>
              <w:left w:val="nil"/>
              <w:bottom w:val="nil"/>
              <w:right w:val="single" w:sz="4" w:space="0" w:color="auto"/>
            </w:tcBorders>
            <w:shd w:val="clear" w:color="000000" w:fill="FFFFFF"/>
            <w:noWrap/>
            <w:vAlign w:val="center"/>
            <w:hideMark/>
          </w:tcPr>
          <w:p w14:paraId="1D40F6EB" w14:textId="482D92C7" w:rsidR="00C40522" w:rsidRPr="000B5A34" w:rsidRDefault="00C40522" w:rsidP="000B5A34">
            <w:pPr>
              <w:jc w:val="right"/>
              <w:rPr>
                <w:b/>
                <w:bCs/>
                <w:color w:val="000000"/>
                <w:sz w:val="22"/>
                <w:szCs w:val="22"/>
                <w:lang w:val="es-GT" w:eastAsia="es-GT"/>
              </w:rPr>
            </w:pPr>
            <w:r w:rsidRPr="000B5A34">
              <w:rPr>
                <w:b/>
                <w:bCs/>
                <w:color w:val="000000"/>
                <w:sz w:val="22"/>
                <w:szCs w:val="22"/>
                <w:lang w:val="es-GT" w:eastAsia="es-GT"/>
              </w:rPr>
              <w:t>775.9</w:t>
            </w:r>
          </w:p>
        </w:tc>
        <w:tc>
          <w:tcPr>
            <w:tcW w:w="1417" w:type="dxa"/>
            <w:tcBorders>
              <w:top w:val="nil"/>
              <w:left w:val="nil"/>
              <w:bottom w:val="nil"/>
              <w:right w:val="single" w:sz="4" w:space="0" w:color="auto"/>
            </w:tcBorders>
            <w:shd w:val="clear" w:color="000000" w:fill="FFFFFF"/>
            <w:noWrap/>
            <w:vAlign w:val="center"/>
            <w:hideMark/>
          </w:tcPr>
          <w:p w14:paraId="604D5356" w14:textId="6F7F82C2" w:rsidR="00C40522" w:rsidRPr="000B5A34" w:rsidRDefault="00C40522" w:rsidP="000B5A34">
            <w:pPr>
              <w:jc w:val="right"/>
              <w:rPr>
                <w:b/>
                <w:bCs/>
                <w:color w:val="000000"/>
                <w:sz w:val="22"/>
                <w:szCs w:val="22"/>
                <w:lang w:val="es-GT" w:eastAsia="es-GT"/>
              </w:rPr>
            </w:pPr>
            <w:r w:rsidRPr="000B5A34">
              <w:rPr>
                <w:b/>
                <w:bCs/>
                <w:color w:val="000000"/>
                <w:sz w:val="22"/>
                <w:szCs w:val="22"/>
                <w:lang w:val="es-GT" w:eastAsia="es-GT"/>
              </w:rPr>
              <w:t>54.6</w:t>
            </w:r>
          </w:p>
        </w:tc>
        <w:tc>
          <w:tcPr>
            <w:tcW w:w="1276" w:type="dxa"/>
            <w:tcBorders>
              <w:top w:val="nil"/>
              <w:left w:val="nil"/>
              <w:bottom w:val="nil"/>
              <w:right w:val="single" w:sz="8" w:space="0" w:color="auto"/>
            </w:tcBorders>
            <w:shd w:val="clear" w:color="000000" w:fill="FFFFFF"/>
            <w:noWrap/>
            <w:vAlign w:val="center"/>
            <w:hideMark/>
          </w:tcPr>
          <w:p w14:paraId="1182EC67" w14:textId="77777777" w:rsidR="00C40522" w:rsidRPr="000B5A34" w:rsidRDefault="00C40522" w:rsidP="000B5A34">
            <w:pPr>
              <w:jc w:val="right"/>
              <w:rPr>
                <w:b/>
                <w:bCs/>
                <w:color w:val="000000"/>
                <w:sz w:val="22"/>
                <w:szCs w:val="22"/>
                <w:lang w:val="es-GT" w:eastAsia="es-GT"/>
              </w:rPr>
            </w:pPr>
            <w:r w:rsidRPr="000B5A34">
              <w:rPr>
                <w:b/>
                <w:bCs/>
                <w:color w:val="000000"/>
                <w:sz w:val="22"/>
                <w:szCs w:val="22"/>
                <w:lang w:val="es-GT" w:eastAsia="es-GT"/>
              </w:rPr>
              <w:t>7.5%</w:t>
            </w:r>
          </w:p>
        </w:tc>
      </w:tr>
      <w:tr w:rsidR="00C40522" w:rsidRPr="000B5A34" w14:paraId="78E82BEB"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411D8D9F"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Ministerio de Educación</w:t>
            </w:r>
          </w:p>
        </w:tc>
        <w:tc>
          <w:tcPr>
            <w:tcW w:w="1107" w:type="dxa"/>
            <w:tcBorders>
              <w:top w:val="nil"/>
              <w:left w:val="single" w:sz="4" w:space="0" w:color="auto"/>
              <w:bottom w:val="nil"/>
              <w:right w:val="single" w:sz="4" w:space="0" w:color="auto"/>
            </w:tcBorders>
            <w:shd w:val="clear" w:color="000000" w:fill="FFFFFF"/>
            <w:noWrap/>
            <w:vAlign w:val="center"/>
            <w:hideMark/>
          </w:tcPr>
          <w:p w14:paraId="25CEDC3A"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130.3</w:t>
            </w:r>
          </w:p>
        </w:tc>
        <w:tc>
          <w:tcPr>
            <w:tcW w:w="1019" w:type="dxa"/>
            <w:tcBorders>
              <w:top w:val="nil"/>
              <w:left w:val="nil"/>
              <w:bottom w:val="nil"/>
              <w:right w:val="single" w:sz="4" w:space="0" w:color="auto"/>
            </w:tcBorders>
            <w:shd w:val="clear" w:color="000000" w:fill="FFFFFF"/>
            <w:noWrap/>
            <w:vAlign w:val="center"/>
            <w:hideMark/>
          </w:tcPr>
          <w:p w14:paraId="0BE35592"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158.6</w:t>
            </w:r>
          </w:p>
        </w:tc>
        <w:tc>
          <w:tcPr>
            <w:tcW w:w="1417" w:type="dxa"/>
            <w:tcBorders>
              <w:top w:val="nil"/>
              <w:left w:val="nil"/>
              <w:bottom w:val="nil"/>
              <w:right w:val="single" w:sz="4" w:space="0" w:color="auto"/>
            </w:tcBorders>
            <w:shd w:val="clear" w:color="000000" w:fill="FFFFFF"/>
            <w:noWrap/>
            <w:vAlign w:val="center"/>
            <w:hideMark/>
          </w:tcPr>
          <w:p w14:paraId="2B5673DE"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28.3</w:t>
            </w:r>
          </w:p>
        </w:tc>
        <w:tc>
          <w:tcPr>
            <w:tcW w:w="1276" w:type="dxa"/>
            <w:tcBorders>
              <w:top w:val="nil"/>
              <w:left w:val="nil"/>
              <w:bottom w:val="nil"/>
              <w:right w:val="single" w:sz="8" w:space="0" w:color="auto"/>
            </w:tcBorders>
            <w:shd w:val="clear" w:color="000000" w:fill="FFFFFF"/>
            <w:noWrap/>
            <w:vAlign w:val="center"/>
            <w:hideMark/>
          </w:tcPr>
          <w:p w14:paraId="2EA7DD79"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21.7%</w:t>
            </w:r>
          </w:p>
        </w:tc>
      </w:tr>
      <w:tr w:rsidR="00C40522" w:rsidRPr="000B5A34" w14:paraId="72084BD3"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7DE9C2B7"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Ministerio de Salud Pública y Asistencia Social</w:t>
            </w:r>
          </w:p>
        </w:tc>
        <w:tc>
          <w:tcPr>
            <w:tcW w:w="1107" w:type="dxa"/>
            <w:tcBorders>
              <w:top w:val="nil"/>
              <w:left w:val="single" w:sz="4" w:space="0" w:color="auto"/>
              <w:bottom w:val="nil"/>
              <w:right w:val="single" w:sz="4" w:space="0" w:color="auto"/>
            </w:tcBorders>
            <w:shd w:val="clear" w:color="000000" w:fill="FFFFFF"/>
            <w:noWrap/>
            <w:vAlign w:val="center"/>
            <w:hideMark/>
          </w:tcPr>
          <w:p w14:paraId="0BDFD980"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360.3</w:t>
            </w:r>
          </w:p>
        </w:tc>
        <w:tc>
          <w:tcPr>
            <w:tcW w:w="1019" w:type="dxa"/>
            <w:tcBorders>
              <w:top w:val="nil"/>
              <w:left w:val="nil"/>
              <w:bottom w:val="nil"/>
              <w:right w:val="single" w:sz="4" w:space="0" w:color="auto"/>
            </w:tcBorders>
            <w:shd w:val="clear" w:color="000000" w:fill="FFFFFF"/>
            <w:noWrap/>
            <w:vAlign w:val="center"/>
            <w:hideMark/>
          </w:tcPr>
          <w:p w14:paraId="25A7B016"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416.4</w:t>
            </w:r>
          </w:p>
        </w:tc>
        <w:tc>
          <w:tcPr>
            <w:tcW w:w="1417" w:type="dxa"/>
            <w:tcBorders>
              <w:top w:val="nil"/>
              <w:left w:val="nil"/>
              <w:bottom w:val="nil"/>
              <w:right w:val="single" w:sz="4" w:space="0" w:color="auto"/>
            </w:tcBorders>
            <w:shd w:val="clear" w:color="000000" w:fill="FFFFFF"/>
            <w:noWrap/>
            <w:vAlign w:val="center"/>
            <w:hideMark/>
          </w:tcPr>
          <w:p w14:paraId="2D1AF264"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56.1</w:t>
            </w:r>
          </w:p>
        </w:tc>
        <w:tc>
          <w:tcPr>
            <w:tcW w:w="1276" w:type="dxa"/>
            <w:tcBorders>
              <w:top w:val="nil"/>
              <w:left w:val="nil"/>
              <w:bottom w:val="nil"/>
              <w:right w:val="single" w:sz="8" w:space="0" w:color="auto"/>
            </w:tcBorders>
            <w:shd w:val="clear" w:color="000000" w:fill="FFFFFF"/>
            <w:noWrap/>
            <w:vAlign w:val="center"/>
            <w:hideMark/>
          </w:tcPr>
          <w:p w14:paraId="7DD1BB38"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15.6%</w:t>
            </w:r>
          </w:p>
        </w:tc>
      </w:tr>
      <w:tr w:rsidR="00C40522" w:rsidRPr="000B5A34" w14:paraId="0B887862"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4351E0DA"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Ministerio de Trabajo y Previsión Social</w:t>
            </w:r>
          </w:p>
        </w:tc>
        <w:tc>
          <w:tcPr>
            <w:tcW w:w="1107" w:type="dxa"/>
            <w:tcBorders>
              <w:top w:val="nil"/>
              <w:left w:val="single" w:sz="4" w:space="0" w:color="auto"/>
              <w:bottom w:val="nil"/>
              <w:right w:val="single" w:sz="4" w:space="0" w:color="auto"/>
            </w:tcBorders>
            <w:shd w:val="clear" w:color="000000" w:fill="FFFFFF"/>
            <w:noWrap/>
            <w:vAlign w:val="center"/>
            <w:hideMark/>
          </w:tcPr>
          <w:p w14:paraId="372BE722"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2.0</w:t>
            </w:r>
          </w:p>
        </w:tc>
        <w:tc>
          <w:tcPr>
            <w:tcW w:w="1019" w:type="dxa"/>
            <w:tcBorders>
              <w:top w:val="nil"/>
              <w:left w:val="nil"/>
              <w:bottom w:val="nil"/>
              <w:right w:val="single" w:sz="4" w:space="0" w:color="auto"/>
            </w:tcBorders>
            <w:shd w:val="clear" w:color="000000" w:fill="FFFFFF"/>
            <w:noWrap/>
            <w:vAlign w:val="center"/>
            <w:hideMark/>
          </w:tcPr>
          <w:p w14:paraId="2A4ED852"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0.0</w:t>
            </w:r>
          </w:p>
        </w:tc>
        <w:tc>
          <w:tcPr>
            <w:tcW w:w="1417" w:type="dxa"/>
            <w:tcBorders>
              <w:top w:val="nil"/>
              <w:left w:val="nil"/>
              <w:bottom w:val="nil"/>
              <w:right w:val="single" w:sz="4" w:space="0" w:color="auto"/>
            </w:tcBorders>
            <w:shd w:val="clear" w:color="000000" w:fill="FFFFFF"/>
            <w:noWrap/>
            <w:vAlign w:val="center"/>
            <w:hideMark/>
          </w:tcPr>
          <w:p w14:paraId="2DCD9AE1" w14:textId="1329A5E2" w:rsidR="00C40522" w:rsidRPr="000B5A34" w:rsidRDefault="000B5A34" w:rsidP="000B5A34">
            <w:pPr>
              <w:jc w:val="right"/>
              <w:rPr>
                <w:color w:val="000000"/>
                <w:sz w:val="22"/>
                <w:szCs w:val="22"/>
                <w:lang w:val="es-GT" w:eastAsia="es-GT"/>
              </w:rPr>
            </w:pPr>
            <w:r>
              <w:rPr>
                <w:color w:val="000000"/>
                <w:sz w:val="22"/>
                <w:szCs w:val="22"/>
                <w:lang w:val="es-GT" w:eastAsia="es-GT"/>
              </w:rPr>
              <w:t>2.0</w:t>
            </w:r>
            <w:r w:rsidR="00C40522" w:rsidRPr="000B5A34">
              <w:rPr>
                <w:color w:val="000000"/>
                <w:sz w:val="22"/>
                <w:szCs w:val="22"/>
                <w:lang w:val="es-GT" w:eastAsia="es-GT"/>
              </w:rPr>
              <w:t> </w:t>
            </w:r>
          </w:p>
        </w:tc>
        <w:tc>
          <w:tcPr>
            <w:tcW w:w="1276" w:type="dxa"/>
            <w:tcBorders>
              <w:top w:val="nil"/>
              <w:left w:val="nil"/>
              <w:bottom w:val="nil"/>
              <w:right w:val="single" w:sz="8" w:space="0" w:color="auto"/>
            </w:tcBorders>
            <w:shd w:val="clear" w:color="000000" w:fill="FFFFFF"/>
            <w:noWrap/>
            <w:vAlign w:val="center"/>
            <w:hideMark/>
          </w:tcPr>
          <w:p w14:paraId="43BB8274"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 </w:t>
            </w:r>
          </w:p>
        </w:tc>
      </w:tr>
      <w:tr w:rsidR="00C40522" w:rsidRPr="000B5A34" w14:paraId="5E0182B3"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0D7EEBB8"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Ministerio de Agricultura</w:t>
            </w:r>
          </w:p>
        </w:tc>
        <w:tc>
          <w:tcPr>
            <w:tcW w:w="1107" w:type="dxa"/>
            <w:tcBorders>
              <w:top w:val="nil"/>
              <w:left w:val="single" w:sz="4" w:space="0" w:color="auto"/>
              <w:bottom w:val="nil"/>
              <w:right w:val="single" w:sz="4" w:space="0" w:color="auto"/>
            </w:tcBorders>
            <w:shd w:val="clear" w:color="000000" w:fill="FFFFFF"/>
            <w:noWrap/>
            <w:vAlign w:val="center"/>
            <w:hideMark/>
          </w:tcPr>
          <w:p w14:paraId="5925BA73"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25.9</w:t>
            </w:r>
          </w:p>
        </w:tc>
        <w:tc>
          <w:tcPr>
            <w:tcW w:w="1019" w:type="dxa"/>
            <w:tcBorders>
              <w:top w:val="nil"/>
              <w:left w:val="nil"/>
              <w:bottom w:val="nil"/>
              <w:right w:val="single" w:sz="4" w:space="0" w:color="auto"/>
            </w:tcBorders>
            <w:shd w:val="clear" w:color="000000" w:fill="FFFFFF"/>
            <w:noWrap/>
            <w:vAlign w:val="center"/>
            <w:hideMark/>
          </w:tcPr>
          <w:p w14:paraId="176EA7FE"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18.7</w:t>
            </w:r>
          </w:p>
        </w:tc>
        <w:tc>
          <w:tcPr>
            <w:tcW w:w="1417" w:type="dxa"/>
            <w:tcBorders>
              <w:top w:val="nil"/>
              <w:left w:val="nil"/>
              <w:bottom w:val="nil"/>
              <w:right w:val="single" w:sz="4" w:space="0" w:color="auto"/>
            </w:tcBorders>
            <w:shd w:val="clear" w:color="000000" w:fill="FFFFFF"/>
            <w:noWrap/>
            <w:vAlign w:val="center"/>
            <w:hideMark/>
          </w:tcPr>
          <w:p w14:paraId="0B2F896D"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-7.2</w:t>
            </w:r>
          </w:p>
        </w:tc>
        <w:tc>
          <w:tcPr>
            <w:tcW w:w="1276" w:type="dxa"/>
            <w:tcBorders>
              <w:top w:val="nil"/>
              <w:left w:val="nil"/>
              <w:bottom w:val="nil"/>
              <w:right w:val="single" w:sz="8" w:space="0" w:color="auto"/>
            </w:tcBorders>
            <w:shd w:val="clear" w:color="000000" w:fill="FFFFFF"/>
            <w:noWrap/>
            <w:vAlign w:val="center"/>
            <w:hideMark/>
          </w:tcPr>
          <w:p w14:paraId="39B7DF62"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-27.8%</w:t>
            </w:r>
          </w:p>
        </w:tc>
      </w:tr>
      <w:tr w:rsidR="00C40522" w:rsidRPr="000B5A34" w14:paraId="218D4B68"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7AFFED88"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Ministerio de Cultura y Deportes</w:t>
            </w:r>
          </w:p>
        </w:tc>
        <w:tc>
          <w:tcPr>
            <w:tcW w:w="1107" w:type="dxa"/>
            <w:tcBorders>
              <w:top w:val="nil"/>
              <w:left w:val="single" w:sz="4" w:space="0" w:color="auto"/>
              <w:bottom w:val="nil"/>
              <w:right w:val="single" w:sz="4" w:space="0" w:color="auto"/>
            </w:tcBorders>
            <w:shd w:val="clear" w:color="000000" w:fill="FFFFFF"/>
            <w:noWrap/>
            <w:vAlign w:val="center"/>
            <w:hideMark/>
          </w:tcPr>
          <w:p w14:paraId="474878CF"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6.6</w:t>
            </w:r>
          </w:p>
        </w:tc>
        <w:tc>
          <w:tcPr>
            <w:tcW w:w="1019" w:type="dxa"/>
            <w:tcBorders>
              <w:top w:val="nil"/>
              <w:left w:val="nil"/>
              <w:bottom w:val="nil"/>
              <w:right w:val="single" w:sz="4" w:space="0" w:color="auto"/>
            </w:tcBorders>
            <w:shd w:val="clear" w:color="000000" w:fill="FFFFFF"/>
            <w:noWrap/>
            <w:vAlign w:val="center"/>
            <w:hideMark/>
          </w:tcPr>
          <w:p w14:paraId="424F8786"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10.7</w:t>
            </w:r>
          </w:p>
        </w:tc>
        <w:tc>
          <w:tcPr>
            <w:tcW w:w="1417" w:type="dxa"/>
            <w:tcBorders>
              <w:top w:val="nil"/>
              <w:left w:val="nil"/>
              <w:bottom w:val="nil"/>
              <w:right w:val="single" w:sz="4" w:space="0" w:color="auto"/>
            </w:tcBorders>
            <w:shd w:val="clear" w:color="000000" w:fill="FFFFFF"/>
            <w:noWrap/>
            <w:vAlign w:val="center"/>
            <w:hideMark/>
          </w:tcPr>
          <w:p w14:paraId="000EEFDB"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4.2</w:t>
            </w:r>
          </w:p>
        </w:tc>
        <w:tc>
          <w:tcPr>
            <w:tcW w:w="1276" w:type="dxa"/>
            <w:tcBorders>
              <w:top w:val="nil"/>
              <w:left w:val="nil"/>
              <w:bottom w:val="nil"/>
              <w:right w:val="single" w:sz="8" w:space="0" w:color="auto"/>
            </w:tcBorders>
            <w:shd w:val="clear" w:color="000000" w:fill="FFFFFF"/>
            <w:noWrap/>
            <w:vAlign w:val="center"/>
            <w:hideMark/>
          </w:tcPr>
          <w:p w14:paraId="581465AC"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63.4%</w:t>
            </w:r>
          </w:p>
        </w:tc>
      </w:tr>
      <w:tr w:rsidR="00C40522" w:rsidRPr="000B5A34" w14:paraId="261EAE1F"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4492A6AE"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Secretarias y Otras Dependencias del Ejecutivo</w:t>
            </w:r>
          </w:p>
        </w:tc>
        <w:tc>
          <w:tcPr>
            <w:tcW w:w="1107" w:type="dxa"/>
            <w:tcBorders>
              <w:top w:val="nil"/>
              <w:left w:val="single" w:sz="4" w:space="0" w:color="auto"/>
              <w:bottom w:val="nil"/>
              <w:right w:val="single" w:sz="4" w:space="0" w:color="auto"/>
            </w:tcBorders>
            <w:shd w:val="clear" w:color="000000" w:fill="FFFFFF"/>
            <w:noWrap/>
            <w:vAlign w:val="center"/>
            <w:hideMark/>
          </w:tcPr>
          <w:p w14:paraId="49112924"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0.1</w:t>
            </w:r>
          </w:p>
        </w:tc>
        <w:tc>
          <w:tcPr>
            <w:tcW w:w="1019" w:type="dxa"/>
            <w:tcBorders>
              <w:top w:val="nil"/>
              <w:left w:val="nil"/>
              <w:bottom w:val="nil"/>
              <w:right w:val="single" w:sz="4" w:space="0" w:color="auto"/>
            </w:tcBorders>
            <w:shd w:val="clear" w:color="000000" w:fill="FFFFFF"/>
            <w:noWrap/>
            <w:vAlign w:val="center"/>
            <w:hideMark/>
          </w:tcPr>
          <w:p w14:paraId="3264324E"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0.1</w:t>
            </w:r>
          </w:p>
        </w:tc>
        <w:tc>
          <w:tcPr>
            <w:tcW w:w="1417" w:type="dxa"/>
            <w:tcBorders>
              <w:top w:val="nil"/>
              <w:left w:val="nil"/>
              <w:bottom w:val="nil"/>
              <w:right w:val="single" w:sz="4" w:space="0" w:color="auto"/>
            </w:tcBorders>
            <w:shd w:val="clear" w:color="000000" w:fill="FFFFFF"/>
            <w:noWrap/>
            <w:vAlign w:val="center"/>
            <w:hideMark/>
          </w:tcPr>
          <w:p w14:paraId="48EAA736"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0.0</w:t>
            </w:r>
          </w:p>
        </w:tc>
        <w:tc>
          <w:tcPr>
            <w:tcW w:w="1276" w:type="dxa"/>
            <w:tcBorders>
              <w:top w:val="nil"/>
              <w:left w:val="nil"/>
              <w:bottom w:val="nil"/>
              <w:right w:val="single" w:sz="8" w:space="0" w:color="auto"/>
            </w:tcBorders>
            <w:shd w:val="clear" w:color="000000" w:fill="FFFFFF"/>
            <w:noWrap/>
            <w:vAlign w:val="center"/>
            <w:hideMark/>
          </w:tcPr>
          <w:p w14:paraId="6D1DAA64"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w:t>
            </w:r>
          </w:p>
        </w:tc>
      </w:tr>
      <w:tr w:rsidR="00C40522" w:rsidRPr="000B5A34" w14:paraId="2FFABE23"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020AB568"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Ministerio de Ambiente y Recursos Naturales</w:t>
            </w:r>
          </w:p>
        </w:tc>
        <w:tc>
          <w:tcPr>
            <w:tcW w:w="1107" w:type="dxa"/>
            <w:tcBorders>
              <w:top w:val="nil"/>
              <w:left w:val="single" w:sz="4" w:space="0" w:color="auto"/>
              <w:bottom w:val="nil"/>
              <w:right w:val="single" w:sz="4" w:space="0" w:color="auto"/>
            </w:tcBorders>
            <w:shd w:val="clear" w:color="000000" w:fill="FFFFFF"/>
            <w:noWrap/>
            <w:vAlign w:val="center"/>
            <w:hideMark/>
          </w:tcPr>
          <w:p w14:paraId="6FDDF799"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 </w:t>
            </w:r>
          </w:p>
        </w:tc>
        <w:tc>
          <w:tcPr>
            <w:tcW w:w="1019" w:type="dxa"/>
            <w:tcBorders>
              <w:top w:val="nil"/>
              <w:left w:val="nil"/>
              <w:bottom w:val="nil"/>
              <w:right w:val="single" w:sz="4" w:space="0" w:color="auto"/>
            </w:tcBorders>
            <w:shd w:val="clear" w:color="000000" w:fill="FFFFFF"/>
            <w:noWrap/>
            <w:vAlign w:val="center"/>
            <w:hideMark/>
          </w:tcPr>
          <w:p w14:paraId="317097DB"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1.5</w:t>
            </w:r>
          </w:p>
        </w:tc>
        <w:tc>
          <w:tcPr>
            <w:tcW w:w="1417" w:type="dxa"/>
            <w:tcBorders>
              <w:top w:val="nil"/>
              <w:left w:val="nil"/>
              <w:bottom w:val="nil"/>
              <w:right w:val="single" w:sz="4" w:space="0" w:color="auto"/>
            </w:tcBorders>
            <w:shd w:val="clear" w:color="000000" w:fill="FFFFFF"/>
            <w:noWrap/>
            <w:vAlign w:val="center"/>
            <w:hideMark/>
          </w:tcPr>
          <w:p w14:paraId="477E6CEC"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1.5</w:t>
            </w:r>
          </w:p>
        </w:tc>
        <w:tc>
          <w:tcPr>
            <w:tcW w:w="1276" w:type="dxa"/>
            <w:tcBorders>
              <w:top w:val="nil"/>
              <w:left w:val="nil"/>
              <w:bottom w:val="nil"/>
              <w:right w:val="single" w:sz="8" w:space="0" w:color="auto"/>
            </w:tcBorders>
            <w:shd w:val="clear" w:color="000000" w:fill="FFFFFF"/>
            <w:noWrap/>
            <w:vAlign w:val="center"/>
            <w:hideMark/>
          </w:tcPr>
          <w:p w14:paraId="582574B2"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w:t>
            </w:r>
          </w:p>
        </w:tc>
      </w:tr>
      <w:tr w:rsidR="00C40522" w:rsidRPr="000B5A34" w14:paraId="5E18274F" w14:textId="77777777" w:rsidTr="000B5A34">
        <w:trPr>
          <w:trHeight w:val="315"/>
        </w:trPr>
        <w:tc>
          <w:tcPr>
            <w:tcW w:w="4385" w:type="dxa"/>
            <w:tcBorders>
              <w:top w:val="nil"/>
              <w:left w:val="single" w:sz="8" w:space="0" w:color="auto"/>
              <w:bottom w:val="nil"/>
              <w:right w:val="nil"/>
            </w:tcBorders>
            <w:shd w:val="clear" w:color="000000" w:fill="FFFFFF"/>
            <w:noWrap/>
            <w:vAlign w:val="bottom"/>
            <w:hideMark/>
          </w:tcPr>
          <w:p w14:paraId="415D06A7"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Obligaciones del Estado a Cargo del Tesoro</w:t>
            </w:r>
          </w:p>
        </w:tc>
        <w:tc>
          <w:tcPr>
            <w:tcW w:w="1107" w:type="dxa"/>
            <w:tcBorders>
              <w:top w:val="nil"/>
              <w:left w:val="single" w:sz="4" w:space="0" w:color="auto"/>
              <w:bottom w:val="nil"/>
              <w:right w:val="single" w:sz="4" w:space="0" w:color="auto"/>
            </w:tcBorders>
            <w:shd w:val="clear" w:color="000000" w:fill="FFFFFF"/>
            <w:noWrap/>
            <w:vAlign w:val="center"/>
            <w:hideMark/>
          </w:tcPr>
          <w:p w14:paraId="28D50884"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163.2</w:t>
            </w:r>
          </w:p>
        </w:tc>
        <w:tc>
          <w:tcPr>
            <w:tcW w:w="1019" w:type="dxa"/>
            <w:tcBorders>
              <w:top w:val="nil"/>
              <w:left w:val="nil"/>
              <w:bottom w:val="nil"/>
              <w:right w:val="single" w:sz="4" w:space="0" w:color="auto"/>
            </w:tcBorders>
            <w:shd w:val="clear" w:color="000000" w:fill="FFFFFF"/>
            <w:noWrap/>
            <w:vAlign w:val="center"/>
            <w:hideMark/>
          </w:tcPr>
          <w:p w14:paraId="0FB46D3F"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144.9</w:t>
            </w:r>
          </w:p>
        </w:tc>
        <w:tc>
          <w:tcPr>
            <w:tcW w:w="1417" w:type="dxa"/>
            <w:tcBorders>
              <w:top w:val="nil"/>
              <w:left w:val="nil"/>
              <w:bottom w:val="nil"/>
              <w:right w:val="single" w:sz="4" w:space="0" w:color="auto"/>
            </w:tcBorders>
            <w:shd w:val="clear" w:color="000000" w:fill="FFFFFF"/>
            <w:noWrap/>
            <w:vAlign w:val="center"/>
            <w:hideMark/>
          </w:tcPr>
          <w:p w14:paraId="17CFD3B2"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-18.3</w:t>
            </w:r>
          </w:p>
        </w:tc>
        <w:tc>
          <w:tcPr>
            <w:tcW w:w="1276" w:type="dxa"/>
            <w:tcBorders>
              <w:top w:val="nil"/>
              <w:left w:val="nil"/>
              <w:bottom w:val="nil"/>
              <w:right w:val="single" w:sz="8" w:space="0" w:color="auto"/>
            </w:tcBorders>
            <w:shd w:val="clear" w:color="000000" w:fill="FFFFFF"/>
            <w:noWrap/>
            <w:vAlign w:val="center"/>
            <w:hideMark/>
          </w:tcPr>
          <w:p w14:paraId="1AF903EC"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-11.2%</w:t>
            </w:r>
          </w:p>
        </w:tc>
      </w:tr>
      <w:tr w:rsidR="00C40522" w:rsidRPr="000B5A34" w14:paraId="23EFD3AB" w14:textId="77777777" w:rsidTr="000B5A34">
        <w:trPr>
          <w:trHeight w:val="330"/>
        </w:trPr>
        <w:tc>
          <w:tcPr>
            <w:tcW w:w="4385" w:type="dxa"/>
            <w:tcBorders>
              <w:top w:val="nil"/>
              <w:left w:val="single" w:sz="8" w:space="0" w:color="auto"/>
              <w:bottom w:val="single" w:sz="8" w:space="0" w:color="auto"/>
              <w:right w:val="nil"/>
            </w:tcBorders>
            <w:shd w:val="clear" w:color="000000" w:fill="FFFFFF"/>
            <w:noWrap/>
            <w:vAlign w:val="bottom"/>
            <w:hideMark/>
          </w:tcPr>
          <w:p w14:paraId="5FA8F2D7" w14:textId="77777777" w:rsidR="00C40522" w:rsidRPr="000B5A34" w:rsidRDefault="00C40522" w:rsidP="00C40522">
            <w:pPr>
              <w:rPr>
                <w:color w:val="000000"/>
                <w:sz w:val="22"/>
                <w:szCs w:val="22"/>
                <w:lang w:val="es-GT" w:eastAsia="es-GT"/>
              </w:rPr>
            </w:pPr>
            <w:r w:rsidRPr="000B5A34">
              <w:rPr>
                <w:color w:val="000000"/>
                <w:sz w:val="22"/>
                <w:szCs w:val="22"/>
                <w:lang w:val="es-GT" w:eastAsia="es-GT"/>
              </w:rPr>
              <w:t>Ministerio de Desarrollo Social</w:t>
            </w:r>
          </w:p>
        </w:tc>
        <w:tc>
          <w:tcPr>
            <w:tcW w:w="1107" w:type="dxa"/>
            <w:tcBorders>
              <w:top w:val="nil"/>
              <w:left w:val="single" w:sz="4" w:space="0" w:color="auto"/>
              <w:bottom w:val="single" w:sz="8" w:space="0" w:color="auto"/>
              <w:right w:val="single" w:sz="4" w:space="0" w:color="auto"/>
            </w:tcBorders>
            <w:shd w:val="clear" w:color="000000" w:fill="FFFFFF"/>
            <w:noWrap/>
            <w:vAlign w:val="center"/>
            <w:hideMark/>
          </w:tcPr>
          <w:p w14:paraId="6F790695"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35.0</w:t>
            </w:r>
          </w:p>
        </w:tc>
        <w:tc>
          <w:tcPr>
            <w:tcW w:w="1019" w:type="dxa"/>
            <w:tcBorders>
              <w:top w:val="nil"/>
              <w:left w:val="nil"/>
              <w:bottom w:val="single" w:sz="8" w:space="0" w:color="auto"/>
              <w:right w:val="single" w:sz="4" w:space="0" w:color="auto"/>
            </w:tcBorders>
            <w:shd w:val="clear" w:color="000000" w:fill="FFFFFF"/>
            <w:noWrap/>
            <w:vAlign w:val="center"/>
            <w:hideMark/>
          </w:tcPr>
          <w:p w14:paraId="10FE723A"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25.0</w:t>
            </w:r>
          </w:p>
        </w:tc>
        <w:tc>
          <w:tcPr>
            <w:tcW w:w="1417" w:type="dxa"/>
            <w:tcBorders>
              <w:top w:val="nil"/>
              <w:left w:val="nil"/>
              <w:bottom w:val="single" w:sz="8" w:space="0" w:color="auto"/>
              <w:right w:val="nil"/>
            </w:tcBorders>
            <w:shd w:val="clear" w:color="000000" w:fill="FFFFFF"/>
            <w:noWrap/>
            <w:vAlign w:val="center"/>
            <w:hideMark/>
          </w:tcPr>
          <w:p w14:paraId="0C70C45C"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-10.0</w:t>
            </w:r>
          </w:p>
        </w:tc>
        <w:tc>
          <w:tcPr>
            <w:tcW w:w="1276" w:type="dxa"/>
            <w:tcBorders>
              <w:top w:val="nil"/>
              <w:left w:val="single" w:sz="4" w:space="0" w:color="auto"/>
              <w:bottom w:val="single" w:sz="8" w:space="0" w:color="auto"/>
              <w:right w:val="single" w:sz="8" w:space="0" w:color="auto"/>
            </w:tcBorders>
            <w:shd w:val="clear" w:color="000000" w:fill="FFFFFF"/>
            <w:noWrap/>
            <w:vAlign w:val="center"/>
            <w:hideMark/>
          </w:tcPr>
          <w:p w14:paraId="5D29B41E" w14:textId="77777777" w:rsidR="00C40522" w:rsidRPr="000B5A34" w:rsidRDefault="00C40522" w:rsidP="000B5A34">
            <w:pPr>
              <w:jc w:val="right"/>
              <w:rPr>
                <w:color w:val="000000"/>
                <w:sz w:val="22"/>
                <w:szCs w:val="22"/>
                <w:lang w:val="es-GT" w:eastAsia="es-GT"/>
              </w:rPr>
            </w:pPr>
            <w:r w:rsidRPr="000B5A34">
              <w:rPr>
                <w:color w:val="000000"/>
                <w:sz w:val="22"/>
                <w:szCs w:val="22"/>
                <w:lang w:val="es-GT" w:eastAsia="es-GT"/>
              </w:rPr>
              <w:t>-28.6%</w:t>
            </w:r>
          </w:p>
        </w:tc>
      </w:tr>
      <w:tr w:rsidR="00C40522" w:rsidRPr="000B5A34" w14:paraId="4094B5F7" w14:textId="77777777" w:rsidTr="000B5A34">
        <w:trPr>
          <w:trHeight w:val="315"/>
        </w:trPr>
        <w:tc>
          <w:tcPr>
            <w:tcW w:w="4385" w:type="dxa"/>
            <w:tcBorders>
              <w:top w:val="nil"/>
              <w:left w:val="nil"/>
              <w:bottom w:val="nil"/>
              <w:right w:val="nil"/>
            </w:tcBorders>
            <w:shd w:val="clear" w:color="000000" w:fill="FFFFFF"/>
            <w:noWrap/>
            <w:vAlign w:val="bottom"/>
            <w:hideMark/>
          </w:tcPr>
          <w:p w14:paraId="429808C2" w14:textId="651E1AC6" w:rsidR="00C40522" w:rsidRPr="000B5A34" w:rsidRDefault="00C40522" w:rsidP="00C40522">
            <w:pPr>
              <w:rPr>
                <w:b/>
                <w:bCs/>
                <w:color w:val="000000"/>
                <w:sz w:val="22"/>
                <w:szCs w:val="22"/>
                <w:lang w:val="es-GT" w:eastAsia="es-GT"/>
              </w:rPr>
            </w:pPr>
            <w:r w:rsidRPr="000B5A34">
              <w:rPr>
                <w:b/>
                <w:bCs/>
                <w:color w:val="000000"/>
                <w:sz w:val="22"/>
                <w:szCs w:val="22"/>
                <w:lang w:val="es-GT" w:eastAsia="es-GT"/>
              </w:rPr>
              <w:t xml:space="preserve">Porcentaje de </w:t>
            </w:r>
            <w:r w:rsidR="000B5A34">
              <w:rPr>
                <w:b/>
                <w:bCs/>
                <w:color w:val="000000"/>
                <w:sz w:val="22"/>
                <w:szCs w:val="22"/>
                <w:lang w:val="es-GT" w:eastAsia="es-GT"/>
              </w:rPr>
              <w:t>E</w:t>
            </w:r>
            <w:r w:rsidRPr="000B5A34">
              <w:rPr>
                <w:b/>
                <w:bCs/>
                <w:color w:val="000000"/>
                <w:sz w:val="22"/>
                <w:szCs w:val="22"/>
                <w:lang w:val="es-GT" w:eastAsia="es-GT"/>
              </w:rPr>
              <w:t xml:space="preserve">jecución </w:t>
            </w:r>
            <w:r w:rsidR="000B5A34">
              <w:rPr>
                <w:b/>
                <w:bCs/>
                <w:color w:val="000000"/>
                <w:sz w:val="22"/>
                <w:szCs w:val="22"/>
                <w:lang w:val="es-GT" w:eastAsia="es-GT"/>
              </w:rPr>
              <w:t>P</w:t>
            </w:r>
            <w:r w:rsidRPr="000B5A34">
              <w:rPr>
                <w:b/>
                <w:bCs/>
                <w:color w:val="000000"/>
                <w:sz w:val="22"/>
                <w:szCs w:val="22"/>
                <w:lang w:val="es-GT" w:eastAsia="es-GT"/>
              </w:rPr>
              <w:t>resupuestaria</w:t>
            </w:r>
          </w:p>
        </w:tc>
        <w:tc>
          <w:tcPr>
            <w:tcW w:w="1107" w:type="dxa"/>
            <w:tcBorders>
              <w:top w:val="nil"/>
              <w:left w:val="nil"/>
              <w:bottom w:val="nil"/>
              <w:right w:val="nil"/>
            </w:tcBorders>
            <w:shd w:val="clear" w:color="000000" w:fill="FFFFFF"/>
            <w:noWrap/>
            <w:vAlign w:val="bottom"/>
            <w:hideMark/>
          </w:tcPr>
          <w:p w14:paraId="5D94D8CF" w14:textId="77777777" w:rsidR="00C40522" w:rsidRPr="000B5A34" w:rsidRDefault="00C40522" w:rsidP="00C40522">
            <w:pPr>
              <w:jc w:val="right"/>
              <w:rPr>
                <w:b/>
                <w:bCs/>
                <w:color w:val="000000"/>
                <w:sz w:val="22"/>
                <w:szCs w:val="22"/>
                <w:lang w:val="es-GT" w:eastAsia="es-GT"/>
              </w:rPr>
            </w:pPr>
            <w:r w:rsidRPr="000B5A34">
              <w:rPr>
                <w:b/>
                <w:bCs/>
                <w:color w:val="000000"/>
                <w:sz w:val="22"/>
                <w:szCs w:val="22"/>
                <w:lang w:val="es-GT" w:eastAsia="es-GT"/>
              </w:rPr>
              <w:t>1.5%</w:t>
            </w:r>
          </w:p>
        </w:tc>
        <w:tc>
          <w:tcPr>
            <w:tcW w:w="1019" w:type="dxa"/>
            <w:tcBorders>
              <w:top w:val="nil"/>
              <w:left w:val="nil"/>
              <w:bottom w:val="nil"/>
              <w:right w:val="nil"/>
            </w:tcBorders>
            <w:shd w:val="clear" w:color="000000" w:fill="FFFFFF"/>
            <w:noWrap/>
            <w:vAlign w:val="bottom"/>
            <w:hideMark/>
          </w:tcPr>
          <w:p w14:paraId="324E7157" w14:textId="77777777" w:rsidR="00C40522" w:rsidRPr="000B5A34" w:rsidRDefault="00C40522" w:rsidP="00C40522">
            <w:pPr>
              <w:jc w:val="right"/>
              <w:rPr>
                <w:b/>
                <w:bCs/>
                <w:color w:val="000000"/>
                <w:sz w:val="22"/>
                <w:szCs w:val="22"/>
                <w:lang w:val="es-GT" w:eastAsia="es-GT"/>
              </w:rPr>
            </w:pPr>
            <w:r w:rsidRPr="000B5A34">
              <w:rPr>
                <w:b/>
                <w:bCs/>
                <w:color w:val="000000"/>
                <w:sz w:val="22"/>
                <w:szCs w:val="22"/>
                <w:lang w:val="es-GT" w:eastAsia="es-GT"/>
              </w:rPr>
              <w:t>1.4%</w:t>
            </w:r>
          </w:p>
        </w:tc>
        <w:tc>
          <w:tcPr>
            <w:tcW w:w="1417" w:type="dxa"/>
            <w:tcBorders>
              <w:top w:val="nil"/>
              <w:left w:val="nil"/>
              <w:bottom w:val="nil"/>
              <w:right w:val="nil"/>
            </w:tcBorders>
            <w:shd w:val="clear" w:color="000000" w:fill="FFFFFF"/>
            <w:noWrap/>
            <w:vAlign w:val="bottom"/>
            <w:hideMark/>
          </w:tcPr>
          <w:p w14:paraId="065EDEEA" w14:textId="77777777" w:rsidR="00C40522" w:rsidRPr="000B5A34" w:rsidRDefault="00C40522" w:rsidP="00C40522">
            <w:pPr>
              <w:jc w:val="right"/>
              <w:rPr>
                <w:color w:val="000000"/>
                <w:sz w:val="22"/>
                <w:szCs w:val="22"/>
                <w:lang w:val="es-GT" w:eastAsia="es-GT"/>
              </w:rPr>
            </w:pPr>
            <w:r w:rsidRPr="000B5A34">
              <w:rPr>
                <w:color w:val="000000"/>
                <w:sz w:val="22"/>
                <w:szCs w:val="22"/>
                <w:lang w:val="es-GT" w:eastAsia="es-GT"/>
              </w:rPr>
              <w:t> </w:t>
            </w:r>
          </w:p>
        </w:tc>
        <w:tc>
          <w:tcPr>
            <w:tcW w:w="1276" w:type="dxa"/>
            <w:tcBorders>
              <w:top w:val="nil"/>
              <w:left w:val="nil"/>
              <w:bottom w:val="nil"/>
              <w:right w:val="nil"/>
            </w:tcBorders>
            <w:shd w:val="clear" w:color="000000" w:fill="FFFFFF"/>
            <w:noWrap/>
            <w:vAlign w:val="bottom"/>
            <w:hideMark/>
          </w:tcPr>
          <w:p w14:paraId="009A755A" w14:textId="77777777" w:rsidR="00C40522" w:rsidRPr="000B5A34" w:rsidRDefault="00C40522" w:rsidP="00C40522">
            <w:pPr>
              <w:jc w:val="right"/>
              <w:rPr>
                <w:color w:val="000000"/>
                <w:sz w:val="22"/>
                <w:szCs w:val="22"/>
                <w:lang w:val="es-GT" w:eastAsia="es-GT"/>
              </w:rPr>
            </w:pPr>
            <w:r w:rsidRPr="000B5A34">
              <w:rPr>
                <w:color w:val="000000"/>
                <w:sz w:val="22"/>
                <w:szCs w:val="22"/>
                <w:lang w:val="es-GT" w:eastAsia="es-GT"/>
              </w:rPr>
              <w:t> </w:t>
            </w:r>
          </w:p>
        </w:tc>
      </w:tr>
    </w:tbl>
    <w:p w14:paraId="6ECFA8E2" w14:textId="6B946148" w:rsidR="00C40522" w:rsidRPr="00CF5481" w:rsidRDefault="00C40522" w:rsidP="00C40522">
      <w:pPr>
        <w:jc w:val="both"/>
        <w:rPr>
          <w:sz w:val="18"/>
          <w:lang w:val="es-MX"/>
        </w:rPr>
      </w:pPr>
      <w:r>
        <w:rPr>
          <w:sz w:val="18"/>
          <w:lang w:val="es-MX"/>
        </w:rPr>
        <w:t xml:space="preserve"> </w:t>
      </w:r>
      <w:r w:rsidR="008931BD">
        <w:rPr>
          <w:sz w:val="18"/>
          <w:lang w:val="es-MX"/>
        </w:rPr>
        <w:t xml:space="preserve"> </w:t>
      </w:r>
      <w:r w:rsidRPr="00CF5481">
        <w:rPr>
          <w:sz w:val="18"/>
          <w:lang w:val="es-MX"/>
        </w:rPr>
        <w:t>Fuente: Ministerio de Finanzas Públicas</w:t>
      </w:r>
      <w:r>
        <w:rPr>
          <w:sz w:val="18"/>
          <w:lang w:val="es-MX"/>
        </w:rPr>
        <w:t>,</w:t>
      </w:r>
      <w:r w:rsidRPr="00CF5481">
        <w:rPr>
          <w:sz w:val="18"/>
          <w:lang w:val="es-MX"/>
        </w:rPr>
        <w:t xml:space="preserve"> </w:t>
      </w:r>
      <w:r>
        <w:rPr>
          <w:sz w:val="18"/>
          <w:lang w:val="es-MX"/>
        </w:rPr>
        <w:t xml:space="preserve">con base en el </w:t>
      </w:r>
      <w:r w:rsidRPr="00CF5481">
        <w:rPr>
          <w:sz w:val="18"/>
          <w:lang w:val="es-MX"/>
        </w:rPr>
        <w:t>SICOIN.</w:t>
      </w:r>
    </w:p>
    <w:p w14:paraId="2F8EEAA7" w14:textId="77777777" w:rsidR="00C40522" w:rsidRDefault="00C40522" w:rsidP="00C40522">
      <w:pPr>
        <w:jc w:val="both"/>
        <w:rPr>
          <w:sz w:val="18"/>
          <w:lang w:val="es-MX"/>
        </w:rPr>
      </w:pPr>
    </w:p>
    <w:p w14:paraId="18CCC896" w14:textId="78D35C40" w:rsidR="00C40522" w:rsidRPr="00640402" w:rsidRDefault="00C40522" w:rsidP="00A840E5">
      <w:pPr>
        <w:pStyle w:val="Ttulo3"/>
        <w:numPr>
          <w:ilvl w:val="0"/>
          <w:numId w:val="5"/>
        </w:numPr>
        <w:ind w:left="426"/>
        <w:rPr>
          <w:rFonts w:ascii="Times New Roman" w:hAnsi="Times New Roman"/>
          <w:color w:val="auto"/>
          <w:lang w:val="es-MX"/>
        </w:rPr>
      </w:pPr>
      <w:bookmarkStart w:id="27" w:name="_Toc114732540"/>
      <w:bookmarkStart w:id="28" w:name="_Toc142920544"/>
      <w:r w:rsidRPr="00640402">
        <w:rPr>
          <w:rFonts w:ascii="Times New Roman" w:hAnsi="Times New Roman"/>
          <w:color w:val="auto"/>
          <w:lang w:val="es-MX"/>
        </w:rPr>
        <w:t>Gasto Ejecutado p</w:t>
      </w:r>
      <w:r w:rsidR="00523871">
        <w:rPr>
          <w:rFonts w:ascii="Times New Roman" w:hAnsi="Times New Roman"/>
          <w:color w:val="auto"/>
          <w:lang w:val="es-MX"/>
        </w:rPr>
        <w:t>ara atender</w:t>
      </w:r>
      <w:bookmarkEnd w:id="27"/>
      <w:r w:rsidRPr="00C414DB">
        <w:rPr>
          <w:rFonts w:ascii="Times New Roman" w:hAnsi="Times New Roman"/>
          <w:color w:val="auto"/>
          <w:lang w:val="es-MX"/>
        </w:rPr>
        <w:t xml:space="preserve"> Desastres Naturales y Calamidades Pública</w:t>
      </w:r>
      <w:r>
        <w:rPr>
          <w:rFonts w:ascii="Times New Roman" w:hAnsi="Times New Roman"/>
          <w:color w:val="auto"/>
          <w:lang w:val="es-MX"/>
        </w:rPr>
        <w:t>s</w:t>
      </w:r>
      <w:bookmarkEnd w:id="28"/>
    </w:p>
    <w:p w14:paraId="0337D3A6" w14:textId="77777777" w:rsidR="00C40522" w:rsidRDefault="00C40522" w:rsidP="00C40522">
      <w:pPr>
        <w:jc w:val="both"/>
        <w:rPr>
          <w:lang w:val="es-MX"/>
        </w:rPr>
      </w:pPr>
    </w:p>
    <w:p w14:paraId="0FBF40C7" w14:textId="0B66A79D" w:rsidR="00C40522" w:rsidRDefault="00C40522" w:rsidP="00C40522">
      <w:pPr>
        <w:jc w:val="both"/>
        <w:rPr>
          <w:lang w:val="es-MX"/>
        </w:rPr>
      </w:pPr>
      <w:r>
        <w:rPr>
          <w:lang w:val="es-MX"/>
        </w:rPr>
        <w:t>A</w:t>
      </w:r>
      <w:r w:rsidR="00D83F86">
        <w:rPr>
          <w:lang w:val="es-MX"/>
        </w:rPr>
        <w:t>demás</w:t>
      </w:r>
      <w:r>
        <w:rPr>
          <w:lang w:val="es-MX"/>
        </w:rPr>
        <w:t xml:space="preserve"> de la ejecución</w:t>
      </w:r>
      <w:r w:rsidR="00D83F86">
        <w:rPr>
          <w:lang w:val="es-MX"/>
        </w:rPr>
        <w:t xml:space="preserve"> ordinaria</w:t>
      </w:r>
      <w:r>
        <w:rPr>
          <w:lang w:val="es-MX"/>
        </w:rPr>
        <w:t xml:space="preserve"> por los diferentes programas contenidos en la Política General de Gobierno</w:t>
      </w:r>
      <w:r w:rsidR="00D83F86">
        <w:rPr>
          <w:lang w:val="es-MX"/>
        </w:rPr>
        <w:t xml:space="preserve"> 2020-2024,</w:t>
      </w:r>
      <w:r>
        <w:rPr>
          <w:lang w:val="es-MX"/>
        </w:rPr>
        <w:t xml:space="preserve"> también </w:t>
      </w:r>
      <w:r w:rsidR="00D83F86">
        <w:rPr>
          <w:lang w:val="es-MX"/>
        </w:rPr>
        <w:t>existen</w:t>
      </w:r>
      <w:r>
        <w:rPr>
          <w:lang w:val="es-MX"/>
        </w:rPr>
        <w:t xml:space="preserve"> erogaciones que realizan las dependencias del sector público que atienden eventos ocasionados por causas no previstas o que dependen de fenómenos naturales</w:t>
      </w:r>
      <w:r w:rsidR="00D83F86">
        <w:rPr>
          <w:lang w:val="es-MX"/>
        </w:rPr>
        <w:t>, tal es el caso del</w:t>
      </w:r>
      <w:r>
        <w:rPr>
          <w:lang w:val="es-MX"/>
        </w:rPr>
        <w:t xml:space="preserve"> presupuesto del Estado que se destina a cubrir los efectos que ocasionan los desastres naturales y otros eventos de calamidad pública.</w:t>
      </w:r>
    </w:p>
    <w:p w14:paraId="3724D1FC" w14:textId="77777777" w:rsidR="00C40522" w:rsidRDefault="00C40522" w:rsidP="00C40522">
      <w:pPr>
        <w:jc w:val="both"/>
        <w:rPr>
          <w:lang w:val="es-MX"/>
        </w:rPr>
      </w:pPr>
    </w:p>
    <w:p w14:paraId="1A988A2A" w14:textId="177145D4" w:rsidR="00C40522" w:rsidRDefault="00C40522" w:rsidP="00C40522">
      <w:pPr>
        <w:jc w:val="both"/>
        <w:rPr>
          <w:lang w:val="es-MX"/>
        </w:rPr>
      </w:pPr>
      <w:r>
        <w:rPr>
          <w:lang w:val="es-MX"/>
        </w:rPr>
        <w:t>Al 30 de junio de 2023</w:t>
      </w:r>
      <w:r w:rsidR="00D83F86">
        <w:rPr>
          <w:lang w:val="es-MX"/>
        </w:rPr>
        <w:t>,</w:t>
      </w:r>
      <w:r>
        <w:rPr>
          <w:lang w:val="es-MX"/>
        </w:rPr>
        <w:t xml:space="preserve"> la ejecución orientada a</w:t>
      </w:r>
      <w:r w:rsidR="005A6607">
        <w:rPr>
          <w:lang w:val="es-MX"/>
        </w:rPr>
        <w:t xml:space="preserve"> cubrir las emergencias ocasionadas por</w:t>
      </w:r>
      <w:r>
        <w:rPr>
          <w:lang w:val="es-MX"/>
        </w:rPr>
        <w:t xml:space="preserve"> fenómenos naturales asciende al monto de Q.975.4 millones, que equivale</w:t>
      </w:r>
      <w:r w:rsidR="005A6607">
        <w:rPr>
          <w:lang w:val="es-MX"/>
        </w:rPr>
        <w:t>n</w:t>
      </w:r>
      <w:r>
        <w:rPr>
          <w:lang w:val="es-MX"/>
        </w:rPr>
        <w:t xml:space="preserve"> al 67.9% del presupuesto vigente. La ejecución presupuestaria se concentra en los subprogramas siguientes: </w:t>
      </w:r>
      <w:r w:rsidRPr="00C414DB">
        <w:rPr>
          <w:lang w:val="es-MX"/>
        </w:rPr>
        <w:t>Estado de Calamidad Pública por los Efectos de la Época Lluviosa y el Ciclón Tropical Julia</w:t>
      </w:r>
      <w:r>
        <w:rPr>
          <w:lang w:val="es-MX"/>
        </w:rPr>
        <w:t xml:space="preserve"> con Q.427.1 millones; </w:t>
      </w:r>
      <w:r w:rsidRPr="00C414DB">
        <w:rPr>
          <w:lang w:val="es-MX"/>
        </w:rPr>
        <w:t>Estado de Calamidad Pública por Emergencia C</w:t>
      </w:r>
      <w:r w:rsidR="005A6607">
        <w:rPr>
          <w:lang w:val="es-MX"/>
        </w:rPr>
        <w:t>ovid-</w:t>
      </w:r>
      <w:r w:rsidRPr="00C414DB">
        <w:rPr>
          <w:lang w:val="es-MX"/>
        </w:rPr>
        <w:t>19</w:t>
      </w:r>
      <w:r>
        <w:rPr>
          <w:lang w:val="es-MX"/>
        </w:rPr>
        <w:t xml:space="preserve"> con Q.363.1 millones; </w:t>
      </w:r>
      <w:r w:rsidRPr="00EF1CDF">
        <w:rPr>
          <w:lang w:val="es-MX"/>
        </w:rPr>
        <w:t>Estado de Calamidad Pública por Depresión Tropical ETA</w:t>
      </w:r>
      <w:r>
        <w:rPr>
          <w:lang w:val="es-MX"/>
        </w:rPr>
        <w:t xml:space="preserve"> con Q.94.5 millones y </w:t>
      </w:r>
      <w:r w:rsidRPr="00EF1CDF">
        <w:rPr>
          <w:lang w:val="es-MX"/>
        </w:rPr>
        <w:t>Estado de Calamidad Pública por Época Lluviosa, Temporada Ciclónica y Sistema de Baja Presión</w:t>
      </w:r>
      <w:r>
        <w:rPr>
          <w:lang w:val="es-MX"/>
        </w:rPr>
        <w:t xml:space="preserve"> con una ejecución de Q.90.7 millones.</w:t>
      </w:r>
    </w:p>
    <w:p w14:paraId="68F92A06" w14:textId="77777777" w:rsidR="00C40522" w:rsidRDefault="00C40522" w:rsidP="00C40522">
      <w:pPr>
        <w:jc w:val="center"/>
        <w:rPr>
          <w:b/>
          <w:szCs w:val="22"/>
          <w:lang w:val="es-MX"/>
        </w:rPr>
      </w:pPr>
    </w:p>
    <w:p w14:paraId="39CE0DEF" w14:textId="0ECC0CCF" w:rsidR="00C40522" w:rsidRDefault="00C40522" w:rsidP="00C40522">
      <w:pPr>
        <w:jc w:val="center"/>
        <w:rPr>
          <w:b/>
          <w:szCs w:val="22"/>
          <w:lang w:val="es-MX"/>
        </w:rPr>
      </w:pPr>
    </w:p>
    <w:p w14:paraId="45142037" w14:textId="3024AE9B" w:rsidR="005A6607" w:rsidRDefault="005A6607" w:rsidP="00C40522">
      <w:pPr>
        <w:jc w:val="center"/>
        <w:rPr>
          <w:b/>
          <w:szCs w:val="22"/>
          <w:lang w:val="es-MX"/>
        </w:rPr>
      </w:pPr>
    </w:p>
    <w:p w14:paraId="0A4B34DF" w14:textId="02380A36" w:rsidR="005A6607" w:rsidRDefault="005A6607" w:rsidP="00C40522">
      <w:pPr>
        <w:jc w:val="center"/>
        <w:rPr>
          <w:b/>
          <w:szCs w:val="22"/>
          <w:lang w:val="es-MX"/>
        </w:rPr>
      </w:pPr>
    </w:p>
    <w:p w14:paraId="3AEC59C3" w14:textId="183C64C3" w:rsidR="005A6607" w:rsidRDefault="005A6607" w:rsidP="00C40522">
      <w:pPr>
        <w:jc w:val="center"/>
        <w:rPr>
          <w:b/>
          <w:szCs w:val="22"/>
          <w:lang w:val="es-MX"/>
        </w:rPr>
      </w:pPr>
    </w:p>
    <w:p w14:paraId="5FF24BEE" w14:textId="6D57C10D" w:rsidR="005A6607" w:rsidRDefault="005A6607" w:rsidP="00C40522">
      <w:pPr>
        <w:jc w:val="center"/>
        <w:rPr>
          <w:b/>
          <w:szCs w:val="22"/>
          <w:lang w:val="es-MX"/>
        </w:rPr>
      </w:pPr>
    </w:p>
    <w:p w14:paraId="5A95F686" w14:textId="461F549C" w:rsidR="005A6607" w:rsidRDefault="005A6607" w:rsidP="00C40522">
      <w:pPr>
        <w:jc w:val="center"/>
        <w:rPr>
          <w:b/>
          <w:szCs w:val="22"/>
          <w:lang w:val="es-MX"/>
        </w:rPr>
      </w:pPr>
    </w:p>
    <w:p w14:paraId="3AFDCE06" w14:textId="35D57E7E" w:rsidR="005A6607" w:rsidRDefault="005A6607" w:rsidP="00C40522">
      <w:pPr>
        <w:jc w:val="center"/>
        <w:rPr>
          <w:b/>
          <w:szCs w:val="22"/>
          <w:lang w:val="es-MX"/>
        </w:rPr>
      </w:pPr>
    </w:p>
    <w:p w14:paraId="5A627818" w14:textId="77777777" w:rsidR="005A6607" w:rsidRDefault="005A6607" w:rsidP="00C40522">
      <w:pPr>
        <w:jc w:val="center"/>
        <w:rPr>
          <w:b/>
          <w:szCs w:val="22"/>
          <w:lang w:val="es-MX"/>
        </w:rPr>
      </w:pPr>
    </w:p>
    <w:p w14:paraId="30F956ED" w14:textId="77777777" w:rsidR="00C40522" w:rsidRPr="00D84096" w:rsidRDefault="00C40522" w:rsidP="00C40522">
      <w:pPr>
        <w:jc w:val="center"/>
        <w:rPr>
          <w:b/>
          <w:szCs w:val="22"/>
          <w:lang w:val="es-MX"/>
        </w:rPr>
      </w:pPr>
      <w:r w:rsidRPr="00D84096">
        <w:rPr>
          <w:b/>
          <w:szCs w:val="22"/>
          <w:lang w:val="es-MX"/>
        </w:rPr>
        <w:t>Cuadro 1</w:t>
      </w:r>
      <w:r>
        <w:rPr>
          <w:b/>
          <w:szCs w:val="22"/>
          <w:lang w:val="es-MX"/>
        </w:rPr>
        <w:t>3</w:t>
      </w:r>
    </w:p>
    <w:p w14:paraId="6888986A" w14:textId="77777777" w:rsidR="00C40522" w:rsidRDefault="00C40522" w:rsidP="00C40522">
      <w:pPr>
        <w:jc w:val="center"/>
        <w:rPr>
          <w:b/>
          <w:szCs w:val="22"/>
          <w:lang w:val="es-MX"/>
        </w:rPr>
      </w:pPr>
      <w:r w:rsidRPr="00EF1CDF">
        <w:rPr>
          <w:b/>
          <w:szCs w:val="22"/>
          <w:lang w:val="es-MX"/>
        </w:rPr>
        <w:t>Atención por Desastres Naturales y Calamidades Públicas</w:t>
      </w:r>
      <w:r>
        <w:rPr>
          <w:b/>
          <w:szCs w:val="22"/>
          <w:lang w:val="es-MX"/>
        </w:rPr>
        <w:t xml:space="preserve"> </w:t>
      </w:r>
    </w:p>
    <w:p w14:paraId="5B4BFDF0" w14:textId="77777777" w:rsidR="00C40522" w:rsidRPr="00D84096" w:rsidRDefault="00C40522" w:rsidP="00C40522">
      <w:pPr>
        <w:jc w:val="center"/>
        <w:rPr>
          <w:b/>
          <w:szCs w:val="22"/>
          <w:lang w:val="es-MX"/>
        </w:rPr>
      </w:pPr>
      <w:r>
        <w:rPr>
          <w:b/>
          <w:szCs w:val="22"/>
          <w:lang w:val="es-MX"/>
        </w:rPr>
        <w:t>Ejecución Presupuestaria a</w:t>
      </w:r>
      <w:r w:rsidRPr="00D84096">
        <w:rPr>
          <w:b/>
          <w:szCs w:val="22"/>
          <w:lang w:val="es-MX"/>
        </w:rPr>
        <w:t>l 30 de junio de 202</w:t>
      </w:r>
      <w:r>
        <w:rPr>
          <w:b/>
          <w:szCs w:val="22"/>
          <w:lang w:val="es-MX"/>
        </w:rPr>
        <w:t>3</w:t>
      </w:r>
    </w:p>
    <w:p w14:paraId="0D59BB74" w14:textId="77777777" w:rsidR="00C40522" w:rsidRDefault="00C40522" w:rsidP="00C40522">
      <w:pPr>
        <w:jc w:val="center"/>
        <w:rPr>
          <w:lang w:val="es-MX"/>
        </w:rPr>
      </w:pPr>
      <w:r w:rsidRPr="00D84096">
        <w:rPr>
          <w:b/>
          <w:szCs w:val="22"/>
          <w:lang w:val="es-MX"/>
        </w:rPr>
        <w:t>(Cifras en Millones de Quetzales)</w:t>
      </w:r>
    </w:p>
    <w:tbl>
      <w:tblPr>
        <w:tblW w:w="9062" w:type="dxa"/>
        <w:tblCellMar>
          <w:left w:w="70" w:type="dxa"/>
          <w:right w:w="70" w:type="dxa"/>
        </w:tblCellMar>
        <w:tblLook w:val="04A0" w:firstRow="1" w:lastRow="0" w:firstColumn="1" w:lastColumn="0" w:noHBand="0" w:noVBand="1"/>
      </w:tblPr>
      <w:tblGrid>
        <w:gridCol w:w="4668"/>
        <w:gridCol w:w="1134"/>
        <w:gridCol w:w="1134"/>
        <w:gridCol w:w="1134"/>
        <w:gridCol w:w="1069"/>
      </w:tblGrid>
      <w:tr w:rsidR="00C40522" w:rsidRPr="005A6607" w14:paraId="3CE925DD" w14:textId="77777777" w:rsidTr="00E10E8E">
        <w:trPr>
          <w:trHeight w:val="590"/>
        </w:trPr>
        <w:tc>
          <w:tcPr>
            <w:tcW w:w="4668" w:type="dxa"/>
            <w:tcBorders>
              <w:top w:val="single" w:sz="8" w:space="0" w:color="auto"/>
              <w:left w:val="single" w:sz="8" w:space="0" w:color="auto"/>
              <w:bottom w:val="single" w:sz="4" w:space="0" w:color="auto"/>
              <w:right w:val="single" w:sz="4" w:space="0" w:color="auto"/>
            </w:tcBorders>
            <w:shd w:val="clear" w:color="auto" w:fill="00B0F0"/>
            <w:vAlign w:val="center"/>
            <w:hideMark/>
          </w:tcPr>
          <w:p w14:paraId="46790DC2" w14:textId="77777777" w:rsidR="00C40522" w:rsidRPr="004001E9" w:rsidRDefault="00C40522" w:rsidP="00C40522">
            <w:pPr>
              <w:jc w:val="center"/>
              <w:rPr>
                <w:b/>
                <w:bCs/>
                <w:sz w:val="22"/>
                <w:szCs w:val="20"/>
                <w:lang w:val="es-GT" w:eastAsia="es-GT"/>
              </w:rPr>
            </w:pPr>
            <w:r w:rsidRPr="004001E9">
              <w:rPr>
                <w:b/>
                <w:bCs/>
                <w:sz w:val="22"/>
                <w:szCs w:val="20"/>
                <w:lang w:val="es-GT" w:eastAsia="es-GT"/>
              </w:rPr>
              <w:t>Entidad</w:t>
            </w:r>
          </w:p>
        </w:tc>
        <w:tc>
          <w:tcPr>
            <w:tcW w:w="1134" w:type="dxa"/>
            <w:tcBorders>
              <w:top w:val="single" w:sz="8" w:space="0" w:color="auto"/>
              <w:left w:val="nil"/>
              <w:bottom w:val="single" w:sz="4" w:space="0" w:color="auto"/>
              <w:right w:val="single" w:sz="4" w:space="0" w:color="auto"/>
            </w:tcBorders>
            <w:shd w:val="clear" w:color="auto" w:fill="00B0F0"/>
            <w:vAlign w:val="center"/>
            <w:hideMark/>
          </w:tcPr>
          <w:p w14:paraId="2D11A34B" w14:textId="77777777" w:rsidR="00C40522" w:rsidRPr="004001E9" w:rsidRDefault="00C40522" w:rsidP="00C40522">
            <w:pPr>
              <w:jc w:val="center"/>
              <w:rPr>
                <w:b/>
                <w:bCs/>
                <w:sz w:val="22"/>
                <w:szCs w:val="20"/>
                <w:lang w:val="es-GT" w:eastAsia="es-GT"/>
              </w:rPr>
            </w:pPr>
            <w:r w:rsidRPr="004001E9">
              <w:rPr>
                <w:b/>
                <w:bCs/>
                <w:sz w:val="22"/>
                <w:szCs w:val="20"/>
                <w:lang w:val="es-GT" w:eastAsia="es-GT"/>
              </w:rPr>
              <w:t>Vigente</w:t>
            </w:r>
          </w:p>
        </w:tc>
        <w:tc>
          <w:tcPr>
            <w:tcW w:w="1134" w:type="dxa"/>
            <w:tcBorders>
              <w:top w:val="single" w:sz="8" w:space="0" w:color="auto"/>
              <w:left w:val="nil"/>
              <w:bottom w:val="single" w:sz="4" w:space="0" w:color="auto"/>
              <w:right w:val="single" w:sz="4" w:space="0" w:color="auto"/>
            </w:tcBorders>
            <w:shd w:val="clear" w:color="auto" w:fill="00B0F0"/>
            <w:vAlign w:val="center"/>
            <w:hideMark/>
          </w:tcPr>
          <w:p w14:paraId="18B24998" w14:textId="77777777" w:rsidR="00C40522" w:rsidRPr="004001E9" w:rsidRDefault="00C40522" w:rsidP="00C40522">
            <w:pPr>
              <w:jc w:val="center"/>
              <w:rPr>
                <w:b/>
                <w:bCs/>
                <w:sz w:val="22"/>
                <w:szCs w:val="20"/>
                <w:lang w:val="es-GT" w:eastAsia="es-GT"/>
              </w:rPr>
            </w:pPr>
            <w:r w:rsidRPr="004001E9">
              <w:rPr>
                <w:b/>
                <w:bCs/>
                <w:sz w:val="22"/>
                <w:szCs w:val="20"/>
                <w:lang w:val="es-GT" w:eastAsia="es-GT"/>
              </w:rPr>
              <w:t>Ejecutado</w:t>
            </w:r>
          </w:p>
        </w:tc>
        <w:tc>
          <w:tcPr>
            <w:tcW w:w="1134" w:type="dxa"/>
            <w:tcBorders>
              <w:top w:val="single" w:sz="8" w:space="0" w:color="auto"/>
              <w:left w:val="nil"/>
              <w:bottom w:val="single" w:sz="4" w:space="0" w:color="auto"/>
              <w:right w:val="single" w:sz="4" w:space="0" w:color="auto"/>
            </w:tcBorders>
            <w:shd w:val="clear" w:color="auto" w:fill="00B0F0"/>
            <w:vAlign w:val="center"/>
            <w:hideMark/>
          </w:tcPr>
          <w:p w14:paraId="0ABDFB6D" w14:textId="77777777" w:rsidR="00C40522" w:rsidRPr="004001E9" w:rsidRDefault="00C40522" w:rsidP="00C40522">
            <w:pPr>
              <w:jc w:val="center"/>
              <w:rPr>
                <w:b/>
                <w:bCs/>
                <w:sz w:val="22"/>
                <w:szCs w:val="20"/>
                <w:lang w:val="es-GT" w:eastAsia="es-GT"/>
              </w:rPr>
            </w:pPr>
            <w:r w:rsidRPr="004001E9">
              <w:rPr>
                <w:b/>
                <w:bCs/>
                <w:sz w:val="22"/>
                <w:szCs w:val="20"/>
                <w:lang w:val="es-GT" w:eastAsia="es-GT"/>
              </w:rPr>
              <w:t>Saldo por Devengar</w:t>
            </w:r>
          </w:p>
        </w:tc>
        <w:tc>
          <w:tcPr>
            <w:tcW w:w="992" w:type="dxa"/>
            <w:tcBorders>
              <w:top w:val="single" w:sz="8" w:space="0" w:color="auto"/>
              <w:left w:val="single" w:sz="4" w:space="0" w:color="auto"/>
              <w:bottom w:val="single" w:sz="4" w:space="0" w:color="auto"/>
              <w:right w:val="single" w:sz="8" w:space="0" w:color="auto"/>
            </w:tcBorders>
            <w:shd w:val="clear" w:color="auto" w:fill="00B0F0"/>
            <w:vAlign w:val="center"/>
            <w:hideMark/>
          </w:tcPr>
          <w:p w14:paraId="356348B5" w14:textId="77777777" w:rsidR="00C40522" w:rsidRPr="004001E9" w:rsidRDefault="00C40522" w:rsidP="00C40522">
            <w:pPr>
              <w:jc w:val="center"/>
              <w:rPr>
                <w:b/>
                <w:bCs/>
                <w:sz w:val="22"/>
                <w:szCs w:val="20"/>
                <w:lang w:val="es-GT" w:eastAsia="es-GT"/>
              </w:rPr>
            </w:pPr>
            <w:r w:rsidRPr="004001E9">
              <w:rPr>
                <w:b/>
                <w:bCs/>
                <w:sz w:val="22"/>
                <w:szCs w:val="20"/>
                <w:lang w:val="es-GT" w:eastAsia="es-GT"/>
              </w:rPr>
              <w:t>% de Ejecución</w:t>
            </w:r>
          </w:p>
        </w:tc>
      </w:tr>
      <w:tr w:rsidR="00C40522" w:rsidRPr="005A6607" w14:paraId="057998E6" w14:textId="77777777" w:rsidTr="005A6607">
        <w:trPr>
          <w:trHeight w:val="265"/>
        </w:trPr>
        <w:tc>
          <w:tcPr>
            <w:tcW w:w="4668" w:type="dxa"/>
            <w:tcBorders>
              <w:top w:val="nil"/>
              <w:left w:val="single" w:sz="8" w:space="0" w:color="auto"/>
              <w:bottom w:val="nil"/>
              <w:right w:val="single" w:sz="4" w:space="0" w:color="auto"/>
            </w:tcBorders>
            <w:shd w:val="clear" w:color="auto" w:fill="auto"/>
            <w:noWrap/>
            <w:vAlign w:val="bottom"/>
            <w:hideMark/>
          </w:tcPr>
          <w:p w14:paraId="575E6E85" w14:textId="77777777" w:rsidR="00C40522" w:rsidRPr="005A6607" w:rsidRDefault="00C40522" w:rsidP="00C40522">
            <w:pPr>
              <w:jc w:val="center"/>
              <w:rPr>
                <w:b/>
                <w:bCs/>
                <w:sz w:val="20"/>
                <w:szCs w:val="20"/>
                <w:lang w:val="es-GT" w:eastAsia="es-GT"/>
              </w:rPr>
            </w:pPr>
            <w:r w:rsidRPr="005A6607">
              <w:rPr>
                <w:b/>
                <w:bCs/>
                <w:sz w:val="20"/>
                <w:szCs w:val="20"/>
                <w:lang w:val="es-GT" w:eastAsia="es-GT"/>
              </w:rPr>
              <w:t>Total</w:t>
            </w:r>
          </w:p>
        </w:tc>
        <w:tc>
          <w:tcPr>
            <w:tcW w:w="1134" w:type="dxa"/>
            <w:tcBorders>
              <w:top w:val="nil"/>
              <w:left w:val="single" w:sz="4" w:space="0" w:color="auto"/>
              <w:bottom w:val="nil"/>
              <w:right w:val="single" w:sz="4" w:space="0" w:color="auto"/>
            </w:tcBorders>
            <w:shd w:val="clear" w:color="auto" w:fill="auto"/>
            <w:noWrap/>
            <w:vAlign w:val="bottom"/>
            <w:hideMark/>
          </w:tcPr>
          <w:p w14:paraId="5CC2B8FC" w14:textId="77777777" w:rsidR="00C40522" w:rsidRPr="005A6607" w:rsidRDefault="00C40522" w:rsidP="00C40522">
            <w:pPr>
              <w:jc w:val="center"/>
              <w:rPr>
                <w:b/>
                <w:bCs/>
                <w:sz w:val="20"/>
                <w:szCs w:val="20"/>
                <w:lang w:val="es-GT" w:eastAsia="es-GT"/>
              </w:rPr>
            </w:pPr>
            <w:r w:rsidRPr="005A6607">
              <w:rPr>
                <w:b/>
                <w:bCs/>
                <w:sz w:val="20"/>
                <w:szCs w:val="20"/>
                <w:lang w:val="es-GT" w:eastAsia="es-GT"/>
              </w:rPr>
              <w:t>1,436.2</w:t>
            </w:r>
          </w:p>
        </w:tc>
        <w:tc>
          <w:tcPr>
            <w:tcW w:w="1134" w:type="dxa"/>
            <w:tcBorders>
              <w:top w:val="nil"/>
              <w:left w:val="nil"/>
              <w:bottom w:val="nil"/>
              <w:right w:val="single" w:sz="4" w:space="0" w:color="auto"/>
            </w:tcBorders>
            <w:shd w:val="clear" w:color="auto" w:fill="auto"/>
            <w:noWrap/>
            <w:vAlign w:val="bottom"/>
            <w:hideMark/>
          </w:tcPr>
          <w:p w14:paraId="353F7F21" w14:textId="77777777" w:rsidR="00C40522" w:rsidRPr="005A6607" w:rsidRDefault="00C40522" w:rsidP="00C40522">
            <w:pPr>
              <w:jc w:val="center"/>
              <w:rPr>
                <w:b/>
                <w:bCs/>
                <w:sz w:val="20"/>
                <w:szCs w:val="20"/>
                <w:lang w:val="es-GT" w:eastAsia="es-GT"/>
              </w:rPr>
            </w:pPr>
            <w:r w:rsidRPr="005A6607">
              <w:rPr>
                <w:b/>
                <w:bCs/>
                <w:sz w:val="20"/>
                <w:szCs w:val="20"/>
                <w:lang w:val="es-GT" w:eastAsia="es-GT"/>
              </w:rPr>
              <w:t>975.4</w:t>
            </w:r>
          </w:p>
        </w:tc>
        <w:tc>
          <w:tcPr>
            <w:tcW w:w="1134" w:type="dxa"/>
            <w:tcBorders>
              <w:top w:val="nil"/>
              <w:left w:val="nil"/>
              <w:bottom w:val="nil"/>
              <w:right w:val="single" w:sz="4" w:space="0" w:color="auto"/>
            </w:tcBorders>
            <w:shd w:val="clear" w:color="auto" w:fill="auto"/>
            <w:noWrap/>
            <w:vAlign w:val="bottom"/>
            <w:hideMark/>
          </w:tcPr>
          <w:p w14:paraId="5FFCD7D3" w14:textId="77777777" w:rsidR="00C40522" w:rsidRPr="005A6607" w:rsidRDefault="00C40522" w:rsidP="00C40522">
            <w:pPr>
              <w:jc w:val="center"/>
              <w:rPr>
                <w:b/>
                <w:bCs/>
                <w:sz w:val="20"/>
                <w:szCs w:val="20"/>
                <w:lang w:val="es-GT" w:eastAsia="es-GT"/>
              </w:rPr>
            </w:pPr>
            <w:r w:rsidRPr="005A6607">
              <w:rPr>
                <w:b/>
                <w:bCs/>
                <w:sz w:val="20"/>
                <w:szCs w:val="20"/>
                <w:lang w:val="es-GT" w:eastAsia="es-GT"/>
              </w:rPr>
              <w:t>460.8</w:t>
            </w:r>
          </w:p>
        </w:tc>
        <w:tc>
          <w:tcPr>
            <w:tcW w:w="992" w:type="dxa"/>
            <w:tcBorders>
              <w:top w:val="nil"/>
              <w:left w:val="nil"/>
              <w:bottom w:val="nil"/>
              <w:right w:val="single" w:sz="8" w:space="0" w:color="auto"/>
            </w:tcBorders>
            <w:shd w:val="clear" w:color="auto" w:fill="auto"/>
            <w:noWrap/>
            <w:vAlign w:val="bottom"/>
            <w:hideMark/>
          </w:tcPr>
          <w:p w14:paraId="01F09465" w14:textId="77777777" w:rsidR="00C40522" w:rsidRPr="005A6607" w:rsidRDefault="00C40522" w:rsidP="00C40522">
            <w:pPr>
              <w:jc w:val="center"/>
              <w:rPr>
                <w:b/>
                <w:bCs/>
                <w:sz w:val="20"/>
                <w:szCs w:val="20"/>
                <w:lang w:val="es-GT" w:eastAsia="es-GT"/>
              </w:rPr>
            </w:pPr>
            <w:r w:rsidRPr="005A6607">
              <w:rPr>
                <w:b/>
                <w:bCs/>
                <w:sz w:val="20"/>
                <w:szCs w:val="20"/>
                <w:lang w:val="es-GT" w:eastAsia="es-GT"/>
              </w:rPr>
              <w:t>67.9%</w:t>
            </w:r>
          </w:p>
        </w:tc>
      </w:tr>
      <w:tr w:rsidR="00C40522" w:rsidRPr="005A6607" w14:paraId="39CD980B" w14:textId="77777777" w:rsidTr="005A6607">
        <w:trPr>
          <w:trHeight w:val="265"/>
        </w:trPr>
        <w:tc>
          <w:tcPr>
            <w:tcW w:w="4668" w:type="dxa"/>
            <w:tcBorders>
              <w:top w:val="nil"/>
              <w:left w:val="single" w:sz="8" w:space="0" w:color="auto"/>
              <w:bottom w:val="nil"/>
              <w:right w:val="single" w:sz="4" w:space="0" w:color="auto"/>
            </w:tcBorders>
            <w:shd w:val="clear" w:color="auto" w:fill="auto"/>
            <w:hideMark/>
          </w:tcPr>
          <w:p w14:paraId="24EB577F" w14:textId="29A4C634" w:rsidR="00C40522" w:rsidRPr="005A6607" w:rsidRDefault="00C40522" w:rsidP="00C40522">
            <w:pPr>
              <w:rPr>
                <w:sz w:val="20"/>
                <w:szCs w:val="20"/>
                <w:lang w:val="es-GT" w:eastAsia="es-GT"/>
              </w:rPr>
            </w:pPr>
            <w:r w:rsidRPr="005A6607">
              <w:rPr>
                <w:sz w:val="20"/>
                <w:szCs w:val="20"/>
                <w:lang w:val="es-GT" w:eastAsia="es-GT"/>
              </w:rPr>
              <w:t>Estado de Calamidad Pública por Emergencia C</w:t>
            </w:r>
            <w:r w:rsidR="005A6607" w:rsidRPr="005A6607">
              <w:rPr>
                <w:sz w:val="20"/>
                <w:szCs w:val="20"/>
                <w:lang w:val="es-GT" w:eastAsia="es-GT"/>
              </w:rPr>
              <w:t>ovid-</w:t>
            </w:r>
            <w:r w:rsidRPr="005A6607">
              <w:rPr>
                <w:sz w:val="20"/>
                <w:szCs w:val="20"/>
                <w:lang w:val="es-GT" w:eastAsia="es-GT"/>
              </w:rPr>
              <w:t>19</w:t>
            </w:r>
          </w:p>
        </w:tc>
        <w:tc>
          <w:tcPr>
            <w:tcW w:w="1134" w:type="dxa"/>
            <w:tcBorders>
              <w:top w:val="nil"/>
              <w:left w:val="single" w:sz="4" w:space="0" w:color="auto"/>
              <w:bottom w:val="nil"/>
              <w:right w:val="single" w:sz="4" w:space="0" w:color="auto"/>
            </w:tcBorders>
            <w:shd w:val="clear" w:color="auto" w:fill="auto"/>
            <w:noWrap/>
            <w:vAlign w:val="bottom"/>
            <w:hideMark/>
          </w:tcPr>
          <w:p w14:paraId="7388667C" w14:textId="77777777" w:rsidR="00C40522" w:rsidRPr="005A6607" w:rsidRDefault="00C40522" w:rsidP="00C40522">
            <w:pPr>
              <w:jc w:val="center"/>
              <w:rPr>
                <w:sz w:val="20"/>
                <w:szCs w:val="20"/>
                <w:lang w:val="es-GT" w:eastAsia="es-GT"/>
              </w:rPr>
            </w:pPr>
            <w:r w:rsidRPr="005A6607">
              <w:rPr>
                <w:sz w:val="20"/>
                <w:szCs w:val="20"/>
                <w:lang w:val="es-GT" w:eastAsia="es-GT"/>
              </w:rPr>
              <w:t>766.1</w:t>
            </w:r>
          </w:p>
        </w:tc>
        <w:tc>
          <w:tcPr>
            <w:tcW w:w="1134" w:type="dxa"/>
            <w:tcBorders>
              <w:top w:val="nil"/>
              <w:left w:val="nil"/>
              <w:bottom w:val="nil"/>
              <w:right w:val="single" w:sz="4" w:space="0" w:color="auto"/>
            </w:tcBorders>
            <w:shd w:val="clear" w:color="auto" w:fill="auto"/>
            <w:noWrap/>
            <w:vAlign w:val="bottom"/>
            <w:hideMark/>
          </w:tcPr>
          <w:p w14:paraId="52D09F51" w14:textId="77777777" w:rsidR="00C40522" w:rsidRPr="005A6607" w:rsidRDefault="00C40522" w:rsidP="00C40522">
            <w:pPr>
              <w:jc w:val="center"/>
              <w:rPr>
                <w:sz w:val="20"/>
                <w:szCs w:val="20"/>
                <w:lang w:val="es-GT" w:eastAsia="es-GT"/>
              </w:rPr>
            </w:pPr>
            <w:r w:rsidRPr="005A6607">
              <w:rPr>
                <w:sz w:val="20"/>
                <w:szCs w:val="20"/>
                <w:lang w:val="es-GT" w:eastAsia="es-GT"/>
              </w:rPr>
              <w:t>363.1</w:t>
            </w:r>
          </w:p>
        </w:tc>
        <w:tc>
          <w:tcPr>
            <w:tcW w:w="1134" w:type="dxa"/>
            <w:tcBorders>
              <w:top w:val="nil"/>
              <w:left w:val="nil"/>
              <w:bottom w:val="nil"/>
              <w:right w:val="single" w:sz="4" w:space="0" w:color="auto"/>
            </w:tcBorders>
            <w:shd w:val="clear" w:color="auto" w:fill="auto"/>
            <w:noWrap/>
            <w:vAlign w:val="bottom"/>
            <w:hideMark/>
          </w:tcPr>
          <w:p w14:paraId="287CB6D3" w14:textId="77777777" w:rsidR="00C40522" w:rsidRPr="005A6607" w:rsidRDefault="00C40522" w:rsidP="00C40522">
            <w:pPr>
              <w:jc w:val="center"/>
              <w:rPr>
                <w:sz w:val="20"/>
                <w:szCs w:val="20"/>
                <w:lang w:val="es-GT" w:eastAsia="es-GT"/>
              </w:rPr>
            </w:pPr>
            <w:r w:rsidRPr="005A6607">
              <w:rPr>
                <w:sz w:val="20"/>
                <w:szCs w:val="20"/>
                <w:lang w:val="es-GT" w:eastAsia="es-GT"/>
              </w:rPr>
              <w:t>403.1</w:t>
            </w:r>
          </w:p>
        </w:tc>
        <w:tc>
          <w:tcPr>
            <w:tcW w:w="992" w:type="dxa"/>
            <w:tcBorders>
              <w:top w:val="nil"/>
              <w:left w:val="nil"/>
              <w:bottom w:val="nil"/>
              <w:right w:val="single" w:sz="8" w:space="0" w:color="auto"/>
            </w:tcBorders>
            <w:shd w:val="clear" w:color="auto" w:fill="auto"/>
            <w:noWrap/>
            <w:vAlign w:val="bottom"/>
            <w:hideMark/>
          </w:tcPr>
          <w:p w14:paraId="537E92AB" w14:textId="77777777" w:rsidR="00C40522" w:rsidRPr="005A6607" w:rsidRDefault="00C40522" w:rsidP="00C40522">
            <w:pPr>
              <w:jc w:val="center"/>
              <w:rPr>
                <w:sz w:val="20"/>
                <w:szCs w:val="20"/>
                <w:lang w:val="es-GT" w:eastAsia="es-GT"/>
              </w:rPr>
            </w:pPr>
            <w:r w:rsidRPr="005A6607">
              <w:rPr>
                <w:sz w:val="20"/>
                <w:szCs w:val="20"/>
                <w:lang w:val="es-GT" w:eastAsia="es-GT"/>
              </w:rPr>
              <w:t>47.4%</w:t>
            </w:r>
          </w:p>
        </w:tc>
      </w:tr>
      <w:tr w:rsidR="00C40522" w:rsidRPr="005A6607" w14:paraId="3CA3F4D0" w14:textId="77777777" w:rsidTr="005A6607">
        <w:trPr>
          <w:trHeight w:val="265"/>
        </w:trPr>
        <w:tc>
          <w:tcPr>
            <w:tcW w:w="4668" w:type="dxa"/>
            <w:tcBorders>
              <w:top w:val="nil"/>
              <w:left w:val="single" w:sz="8" w:space="0" w:color="auto"/>
              <w:bottom w:val="nil"/>
              <w:right w:val="single" w:sz="4" w:space="0" w:color="auto"/>
            </w:tcBorders>
            <w:shd w:val="clear" w:color="auto" w:fill="auto"/>
            <w:hideMark/>
          </w:tcPr>
          <w:p w14:paraId="1F4EA362" w14:textId="77777777" w:rsidR="00C40522" w:rsidRPr="005A6607" w:rsidRDefault="00C40522" w:rsidP="00C40522">
            <w:pPr>
              <w:rPr>
                <w:sz w:val="20"/>
                <w:szCs w:val="20"/>
                <w:lang w:val="es-GT" w:eastAsia="es-GT"/>
              </w:rPr>
            </w:pPr>
            <w:r w:rsidRPr="005A6607">
              <w:rPr>
                <w:sz w:val="20"/>
                <w:szCs w:val="20"/>
                <w:lang w:val="es-GT" w:eastAsia="es-GT"/>
              </w:rPr>
              <w:t>Estado de Calamidad Pública por Depresión Tropical ETA</w:t>
            </w:r>
          </w:p>
        </w:tc>
        <w:tc>
          <w:tcPr>
            <w:tcW w:w="1134" w:type="dxa"/>
            <w:tcBorders>
              <w:top w:val="nil"/>
              <w:left w:val="single" w:sz="4" w:space="0" w:color="auto"/>
              <w:bottom w:val="nil"/>
              <w:right w:val="single" w:sz="4" w:space="0" w:color="auto"/>
            </w:tcBorders>
            <w:shd w:val="clear" w:color="auto" w:fill="auto"/>
            <w:noWrap/>
            <w:vAlign w:val="bottom"/>
            <w:hideMark/>
          </w:tcPr>
          <w:p w14:paraId="26DEA1B9" w14:textId="77777777" w:rsidR="00C40522" w:rsidRPr="005A6607" w:rsidRDefault="00C40522" w:rsidP="00C40522">
            <w:pPr>
              <w:jc w:val="center"/>
              <w:rPr>
                <w:sz w:val="20"/>
                <w:szCs w:val="20"/>
                <w:lang w:val="es-GT" w:eastAsia="es-GT"/>
              </w:rPr>
            </w:pPr>
            <w:r w:rsidRPr="005A6607">
              <w:rPr>
                <w:sz w:val="20"/>
                <w:szCs w:val="20"/>
                <w:lang w:val="es-GT" w:eastAsia="es-GT"/>
              </w:rPr>
              <w:t>125.9</w:t>
            </w:r>
          </w:p>
        </w:tc>
        <w:tc>
          <w:tcPr>
            <w:tcW w:w="1134" w:type="dxa"/>
            <w:tcBorders>
              <w:top w:val="nil"/>
              <w:left w:val="nil"/>
              <w:bottom w:val="nil"/>
              <w:right w:val="single" w:sz="4" w:space="0" w:color="auto"/>
            </w:tcBorders>
            <w:shd w:val="clear" w:color="auto" w:fill="auto"/>
            <w:noWrap/>
            <w:vAlign w:val="bottom"/>
            <w:hideMark/>
          </w:tcPr>
          <w:p w14:paraId="45EEF5BF" w14:textId="77777777" w:rsidR="00C40522" w:rsidRPr="005A6607" w:rsidRDefault="00C40522" w:rsidP="00C40522">
            <w:pPr>
              <w:jc w:val="center"/>
              <w:rPr>
                <w:sz w:val="20"/>
                <w:szCs w:val="20"/>
                <w:lang w:val="es-GT" w:eastAsia="es-GT"/>
              </w:rPr>
            </w:pPr>
            <w:r w:rsidRPr="005A6607">
              <w:rPr>
                <w:sz w:val="20"/>
                <w:szCs w:val="20"/>
                <w:lang w:val="es-GT" w:eastAsia="es-GT"/>
              </w:rPr>
              <w:t>94.5</w:t>
            </w:r>
          </w:p>
        </w:tc>
        <w:tc>
          <w:tcPr>
            <w:tcW w:w="1134" w:type="dxa"/>
            <w:tcBorders>
              <w:top w:val="nil"/>
              <w:left w:val="nil"/>
              <w:bottom w:val="nil"/>
              <w:right w:val="single" w:sz="4" w:space="0" w:color="auto"/>
            </w:tcBorders>
            <w:shd w:val="clear" w:color="auto" w:fill="auto"/>
            <w:noWrap/>
            <w:vAlign w:val="bottom"/>
            <w:hideMark/>
          </w:tcPr>
          <w:p w14:paraId="7B567B6C" w14:textId="77777777" w:rsidR="00C40522" w:rsidRPr="005A6607" w:rsidRDefault="00C40522" w:rsidP="00C40522">
            <w:pPr>
              <w:jc w:val="center"/>
              <w:rPr>
                <w:sz w:val="20"/>
                <w:szCs w:val="20"/>
                <w:lang w:val="es-GT" w:eastAsia="es-GT"/>
              </w:rPr>
            </w:pPr>
            <w:r w:rsidRPr="005A6607">
              <w:rPr>
                <w:sz w:val="20"/>
                <w:szCs w:val="20"/>
                <w:lang w:val="es-GT" w:eastAsia="es-GT"/>
              </w:rPr>
              <w:t>31.4</w:t>
            </w:r>
          </w:p>
        </w:tc>
        <w:tc>
          <w:tcPr>
            <w:tcW w:w="992" w:type="dxa"/>
            <w:tcBorders>
              <w:top w:val="nil"/>
              <w:left w:val="nil"/>
              <w:bottom w:val="nil"/>
              <w:right w:val="single" w:sz="8" w:space="0" w:color="auto"/>
            </w:tcBorders>
            <w:shd w:val="clear" w:color="auto" w:fill="auto"/>
            <w:noWrap/>
            <w:vAlign w:val="bottom"/>
            <w:hideMark/>
          </w:tcPr>
          <w:p w14:paraId="3FC9D2AC" w14:textId="77777777" w:rsidR="00C40522" w:rsidRPr="005A6607" w:rsidRDefault="00C40522" w:rsidP="00C40522">
            <w:pPr>
              <w:jc w:val="center"/>
              <w:rPr>
                <w:sz w:val="20"/>
                <w:szCs w:val="20"/>
                <w:lang w:val="es-GT" w:eastAsia="es-GT"/>
              </w:rPr>
            </w:pPr>
            <w:r w:rsidRPr="005A6607">
              <w:rPr>
                <w:sz w:val="20"/>
                <w:szCs w:val="20"/>
                <w:lang w:val="es-GT" w:eastAsia="es-GT"/>
              </w:rPr>
              <w:t>75.1%</w:t>
            </w:r>
          </w:p>
        </w:tc>
      </w:tr>
      <w:tr w:rsidR="00C40522" w:rsidRPr="005A6607" w14:paraId="79FCC040" w14:textId="77777777" w:rsidTr="005A6607">
        <w:trPr>
          <w:trHeight w:val="531"/>
        </w:trPr>
        <w:tc>
          <w:tcPr>
            <w:tcW w:w="4668" w:type="dxa"/>
            <w:tcBorders>
              <w:top w:val="nil"/>
              <w:left w:val="single" w:sz="8" w:space="0" w:color="auto"/>
              <w:bottom w:val="nil"/>
              <w:right w:val="single" w:sz="4" w:space="0" w:color="auto"/>
            </w:tcBorders>
            <w:shd w:val="clear" w:color="auto" w:fill="auto"/>
            <w:hideMark/>
          </w:tcPr>
          <w:p w14:paraId="78F3B1B7" w14:textId="77777777" w:rsidR="00C40522" w:rsidRPr="005A6607" w:rsidRDefault="00C40522" w:rsidP="00C40522">
            <w:pPr>
              <w:rPr>
                <w:sz w:val="20"/>
                <w:szCs w:val="20"/>
                <w:lang w:val="es-GT" w:eastAsia="es-GT"/>
              </w:rPr>
            </w:pPr>
            <w:r w:rsidRPr="005A6607">
              <w:rPr>
                <w:sz w:val="20"/>
                <w:szCs w:val="20"/>
                <w:lang w:val="es-GT" w:eastAsia="es-GT"/>
              </w:rPr>
              <w:t>Estado de Calamidad Pública por Época Lluviosa, Temporada Ciclónica y Sistema de Baja Presión</w:t>
            </w:r>
          </w:p>
        </w:tc>
        <w:tc>
          <w:tcPr>
            <w:tcW w:w="1134" w:type="dxa"/>
            <w:tcBorders>
              <w:top w:val="nil"/>
              <w:left w:val="single" w:sz="4" w:space="0" w:color="auto"/>
              <w:bottom w:val="nil"/>
              <w:right w:val="single" w:sz="4" w:space="0" w:color="auto"/>
            </w:tcBorders>
            <w:shd w:val="clear" w:color="auto" w:fill="auto"/>
            <w:noWrap/>
            <w:vAlign w:val="bottom"/>
            <w:hideMark/>
          </w:tcPr>
          <w:p w14:paraId="37F5B7BC" w14:textId="77777777" w:rsidR="00C40522" w:rsidRPr="005A6607" w:rsidRDefault="00C40522" w:rsidP="00C40522">
            <w:pPr>
              <w:jc w:val="center"/>
              <w:rPr>
                <w:sz w:val="20"/>
                <w:szCs w:val="20"/>
                <w:lang w:val="es-GT" w:eastAsia="es-GT"/>
              </w:rPr>
            </w:pPr>
            <w:r w:rsidRPr="005A6607">
              <w:rPr>
                <w:sz w:val="20"/>
                <w:szCs w:val="20"/>
                <w:lang w:val="es-GT" w:eastAsia="es-GT"/>
              </w:rPr>
              <w:t>97.9</w:t>
            </w:r>
          </w:p>
        </w:tc>
        <w:tc>
          <w:tcPr>
            <w:tcW w:w="1134" w:type="dxa"/>
            <w:tcBorders>
              <w:top w:val="nil"/>
              <w:left w:val="nil"/>
              <w:bottom w:val="nil"/>
              <w:right w:val="single" w:sz="4" w:space="0" w:color="auto"/>
            </w:tcBorders>
            <w:shd w:val="clear" w:color="auto" w:fill="auto"/>
            <w:noWrap/>
            <w:vAlign w:val="bottom"/>
            <w:hideMark/>
          </w:tcPr>
          <w:p w14:paraId="689683AE" w14:textId="77777777" w:rsidR="00C40522" w:rsidRPr="005A6607" w:rsidRDefault="00C40522" w:rsidP="00C40522">
            <w:pPr>
              <w:jc w:val="center"/>
              <w:rPr>
                <w:sz w:val="20"/>
                <w:szCs w:val="20"/>
                <w:lang w:val="es-GT" w:eastAsia="es-GT"/>
              </w:rPr>
            </w:pPr>
            <w:r w:rsidRPr="005A6607">
              <w:rPr>
                <w:sz w:val="20"/>
                <w:szCs w:val="20"/>
                <w:lang w:val="es-GT" w:eastAsia="es-GT"/>
              </w:rPr>
              <w:t>90.7</w:t>
            </w:r>
          </w:p>
        </w:tc>
        <w:tc>
          <w:tcPr>
            <w:tcW w:w="1134" w:type="dxa"/>
            <w:tcBorders>
              <w:top w:val="nil"/>
              <w:left w:val="nil"/>
              <w:bottom w:val="nil"/>
              <w:right w:val="single" w:sz="4" w:space="0" w:color="auto"/>
            </w:tcBorders>
            <w:shd w:val="clear" w:color="auto" w:fill="auto"/>
            <w:noWrap/>
            <w:vAlign w:val="bottom"/>
            <w:hideMark/>
          </w:tcPr>
          <w:p w14:paraId="7146A8FD" w14:textId="77777777" w:rsidR="00C40522" w:rsidRPr="005A6607" w:rsidRDefault="00C40522" w:rsidP="00C40522">
            <w:pPr>
              <w:jc w:val="center"/>
              <w:rPr>
                <w:sz w:val="20"/>
                <w:szCs w:val="20"/>
                <w:lang w:val="es-GT" w:eastAsia="es-GT"/>
              </w:rPr>
            </w:pPr>
            <w:r w:rsidRPr="005A6607">
              <w:rPr>
                <w:sz w:val="20"/>
                <w:szCs w:val="20"/>
                <w:lang w:val="es-GT" w:eastAsia="es-GT"/>
              </w:rPr>
              <w:t>7.1</w:t>
            </w:r>
          </w:p>
        </w:tc>
        <w:tc>
          <w:tcPr>
            <w:tcW w:w="992" w:type="dxa"/>
            <w:tcBorders>
              <w:top w:val="nil"/>
              <w:left w:val="nil"/>
              <w:bottom w:val="nil"/>
              <w:right w:val="single" w:sz="8" w:space="0" w:color="auto"/>
            </w:tcBorders>
            <w:shd w:val="clear" w:color="auto" w:fill="auto"/>
            <w:noWrap/>
            <w:vAlign w:val="bottom"/>
            <w:hideMark/>
          </w:tcPr>
          <w:p w14:paraId="3ECDD8A3" w14:textId="77777777" w:rsidR="00C40522" w:rsidRPr="005A6607" w:rsidRDefault="00C40522" w:rsidP="00C40522">
            <w:pPr>
              <w:jc w:val="center"/>
              <w:rPr>
                <w:sz w:val="20"/>
                <w:szCs w:val="20"/>
                <w:lang w:val="es-GT" w:eastAsia="es-GT"/>
              </w:rPr>
            </w:pPr>
            <w:r w:rsidRPr="005A6607">
              <w:rPr>
                <w:sz w:val="20"/>
                <w:szCs w:val="20"/>
                <w:lang w:val="es-GT" w:eastAsia="es-GT"/>
              </w:rPr>
              <w:t>92.7%</w:t>
            </w:r>
          </w:p>
        </w:tc>
      </w:tr>
      <w:tr w:rsidR="00C40522" w:rsidRPr="005A6607" w14:paraId="0B2392EC" w14:textId="77777777" w:rsidTr="005A6607">
        <w:trPr>
          <w:trHeight w:val="544"/>
        </w:trPr>
        <w:tc>
          <w:tcPr>
            <w:tcW w:w="4668" w:type="dxa"/>
            <w:tcBorders>
              <w:top w:val="nil"/>
              <w:left w:val="single" w:sz="8" w:space="0" w:color="auto"/>
              <w:bottom w:val="single" w:sz="8" w:space="0" w:color="auto"/>
              <w:right w:val="single" w:sz="4" w:space="0" w:color="auto"/>
            </w:tcBorders>
            <w:shd w:val="clear" w:color="auto" w:fill="auto"/>
            <w:hideMark/>
          </w:tcPr>
          <w:p w14:paraId="70684BB0" w14:textId="77777777" w:rsidR="00C40522" w:rsidRPr="005A6607" w:rsidRDefault="00C40522" w:rsidP="00C40522">
            <w:pPr>
              <w:rPr>
                <w:sz w:val="20"/>
                <w:szCs w:val="20"/>
                <w:lang w:val="es-GT" w:eastAsia="es-GT"/>
              </w:rPr>
            </w:pPr>
            <w:r w:rsidRPr="005A6607">
              <w:rPr>
                <w:sz w:val="20"/>
                <w:szCs w:val="20"/>
                <w:lang w:val="es-GT" w:eastAsia="es-GT"/>
              </w:rPr>
              <w:t>Estado de Calamidad Pública por los Efectos de la Época Lluviosa y el Ciclón Tropical Julia</w:t>
            </w:r>
          </w:p>
        </w:tc>
        <w:tc>
          <w:tcPr>
            <w:tcW w:w="1134" w:type="dxa"/>
            <w:tcBorders>
              <w:top w:val="nil"/>
              <w:left w:val="nil"/>
              <w:bottom w:val="single" w:sz="8" w:space="0" w:color="auto"/>
              <w:right w:val="single" w:sz="4" w:space="0" w:color="auto"/>
            </w:tcBorders>
            <w:shd w:val="clear" w:color="auto" w:fill="auto"/>
            <w:noWrap/>
            <w:vAlign w:val="bottom"/>
            <w:hideMark/>
          </w:tcPr>
          <w:p w14:paraId="6C2C8344" w14:textId="77777777" w:rsidR="00C40522" w:rsidRPr="005A6607" w:rsidRDefault="00C40522" w:rsidP="00C40522">
            <w:pPr>
              <w:jc w:val="center"/>
              <w:rPr>
                <w:sz w:val="20"/>
                <w:szCs w:val="20"/>
                <w:lang w:val="es-GT" w:eastAsia="es-GT"/>
              </w:rPr>
            </w:pPr>
            <w:r w:rsidRPr="005A6607">
              <w:rPr>
                <w:sz w:val="20"/>
                <w:szCs w:val="20"/>
                <w:lang w:val="es-GT" w:eastAsia="es-GT"/>
              </w:rPr>
              <w:t>446.2</w:t>
            </w:r>
          </w:p>
        </w:tc>
        <w:tc>
          <w:tcPr>
            <w:tcW w:w="1134" w:type="dxa"/>
            <w:tcBorders>
              <w:top w:val="nil"/>
              <w:left w:val="nil"/>
              <w:bottom w:val="single" w:sz="8" w:space="0" w:color="auto"/>
              <w:right w:val="single" w:sz="4" w:space="0" w:color="auto"/>
            </w:tcBorders>
            <w:shd w:val="clear" w:color="auto" w:fill="auto"/>
            <w:noWrap/>
            <w:vAlign w:val="bottom"/>
            <w:hideMark/>
          </w:tcPr>
          <w:p w14:paraId="02B4A9F0" w14:textId="77777777" w:rsidR="00C40522" w:rsidRPr="005A6607" w:rsidRDefault="00C40522" w:rsidP="00C40522">
            <w:pPr>
              <w:jc w:val="center"/>
              <w:rPr>
                <w:sz w:val="20"/>
                <w:szCs w:val="20"/>
                <w:lang w:val="es-GT" w:eastAsia="es-GT"/>
              </w:rPr>
            </w:pPr>
            <w:r w:rsidRPr="005A6607">
              <w:rPr>
                <w:sz w:val="20"/>
                <w:szCs w:val="20"/>
                <w:lang w:val="es-GT" w:eastAsia="es-GT"/>
              </w:rPr>
              <w:t>427.1</w:t>
            </w:r>
          </w:p>
        </w:tc>
        <w:tc>
          <w:tcPr>
            <w:tcW w:w="1134" w:type="dxa"/>
            <w:tcBorders>
              <w:top w:val="nil"/>
              <w:left w:val="nil"/>
              <w:bottom w:val="single" w:sz="8" w:space="0" w:color="auto"/>
              <w:right w:val="single" w:sz="4" w:space="0" w:color="auto"/>
            </w:tcBorders>
            <w:shd w:val="clear" w:color="auto" w:fill="auto"/>
            <w:noWrap/>
            <w:vAlign w:val="bottom"/>
            <w:hideMark/>
          </w:tcPr>
          <w:p w14:paraId="67E814C2" w14:textId="77777777" w:rsidR="00C40522" w:rsidRPr="005A6607" w:rsidRDefault="00C40522" w:rsidP="00C40522">
            <w:pPr>
              <w:jc w:val="center"/>
              <w:rPr>
                <w:sz w:val="20"/>
                <w:szCs w:val="20"/>
                <w:lang w:val="es-GT" w:eastAsia="es-GT"/>
              </w:rPr>
            </w:pPr>
            <w:r w:rsidRPr="005A6607">
              <w:rPr>
                <w:sz w:val="20"/>
                <w:szCs w:val="20"/>
                <w:lang w:val="es-GT" w:eastAsia="es-GT"/>
              </w:rPr>
              <w:t>19.2</w:t>
            </w:r>
          </w:p>
        </w:tc>
        <w:tc>
          <w:tcPr>
            <w:tcW w:w="992" w:type="dxa"/>
            <w:tcBorders>
              <w:top w:val="nil"/>
              <w:left w:val="nil"/>
              <w:bottom w:val="single" w:sz="8" w:space="0" w:color="auto"/>
              <w:right w:val="single" w:sz="8" w:space="0" w:color="auto"/>
            </w:tcBorders>
            <w:shd w:val="clear" w:color="auto" w:fill="auto"/>
            <w:noWrap/>
            <w:vAlign w:val="bottom"/>
            <w:hideMark/>
          </w:tcPr>
          <w:p w14:paraId="4D7135A3" w14:textId="77777777" w:rsidR="00C40522" w:rsidRPr="005A6607" w:rsidRDefault="00C40522" w:rsidP="00C40522">
            <w:pPr>
              <w:jc w:val="center"/>
              <w:rPr>
                <w:sz w:val="20"/>
                <w:szCs w:val="20"/>
                <w:lang w:val="es-GT" w:eastAsia="es-GT"/>
              </w:rPr>
            </w:pPr>
            <w:r w:rsidRPr="005A6607">
              <w:rPr>
                <w:sz w:val="20"/>
                <w:szCs w:val="20"/>
                <w:lang w:val="es-GT" w:eastAsia="es-GT"/>
              </w:rPr>
              <w:t>95.7%</w:t>
            </w:r>
          </w:p>
        </w:tc>
      </w:tr>
    </w:tbl>
    <w:p w14:paraId="6EC82001" w14:textId="77777777" w:rsidR="00C40522" w:rsidRPr="00CF5481" w:rsidRDefault="00C40522" w:rsidP="00C40522">
      <w:pPr>
        <w:jc w:val="both"/>
        <w:rPr>
          <w:sz w:val="18"/>
          <w:lang w:val="es-MX"/>
        </w:rPr>
      </w:pPr>
      <w:r>
        <w:rPr>
          <w:sz w:val="18"/>
          <w:lang w:val="es-MX"/>
        </w:rPr>
        <w:t xml:space="preserve"> </w:t>
      </w:r>
      <w:r w:rsidRPr="00CF5481">
        <w:rPr>
          <w:sz w:val="18"/>
          <w:lang w:val="es-MX"/>
        </w:rPr>
        <w:t>Fuente: Ministerio de Finanzas Públicas</w:t>
      </w:r>
      <w:r>
        <w:rPr>
          <w:sz w:val="18"/>
          <w:lang w:val="es-MX"/>
        </w:rPr>
        <w:t>,</w:t>
      </w:r>
      <w:r w:rsidRPr="00CF5481">
        <w:rPr>
          <w:sz w:val="18"/>
          <w:lang w:val="es-MX"/>
        </w:rPr>
        <w:t xml:space="preserve"> SICOIN.</w:t>
      </w:r>
    </w:p>
    <w:p w14:paraId="0E80B004" w14:textId="77777777" w:rsidR="00C40522" w:rsidRDefault="00C40522" w:rsidP="00C40522">
      <w:pPr>
        <w:jc w:val="both"/>
        <w:rPr>
          <w:lang w:val="es-MX"/>
        </w:rPr>
      </w:pPr>
    </w:p>
    <w:p w14:paraId="79ED416C" w14:textId="77777777" w:rsidR="00C40522" w:rsidRDefault="00C40522" w:rsidP="00C40522">
      <w:pPr>
        <w:jc w:val="both"/>
        <w:rPr>
          <w:lang w:val="es-MX"/>
        </w:rPr>
      </w:pPr>
    </w:p>
    <w:p w14:paraId="1DF3C060" w14:textId="77777777" w:rsidR="00C40522" w:rsidRPr="00640402" w:rsidRDefault="00C40522" w:rsidP="00A840E5">
      <w:pPr>
        <w:pStyle w:val="Ttulo3"/>
        <w:numPr>
          <w:ilvl w:val="0"/>
          <w:numId w:val="5"/>
        </w:numPr>
        <w:ind w:left="426"/>
        <w:rPr>
          <w:rFonts w:ascii="Times New Roman" w:hAnsi="Times New Roman"/>
          <w:color w:val="auto"/>
          <w:lang w:val="es-MX"/>
        </w:rPr>
      </w:pPr>
      <w:bookmarkStart w:id="29" w:name="_Toc114732541"/>
      <w:bookmarkStart w:id="30" w:name="_Toc142920545"/>
      <w:r w:rsidRPr="00640402">
        <w:rPr>
          <w:rFonts w:ascii="Times New Roman" w:hAnsi="Times New Roman"/>
          <w:color w:val="auto"/>
          <w:lang w:val="es-MX"/>
        </w:rPr>
        <w:t>Déficit Fiscal</w:t>
      </w:r>
      <w:bookmarkEnd w:id="29"/>
      <w:bookmarkEnd w:id="30"/>
    </w:p>
    <w:p w14:paraId="2B27EB55" w14:textId="77777777" w:rsidR="00C40522" w:rsidRPr="00FB641E" w:rsidRDefault="00C40522" w:rsidP="00C40522">
      <w:pPr>
        <w:jc w:val="both"/>
        <w:rPr>
          <w:lang w:val="es-MX"/>
        </w:rPr>
      </w:pPr>
    </w:p>
    <w:p w14:paraId="357BE828" w14:textId="29BC3BA1" w:rsidR="00C40522" w:rsidRDefault="00C40522" w:rsidP="00C40522">
      <w:pPr>
        <w:jc w:val="both"/>
        <w:rPr>
          <w:lang w:val="es-MX"/>
        </w:rPr>
      </w:pPr>
      <w:r>
        <w:rPr>
          <w:lang w:val="es-MX"/>
        </w:rPr>
        <w:t>El sistema tributario guatemalteco se fundamente en 13 impuestos</w:t>
      </w:r>
      <w:r w:rsidR="005A6607">
        <w:rPr>
          <w:lang w:val="es-MX"/>
        </w:rPr>
        <w:t>;</w:t>
      </w:r>
      <w:r>
        <w:rPr>
          <w:lang w:val="es-MX"/>
        </w:rPr>
        <w:t xml:space="preserve"> sin embargo, la recaudación del Estado proviene principalmente de 2 impuestos</w:t>
      </w:r>
      <w:r w:rsidR="005A6607">
        <w:rPr>
          <w:lang w:val="es-MX"/>
        </w:rPr>
        <w:t>:</w:t>
      </w:r>
      <w:r>
        <w:rPr>
          <w:lang w:val="es-MX"/>
        </w:rPr>
        <w:t xml:space="preserve"> el </w:t>
      </w:r>
      <w:r w:rsidR="005A6607">
        <w:rPr>
          <w:lang w:val="es-MX"/>
        </w:rPr>
        <w:t>I</w:t>
      </w:r>
      <w:r>
        <w:rPr>
          <w:lang w:val="es-MX"/>
        </w:rPr>
        <w:t xml:space="preserve">mpuesto al Valor Agregado </w:t>
      </w:r>
      <w:r w:rsidR="005A6607">
        <w:rPr>
          <w:lang w:val="es-MX"/>
        </w:rPr>
        <w:t>(</w:t>
      </w:r>
      <w:r>
        <w:rPr>
          <w:lang w:val="es-MX"/>
        </w:rPr>
        <w:t>IVA</w:t>
      </w:r>
      <w:r w:rsidR="005A6607">
        <w:rPr>
          <w:lang w:val="es-MX"/>
        </w:rPr>
        <w:t>)</w:t>
      </w:r>
      <w:r>
        <w:rPr>
          <w:lang w:val="es-MX"/>
        </w:rPr>
        <w:t xml:space="preserve"> y el Impuesto Sobre la Renta</w:t>
      </w:r>
      <w:r w:rsidR="005A6607">
        <w:rPr>
          <w:lang w:val="es-MX"/>
        </w:rPr>
        <w:t xml:space="preserve"> (ISR)</w:t>
      </w:r>
      <w:r>
        <w:rPr>
          <w:lang w:val="es-MX"/>
        </w:rPr>
        <w:t>, que juntos generan una recaudación superior al 75.0% de la recaudación total.</w:t>
      </w:r>
    </w:p>
    <w:p w14:paraId="3548582B" w14:textId="77777777" w:rsidR="005A6607" w:rsidRDefault="005A6607" w:rsidP="00C40522">
      <w:pPr>
        <w:jc w:val="both"/>
        <w:rPr>
          <w:lang w:val="es-MX"/>
        </w:rPr>
      </w:pPr>
    </w:p>
    <w:p w14:paraId="6D861CEC" w14:textId="7DA51A5F" w:rsidR="00C40522" w:rsidRDefault="00C40522" w:rsidP="00C40522">
      <w:pPr>
        <w:jc w:val="both"/>
        <w:rPr>
          <w:lang w:val="es-MX"/>
        </w:rPr>
      </w:pPr>
      <w:r>
        <w:rPr>
          <w:lang w:val="es-MX"/>
        </w:rPr>
        <w:t>Históricamente</w:t>
      </w:r>
      <w:r w:rsidR="00B415B0">
        <w:rPr>
          <w:lang w:val="es-MX"/>
        </w:rPr>
        <w:t>,</w:t>
      </w:r>
      <w:r>
        <w:rPr>
          <w:lang w:val="es-MX"/>
        </w:rPr>
        <w:t xml:space="preserve"> los gravámenes que impone el Estado a la población no generan los suficientes ingresos que </w:t>
      </w:r>
      <w:r w:rsidR="005A6607">
        <w:rPr>
          <w:lang w:val="es-MX"/>
        </w:rPr>
        <w:t xml:space="preserve">se </w:t>
      </w:r>
      <w:r>
        <w:rPr>
          <w:lang w:val="es-MX"/>
        </w:rPr>
        <w:t>requiere</w:t>
      </w:r>
      <w:r w:rsidR="005A6607">
        <w:rPr>
          <w:lang w:val="es-MX"/>
        </w:rPr>
        <w:t>n</w:t>
      </w:r>
      <w:r>
        <w:rPr>
          <w:lang w:val="es-MX"/>
        </w:rPr>
        <w:t xml:space="preserve"> para hacer frente a sus </w:t>
      </w:r>
      <w:r w:rsidR="00BA0BB1">
        <w:rPr>
          <w:lang w:val="es-MX"/>
        </w:rPr>
        <w:t>compromisos</w:t>
      </w:r>
      <w:r>
        <w:rPr>
          <w:lang w:val="es-MX"/>
        </w:rPr>
        <w:t xml:space="preserve"> y funciones que constitucionalmente está obligado a realizar. De esa cuenta en la situación financiera se muestra un resultado negativo debido a que los ingresos son insuficientes para cubrir los compromisos del Estado; el espacio que el gobierno no logra cubrir con ingresos corrientes los obtiene de la ejecución de la política de endeudamiento por la aplicación del crédito público, situación que tiende a incrementar los niveles de la deuda pública.</w:t>
      </w:r>
    </w:p>
    <w:p w14:paraId="4D107422" w14:textId="77777777" w:rsidR="00C40522" w:rsidRDefault="00C40522" w:rsidP="00C40522">
      <w:pPr>
        <w:jc w:val="both"/>
        <w:rPr>
          <w:lang w:val="es-MX"/>
        </w:rPr>
      </w:pPr>
    </w:p>
    <w:p w14:paraId="0B44137F" w14:textId="77777777" w:rsidR="00C40522" w:rsidRDefault="00C40522" w:rsidP="00C40522">
      <w:pPr>
        <w:jc w:val="both"/>
      </w:pPr>
      <w:r>
        <w:t>El comportamiento que presenta la ejecución presupuestaria del ejercicio fiscal 2023 se ha desarrollado bajo el escenario de un manejo prudente de las finanzas públicas, impulsado principalmente por factores externos que han impactado directamente en el dinamismo de la economía guatemalteca, a la vez que se tiene como objetivo continuar incentivando sectores prioritarios, así como el mejoramiento de infraestructura estratégica, con la intención de mantener estable el proceso de recuperación económica del país.</w:t>
      </w:r>
    </w:p>
    <w:p w14:paraId="4DACAC21" w14:textId="77777777" w:rsidR="00C40522" w:rsidRDefault="00C40522" w:rsidP="00C40522">
      <w:pPr>
        <w:jc w:val="both"/>
        <w:rPr>
          <w:lang w:val="es-MX"/>
        </w:rPr>
      </w:pPr>
    </w:p>
    <w:p w14:paraId="74544248" w14:textId="77777777" w:rsidR="00C40522" w:rsidRDefault="00C40522" w:rsidP="00C40522">
      <w:pPr>
        <w:jc w:val="both"/>
        <w:rPr>
          <w:lang w:val="es-MX"/>
        </w:rPr>
      </w:pPr>
      <w:r>
        <w:rPr>
          <w:lang w:val="es-MX"/>
        </w:rPr>
        <w:t>Al respecto, al 30 de junio del presente año, el resultado presupuestario muestra un déficit de 0.6% equivalente a Q.5,122.2 millones. Según el presupuesto aprobado en el presente ejercicio fiscal el resultado presupuestario será un déficit de Q.19,920.9 millones, equivalente a 2.6%.</w:t>
      </w:r>
    </w:p>
    <w:p w14:paraId="5F7FAB42" w14:textId="77777777" w:rsidR="00C40522" w:rsidRDefault="00C40522" w:rsidP="00C40522">
      <w:pPr>
        <w:rPr>
          <w:b/>
          <w:sz w:val="22"/>
          <w:lang w:val="es-MX"/>
        </w:rPr>
      </w:pPr>
    </w:p>
    <w:p w14:paraId="3FD9DA6B" w14:textId="6A3D032A" w:rsidR="00C40522" w:rsidRDefault="00C40522" w:rsidP="00C40522">
      <w:pPr>
        <w:rPr>
          <w:b/>
          <w:sz w:val="22"/>
          <w:lang w:val="es-MX"/>
        </w:rPr>
      </w:pPr>
    </w:p>
    <w:p w14:paraId="41AF605D" w14:textId="766F923A" w:rsidR="006D0BDE" w:rsidRDefault="006D0BDE" w:rsidP="00C40522">
      <w:pPr>
        <w:rPr>
          <w:b/>
          <w:sz w:val="22"/>
          <w:lang w:val="es-MX"/>
        </w:rPr>
      </w:pPr>
    </w:p>
    <w:p w14:paraId="3149AA5C" w14:textId="77777777" w:rsidR="006D0BDE" w:rsidRDefault="006D0BDE" w:rsidP="00C40522">
      <w:pPr>
        <w:rPr>
          <w:b/>
          <w:sz w:val="22"/>
          <w:lang w:val="es-MX"/>
        </w:rPr>
      </w:pPr>
    </w:p>
    <w:p w14:paraId="239D13BD" w14:textId="701D87C1" w:rsidR="00C40522" w:rsidRDefault="00C40522" w:rsidP="00C40522">
      <w:pPr>
        <w:rPr>
          <w:b/>
          <w:sz w:val="22"/>
          <w:lang w:val="es-MX"/>
        </w:rPr>
      </w:pPr>
    </w:p>
    <w:p w14:paraId="37EDE230" w14:textId="77777777" w:rsidR="00E10E8E" w:rsidRDefault="00E10E8E" w:rsidP="00C40522">
      <w:pPr>
        <w:rPr>
          <w:b/>
          <w:sz w:val="22"/>
          <w:lang w:val="es-MX"/>
        </w:rPr>
      </w:pPr>
    </w:p>
    <w:p w14:paraId="5C0AFD78" w14:textId="77777777" w:rsidR="00C40522" w:rsidRPr="00D11334" w:rsidRDefault="00C40522" w:rsidP="00C40522">
      <w:pPr>
        <w:jc w:val="center"/>
        <w:rPr>
          <w:b/>
          <w:lang w:val="es-MX"/>
        </w:rPr>
      </w:pPr>
      <w:r w:rsidRPr="00D11334">
        <w:rPr>
          <w:b/>
          <w:lang w:val="es-MX"/>
        </w:rPr>
        <w:t>Gráfica 1</w:t>
      </w:r>
      <w:r>
        <w:rPr>
          <w:b/>
          <w:lang w:val="es-MX"/>
        </w:rPr>
        <w:t>3</w:t>
      </w:r>
    </w:p>
    <w:p w14:paraId="2CAACD32" w14:textId="77777777" w:rsidR="00C40522" w:rsidRPr="00D11334" w:rsidRDefault="00C40522" w:rsidP="00C40522">
      <w:pPr>
        <w:jc w:val="center"/>
        <w:rPr>
          <w:b/>
          <w:szCs w:val="22"/>
          <w:lang w:val="es-MX"/>
        </w:rPr>
      </w:pPr>
      <w:r>
        <w:rPr>
          <w:b/>
          <w:szCs w:val="22"/>
          <w:lang w:val="es-MX"/>
        </w:rPr>
        <w:t>Resultado Presupuestario</w:t>
      </w:r>
    </w:p>
    <w:p w14:paraId="2F8EC085" w14:textId="77777777" w:rsidR="00C40522" w:rsidRPr="00D11334" w:rsidRDefault="00C40522" w:rsidP="00C40522">
      <w:pPr>
        <w:jc w:val="center"/>
        <w:rPr>
          <w:b/>
          <w:szCs w:val="22"/>
          <w:lang w:val="es-MX"/>
        </w:rPr>
      </w:pPr>
      <w:r w:rsidRPr="00D11334">
        <w:rPr>
          <w:b/>
          <w:szCs w:val="22"/>
          <w:lang w:val="es-MX"/>
        </w:rPr>
        <w:t>Al 30 de junio de cada año</w:t>
      </w:r>
    </w:p>
    <w:p w14:paraId="127C817D" w14:textId="77777777" w:rsidR="00C40522" w:rsidRPr="00D11334" w:rsidRDefault="00C40522" w:rsidP="00C40522">
      <w:pPr>
        <w:jc w:val="center"/>
        <w:rPr>
          <w:b/>
          <w:szCs w:val="22"/>
          <w:lang w:val="es-MX"/>
        </w:rPr>
      </w:pPr>
      <w:r w:rsidRPr="00D11334">
        <w:rPr>
          <w:b/>
          <w:szCs w:val="22"/>
          <w:lang w:val="es-MX"/>
        </w:rPr>
        <w:t>(Cifras en Millones de Quetzales y Porcentajes del PIB)</w:t>
      </w:r>
    </w:p>
    <w:p w14:paraId="4D8063B6" w14:textId="6C80AF4B" w:rsidR="00C40522" w:rsidRPr="009469D4" w:rsidRDefault="005C3932" w:rsidP="00C40522">
      <w:pPr>
        <w:jc w:val="center"/>
        <w:rPr>
          <w:lang w:val="es-MX"/>
        </w:rPr>
      </w:pPr>
      <w:r>
        <w:rPr>
          <w:noProof/>
        </w:rPr>
        <w:drawing>
          <wp:inline distT="0" distB="0" distL="0" distR="0" wp14:anchorId="1FD1BF24" wp14:editId="1B5635CF">
            <wp:extent cx="5803900" cy="3608070"/>
            <wp:effectExtent l="0" t="0" r="6350" b="11430"/>
            <wp:docPr id="7" name="Gráfico 7">
              <a:extLst xmlns:a="http://schemas.openxmlformats.org/drawingml/2006/main">
                <a:ext uri="{FF2B5EF4-FFF2-40B4-BE49-F238E27FC236}">
                  <a16:creationId xmlns:a16="http://schemas.microsoft.com/office/drawing/2014/main" id="{8CEBD403-5276-4FE2-A2BE-E30AC9C14C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17E2C03" w14:textId="77777777" w:rsidR="00C40522" w:rsidRPr="001F107D" w:rsidRDefault="00C40522" w:rsidP="00C40522">
      <w:pPr>
        <w:jc w:val="both"/>
        <w:rPr>
          <w:sz w:val="18"/>
          <w:lang w:val="es-MX"/>
        </w:rPr>
      </w:pPr>
      <w:r w:rsidRPr="001F107D">
        <w:rPr>
          <w:sz w:val="18"/>
          <w:lang w:val="es-MX"/>
        </w:rPr>
        <w:t>Fuente: Ministerio de Finanzas Públicas con base al SICOIN.</w:t>
      </w:r>
    </w:p>
    <w:p w14:paraId="706B4255" w14:textId="52FD4587" w:rsidR="00C40522" w:rsidRPr="00E10E8E" w:rsidRDefault="00C40522" w:rsidP="00C40522">
      <w:pPr>
        <w:jc w:val="both"/>
        <w:rPr>
          <w:lang w:val="es-MX"/>
        </w:rPr>
      </w:pPr>
    </w:p>
    <w:p w14:paraId="59612206" w14:textId="7E631765" w:rsidR="00E10E8E" w:rsidRPr="00E10E8E" w:rsidRDefault="00E10E8E" w:rsidP="00C40522">
      <w:pPr>
        <w:jc w:val="both"/>
        <w:rPr>
          <w:lang w:val="es-MX"/>
        </w:rPr>
      </w:pPr>
    </w:p>
    <w:p w14:paraId="3A856804" w14:textId="77777777" w:rsidR="00E10E8E" w:rsidRPr="00E10E8E" w:rsidRDefault="00E10E8E" w:rsidP="00C40522">
      <w:pPr>
        <w:jc w:val="both"/>
        <w:rPr>
          <w:lang w:val="es-MX"/>
        </w:rPr>
      </w:pPr>
    </w:p>
    <w:p w14:paraId="5DDCAF83" w14:textId="77777777" w:rsidR="00C40522" w:rsidRPr="00640402" w:rsidRDefault="00C40522" w:rsidP="00A840E5">
      <w:pPr>
        <w:pStyle w:val="Ttulo3"/>
        <w:numPr>
          <w:ilvl w:val="0"/>
          <w:numId w:val="5"/>
        </w:numPr>
        <w:ind w:left="426"/>
        <w:rPr>
          <w:rFonts w:ascii="Times New Roman" w:hAnsi="Times New Roman"/>
          <w:color w:val="auto"/>
          <w:lang w:val="es-MX"/>
        </w:rPr>
      </w:pPr>
      <w:bookmarkStart w:id="31" w:name="_Toc114732542"/>
      <w:bookmarkStart w:id="32" w:name="_Toc142920546"/>
      <w:r w:rsidRPr="00640402">
        <w:rPr>
          <w:rFonts w:ascii="Times New Roman" w:hAnsi="Times New Roman"/>
          <w:color w:val="auto"/>
          <w:lang w:val="es-MX"/>
        </w:rPr>
        <w:t>Servicios de la Deuda Pública</w:t>
      </w:r>
      <w:bookmarkEnd w:id="31"/>
      <w:bookmarkEnd w:id="32"/>
    </w:p>
    <w:p w14:paraId="76461F82" w14:textId="77777777" w:rsidR="00C40522" w:rsidRDefault="00C40522" w:rsidP="00C40522">
      <w:pPr>
        <w:jc w:val="both"/>
      </w:pPr>
    </w:p>
    <w:p w14:paraId="7B33C625" w14:textId="3861FCA5" w:rsidR="00C40522" w:rsidRDefault="00C40522" w:rsidP="00C40522">
      <w:pPr>
        <w:jc w:val="both"/>
        <w:rPr>
          <w:lang w:val="es-MX"/>
        </w:rPr>
      </w:pPr>
      <w:r>
        <w:rPr>
          <w:lang w:val="es-MX"/>
        </w:rPr>
        <w:t xml:space="preserve">Debido a la insuficiencia de recursos que recauda el </w:t>
      </w:r>
      <w:r w:rsidR="00E21871">
        <w:rPr>
          <w:lang w:val="es-MX"/>
        </w:rPr>
        <w:t>país</w:t>
      </w:r>
      <w:r>
        <w:rPr>
          <w:lang w:val="es-MX"/>
        </w:rPr>
        <w:t xml:space="preserve"> en concepto de gravámenes contemplados en el sistema tributario, el Estado se ve en la necesidad de recurrir al endeudamiento público interno y externo. Por los compromisos adquiridos por el gobierno de la república, relacionados con la deuda pública, anualmente se programan recursos en el presupuesto general de la nación para solventar dichos compromisos. De esa cuenta las erogaciones en concepto de S</w:t>
      </w:r>
      <w:r w:rsidRPr="00615FD2">
        <w:rPr>
          <w:lang w:val="es-MX"/>
        </w:rPr>
        <w:t>ervicio</w:t>
      </w:r>
      <w:r>
        <w:rPr>
          <w:lang w:val="es-MX"/>
        </w:rPr>
        <w:t>s</w:t>
      </w:r>
      <w:r w:rsidRPr="00615FD2">
        <w:rPr>
          <w:lang w:val="es-MX"/>
        </w:rPr>
        <w:t xml:space="preserve"> de la </w:t>
      </w:r>
      <w:r>
        <w:rPr>
          <w:lang w:val="es-MX"/>
        </w:rPr>
        <w:t>D</w:t>
      </w:r>
      <w:r w:rsidRPr="00615FD2">
        <w:rPr>
          <w:lang w:val="es-MX"/>
        </w:rPr>
        <w:t xml:space="preserve">euda </w:t>
      </w:r>
      <w:r>
        <w:rPr>
          <w:lang w:val="es-MX"/>
        </w:rPr>
        <w:t>P</w:t>
      </w:r>
      <w:r w:rsidRPr="00615FD2">
        <w:rPr>
          <w:lang w:val="es-MX"/>
        </w:rPr>
        <w:t>ública</w:t>
      </w:r>
      <w:r>
        <w:rPr>
          <w:lang w:val="es-MX"/>
        </w:rPr>
        <w:t xml:space="preserve"> al 30 de junio de 2023 ascienden a </w:t>
      </w:r>
      <w:r w:rsidRPr="00615FD2">
        <w:rPr>
          <w:lang w:val="es-MX"/>
        </w:rPr>
        <w:t>Q</w:t>
      </w:r>
      <w:r>
        <w:rPr>
          <w:lang w:val="es-MX"/>
        </w:rPr>
        <w:t>.7,834.1 millones, equivalentes</w:t>
      </w:r>
      <w:r w:rsidRPr="00615FD2">
        <w:rPr>
          <w:lang w:val="es-MX"/>
        </w:rPr>
        <w:t xml:space="preserve"> al </w:t>
      </w:r>
      <w:r>
        <w:rPr>
          <w:lang w:val="es-MX"/>
        </w:rPr>
        <w:t>48.5</w:t>
      </w:r>
      <w:r w:rsidRPr="00615FD2">
        <w:rPr>
          <w:lang w:val="es-MX"/>
        </w:rPr>
        <w:t xml:space="preserve">% </w:t>
      </w:r>
      <w:r w:rsidR="00E21871">
        <w:rPr>
          <w:lang w:val="es-MX"/>
        </w:rPr>
        <w:t>con respecto a su presupuesto vigente</w:t>
      </w:r>
      <w:r w:rsidRPr="00615FD2">
        <w:rPr>
          <w:lang w:val="es-MX"/>
        </w:rPr>
        <w:t xml:space="preserve">. </w:t>
      </w:r>
      <w:r>
        <w:rPr>
          <w:lang w:val="es-MX"/>
        </w:rPr>
        <w:t>Las fuentes de financiamiento del servicio de la deuda se integran de la manera siguiente: con ingresos corrientes se financia el 50.9%, con disminución de caja y bancos de recursos del tesoro el 35.9%; con colocaciones externas el 9.7%; y el restante 3.5% con otras fuentes de financiamiento.</w:t>
      </w:r>
    </w:p>
    <w:p w14:paraId="0C456677" w14:textId="77777777" w:rsidR="00C40522" w:rsidRPr="00511BE6" w:rsidRDefault="00C40522" w:rsidP="00C40522">
      <w:pPr>
        <w:rPr>
          <w:lang w:val="es-MX"/>
        </w:rPr>
      </w:pPr>
    </w:p>
    <w:p w14:paraId="5D78A1CB" w14:textId="5DBF122C" w:rsidR="00C40522" w:rsidRDefault="00C40522" w:rsidP="00C40522">
      <w:pPr>
        <w:jc w:val="both"/>
        <w:rPr>
          <w:lang w:val="es-MX"/>
        </w:rPr>
      </w:pPr>
    </w:p>
    <w:p w14:paraId="06291767" w14:textId="71736FBB" w:rsidR="00D4460B" w:rsidRDefault="00D4460B" w:rsidP="00C40522">
      <w:pPr>
        <w:jc w:val="both"/>
        <w:rPr>
          <w:lang w:val="es-MX"/>
        </w:rPr>
      </w:pPr>
    </w:p>
    <w:p w14:paraId="7492444E" w14:textId="2A53496A" w:rsidR="00D4460B" w:rsidRDefault="00D4460B" w:rsidP="00C40522">
      <w:pPr>
        <w:jc w:val="both"/>
        <w:rPr>
          <w:lang w:val="es-MX"/>
        </w:rPr>
      </w:pPr>
    </w:p>
    <w:p w14:paraId="583442B2" w14:textId="67EF82AD" w:rsidR="00D4460B" w:rsidRDefault="00D4460B" w:rsidP="00C40522">
      <w:pPr>
        <w:jc w:val="both"/>
        <w:rPr>
          <w:lang w:val="es-MX"/>
        </w:rPr>
      </w:pPr>
    </w:p>
    <w:p w14:paraId="6A7502C8" w14:textId="25F8ADFD" w:rsidR="00D4460B" w:rsidRDefault="00D4460B" w:rsidP="00C40522">
      <w:pPr>
        <w:jc w:val="both"/>
        <w:rPr>
          <w:lang w:val="es-MX"/>
        </w:rPr>
      </w:pPr>
    </w:p>
    <w:p w14:paraId="50379C00" w14:textId="006884B8" w:rsidR="00D4460B" w:rsidRDefault="00D4460B" w:rsidP="00C40522">
      <w:pPr>
        <w:jc w:val="both"/>
        <w:rPr>
          <w:lang w:val="es-MX"/>
        </w:rPr>
      </w:pPr>
    </w:p>
    <w:p w14:paraId="44B83CB8" w14:textId="77777777" w:rsidR="00D4460B" w:rsidRDefault="00D4460B" w:rsidP="00C40522">
      <w:pPr>
        <w:jc w:val="both"/>
        <w:rPr>
          <w:lang w:val="es-MX"/>
        </w:rPr>
      </w:pPr>
    </w:p>
    <w:p w14:paraId="77E3DC48" w14:textId="77777777" w:rsidR="00C40522" w:rsidRPr="00D84096" w:rsidRDefault="00C40522" w:rsidP="00C40522">
      <w:pPr>
        <w:jc w:val="center"/>
        <w:rPr>
          <w:b/>
          <w:szCs w:val="22"/>
          <w:lang w:val="es-MX"/>
        </w:rPr>
      </w:pPr>
      <w:r w:rsidRPr="00D84096">
        <w:rPr>
          <w:b/>
          <w:szCs w:val="22"/>
          <w:lang w:val="es-MX"/>
        </w:rPr>
        <w:t>Cuadro 1</w:t>
      </w:r>
      <w:r>
        <w:rPr>
          <w:b/>
          <w:szCs w:val="22"/>
          <w:lang w:val="es-MX"/>
        </w:rPr>
        <w:t>4</w:t>
      </w:r>
    </w:p>
    <w:p w14:paraId="7B86B9CD" w14:textId="77777777" w:rsidR="00C40522" w:rsidRPr="00D84096" w:rsidRDefault="00C40522" w:rsidP="00C40522">
      <w:pPr>
        <w:jc w:val="center"/>
        <w:rPr>
          <w:b/>
          <w:szCs w:val="22"/>
          <w:lang w:val="es-MX"/>
        </w:rPr>
      </w:pPr>
      <w:r>
        <w:rPr>
          <w:b/>
          <w:szCs w:val="22"/>
          <w:lang w:val="es-MX"/>
        </w:rPr>
        <w:t>Servicios de la Deuda Pública</w:t>
      </w:r>
    </w:p>
    <w:p w14:paraId="7A92F337" w14:textId="77777777" w:rsidR="00C40522" w:rsidRPr="00D84096" w:rsidRDefault="00C40522" w:rsidP="00C40522">
      <w:pPr>
        <w:jc w:val="center"/>
        <w:rPr>
          <w:b/>
          <w:szCs w:val="22"/>
          <w:lang w:val="es-MX"/>
        </w:rPr>
      </w:pPr>
      <w:r w:rsidRPr="00D84096">
        <w:rPr>
          <w:b/>
          <w:szCs w:val="22"/>
          <w:lang w:val="es-MX"/>
        </w:rPr>
        <w:t>Al 30 de junio de 202</w:t>
      </w:r>
      <w:r>
        <w:rPr>
          <w:b/>
          <w:szCs w:val="22"/>
          <w:lang w:val="es-MX"/>
        </w:rPr>
        <w:t>3</w:t>
      </w:r>
    </w:p>
    <w:p w14:paraId="72898E06" w14:textId="77777777" w:rsidR="00C40522" w:rsidRDefault="00C40522" w:rsidP="00C40522">
      <w:pPr>
        <w:jc w:val="center"/>
        <w:rPr>
          <w:b/>
          <w:szCs w:val="22"/>
          <w:lang w:val="es-MX"/>
        </w:rPr>
      </w:pPr>
      <w:r w:rsidRPr="00D84096">
        <w:rPr>
          <w:b/>
          <w:szCs w:val="22"/>
          <w:lang w:val="es-MX"/>
        </w:rPr>
        <w:t>(Cifras en Millones de Quetzales</w:t>
      </w:r>
      <w:r>
        <w:rPr>
          <w:b/>
          <w:szCs w:val="22"/>
          <w:lang w:val="es-MX"/>
        </w:rPr>
        <w:t xml:space="preserve"> y Porcentaje</w:t>
      </w:r>
      <w:r w:rsidRPr="00D84096">
        <w:rPr>
          <w:b/>
          <w:szCs w:val="22"/>
          <w:lang w:val="es-MX"/>
        </w:rPr>
        <w:t>)</w:t>
      </w:r>
    </w:p>
    <w:tbl>
      <w:tblPr>
        <w:tblW w:w="9204" w:type="dxa"/>
        <w:tblCellMar>
          <w:left w:w="70" w:type="dxa"/>
          <w:right w:w="70" w:type="dxa"/>
        </w:tblCellMar>
        <w:tblLook w:val="04A0" w:firstRow="1" w:lastRow="0" w:firstColumn="1" w:lastColumn="0" w:noHBand="0" w:noVBand="1"/>
      </w:tblPr>
      <w:tblGrid>
        <w:gridCol w:w="3109"/>
        <w:gridCol w:w="1559"/>
        <w:gridCol w:w="1559"/>
        <w:gridCol w:w="1560"/>
        <w:gridCol w:w="1417"/>
      </w:tblGrid>
      <w:tr w:rsidR="00E21871" w:rsidRPr="00E21871" w14:paraId="1C45F2B5" w14:textId="77777777" w:rsidTr="00192450">
        <w:trPr>
          <w:trHeight w:val="311"/>
        </w:trPr>
        <w:tc>
          <w:tcPr>
            <w:tcW w:w="3109" w:type="dxa"/>
            <w:vMerge w:val="restart"/>
            <w:tcBorders>
              <w:top w:val="single" w:sz="8" w:space="0" w:color="auto"/>
              <w:left w:val="single" w:sz="8" w:space="0" w:color="auto"/>
              <w:right w:val="single" w:sz="4" w:space="0" w:color="auto"/>
            </w:tcBorders>
            <w:shd w:val="clear" w:color="auto" w:fill="00B0F0"/>
            <w:noWrap/>
            <w:vAlign w:val="center"/>
            <w:hideMark/>
          </w:tcPr>
          <w:p w14:paraId="221A5E90" w14:textId="74283FB7" w:rsidR="00E21871" w:rsidRPr="00E70E03" w:rsidRDefault="00E21871" w:rsidP="00E21871">
            <w:pPr>
              <w:jc w:val="center"/>
              <w:rPr>
                <w:b/>
                <w:bCs/>
                <w:color w:val="000000"/>
                <w:szCs w:val="22"/>
                <w:lang w:val="es-GT" w:eastAsia="es-GT"/>
              </w:rPr>
            </w:pPr>
            <w:r w:rsidRPr="00E70E03">
              <w:rPr>
                <w:b/>
                <w:bCs/>
                <w:color w:val="000000"/>
                <w:szCs w:val="22"/>
                <w:lang w:val="es-GT" w:eastAsia="es-GT"/>
              </w:rPr>
              <w:t>Descripción</w:t>
            </w:r>
          </w:p>
        </w:tc>
        <w:tc>
          <w:tcPr>
            <w:tcW w:w="4678" w:type="dxa"/>
            <w:gridSpan w:val="3"/>
            <w:tcBorders>
              <w:top w:val="single" w:sz="8" w:space="0" w:color="auto"/>
              <w:left w:val="nil"/>
              <w:bottom w:val="single" w:sz="4" w:space="0" w:color="auto"/>
              <w:right w:val="single" w:sz="4" w:space="0" w:color="000000"/>
            </w:tcBorders>
            <w:shd w:val="clear" w:color="auto" w:fill="00B0F0"/>
            <w:noWrap/>
            <w:vAlign w:val="bottom"/>
            <w:hideMark/>
          </w:tcPr>
          <w:p w14:paraId="68AA80D1" w14:textId="77777777" w:rsidR="00E21871" w:rsidRPr="00E70E03" w:rsidRDefault="00E21871" w:rsidP="00C40522">
            <w:pPr>
              <w:jc w:val="center"/>
              <w:rPr>
                <w:b/>
                <w:bCs/>
                <w:color w:val="000000"/>
                <w:szCs w:val="22"/>
                <w:lang w:val="es-GT" w:eastAsia="es-GT"/>
              </w:rPr>
            </w:pPr>
            <w:r w:rsidRPr="00E70E03">
              <w:rPr>
                <w:b/>
                <w:bCs/>
                <w:color w:val="000000"/>
                <w:szCs w:val="22"/>
                <w:lang w:val="es-GT" w:eastAsia="es-GT"/>
              </w:rPr>
              <w:t>Presupuesto</w:t>
            </w:r>
          </w:p>
        </w:tc>
        <w:tc>
          <w:tcPr>
            <w:tcW w:w="1417" w:type="dxa"/>
            <w:vMerge w:val="restart"/>
            <w:tcBorders>
              <w:top w:val="single" w:sz="8" w:space="0" w:color="auto"/>
              <w:left w:val="single" w:sz="4" w:space="0" w:color="auto"/>
              <w:bottom w:val="single" w:sz="4" w:space="0" w:color="000000"/>
              <w:right w:val="single" w:sz="8" w:space="0" w:color="auto"/>
            </w:tcBorders>
            <w:shd w:val="clear" w:color="auto" w:fill="00B0F0"/>
            <w:noWrap/>
            <w:vAlign w:val="center"/>
            <w:hideMark/>
          </w:tcPr>
          <w:p w14:paraId="701CCF34" w14:textId="77777777" w:rsidR="00E21871" w:rsidRPr="00E70E03" w:rsidRDefault="00E21871" w:rsidP="00C40522">
            <w:pPr>
              <w:jc w:val="center"/>
              <w:rPr>
                <w:b/>
                <w:bCs/>
                <w:color w:val="000000"/>
                <w:szCs w:val="22"/>
                <w:lang w:val="es-GT" w:eastAsia="es-GT"/>
              </w:rPr>
            </w:pPr>
            <w:r w:rsidRPr="00E70E03">
              <w:rPr>
                <w:b/>
                <w:bCs/>
                <w:color w:val="000000"/>
                <w:szCs w:val="22"/>
                <w:lang w:val="es-GT" w:eastAsia="es-GT"/>
              </w:rPr>
              <w:t>Estructura</w:t>
            </w:r>
          </w:p>
        </w:tc>
      </w:tr>
      <w:tr w:rsidR="00E21871" w:rsidRPr="00E21871" w14:paraId="23A88406" w14:textId="77777777" w:rsidTr="00192450">
        <w:trPr>
          <w:trHeight w:val="264"/>
        </w:trPr>
        <w:tc>
          <w:tcPr>
            <w:tcW w:w="3109" w:type="dxa"/>
            <w:vMerge/>
            <w:tcBorders>
              <w:left w:val="single" w:sz="8" w:space="0" w:color="auto"/>
              <w:bottom w:val="single" w:sz="4" w:space="0" w:color="auto"/>
              <w:right w:val="single" w:sz="4" w:space="0" w:color="auto"/>
            </w:tcBorders>
            <w:shd w:val="clear" w:color="000000" w:fill="95B3D7"/>
            <w:noWrap/>
            <w:vAlign w:val="bottom"/>
            <w:hideMark/>
          </w:tcPr>
          <w:p w14:paraId="427CC420" w14:textId="20BD8B46" w:rsidR="00E21871" w:rsidRPr="00E21871" w:rsidRDefault="00E21871" w:rsidP="00C40522">
            <w:pPr>
              <w:rPr>
                <w:b/>
                <w:bCs/>
                <w:color w:val="000000"/>
                <w:sz w:val="22"/>
                <w:szCs w:val="22"/>
                <w:lang w:val="es-GT" w:eastAsia="es-GT"/>
              </w:rPr>
            </w:pPr>
          </w:p>
        </w:tc>
        <w:tc>
          <w:tcPr>
            <w:tcW w:w="1559" w:type="dxa"/>
            <w:tcBorders>
              <w:top w:val="nil"/>
              <w:left w:val="single" w:sz="4" w:space="0" w:color="auto"/>
              <w:bottom w:val="single" w:sz="4" w:space="0" w:color="auto"/>
              <w:right w:val="nil"/>
            </w:tcBorders>
            <w:shd w:val="clear" w:color="auto" w:fill="00B0F0"/>
            <w:noWrap/>
            <w:vAlign w:val="center"/>
            <w:hideMark/>
          </w:tcPr>
          <w:p w14:paraId="477CC635" w14:textId="77777777" w:rsidR="00E21871" w:rsidRPr="00E70E03" w:rsidRDefault="00E21871" w:rsidP="00C40522">
            <w:pPr>
              <w:jc w:val="center"/>
              <w:rPr>
                <w:b/>
                <w:bCs/>
                <w:color w:val="000000"/>
                <w:szCs w:val="22"/>
                <w:lang w:val="es-GT" w:eastAsia="es-GT"/>
              </w:rPr>
            </w:pPr>
            <w:r w:rsidRPr="00E70E03">
              <w:rPr>
                <w:b/>
                <w:bCs/>
                <w:color w:val="000000"/>
                <w:szCs w:val="22"/>
                <w:lang w:val="es-GT" w:eastAsia="es-GT"/>
              </w:rPr>
              <w:t>Vigente</w:t>
            </w:r>
          </w:p>
        </w:tc>
        <w:tc>
          <w:tcPr>
            <w:tcW w:w="1559" w:type="dxa"/>
            <w:tcBorders>
              <w:top w:val="nil"/>
              <w:left w:val="single" w:sz="4" w:space="0" w:color="auto"/>
              <w:bottom w:val="single" w:sz="4" w:space="0" w:color="auto"/>
              <w:right w:val="single" w:sz="4" w:space="0" w:color="auto"/>
            </w:tcBorders>
            <w:shd w:val="clear" w:color="auto" w:fill="00B0F0"/>
            <w:noWrap/>
            <w:vAlign w:val="center"/>
            <w:hideMark/>
          </w:tcPr>
          <w:p w14:paraId="18CCBD24" w14:textId="77777777" w:rsidR="00E21871" w:rsidRPr="00E70E03" w:rsidRDefault="00E21871" w:rsidP="00C40522">
            <w:pPr>
              <w:jc w:val="center"/>
              <w:rPr>
                <w:b/>
                <w:bCs/>
                <w:color w:val="000000"/>
                <w:szCs w:val="22"/>
                <w:lang w:val="es-GT" w:eastAsia="es-GT"/>
              </w:rPr>
            </w:pPr>
            <w:r w:rsidRPr="00E70E03">
              <w:rPr>
                <w:b/>
                <w:bCs/>
                <w:color w:val="000000"/>
                <w:szCs w:val="22"/>
                <w:lang w:val="es-GT" w:eastAsia="es-GT"/>
              </w:rPr>
              <w:t>Ejecutado</w:t>
            </w:r>
          </w:p>
        </w:tc>
        <w:tc>
          <w:tcPr>
            <w:tcW w:w="1560" w:type="dxa"/>
            <w:tcBorders>
              <w:top w:val="nil"/>
              <w:left w:val="nil"/>
              <w:bottom w:val="single" w:sz="4" w:space="0" w:color="auto"/>
              <w:right w:val="single" w:sz="4" w:space="0" w:color="auto"/>
            </w:tcBorders>
            <w:shd w:val="clear" w:color="auto" w:fill="00B0F0"/>
            <w:noWrap/>
            <w:vAlign w:val="center"/>
            <w:hideMark/>
          </w:tcPr>
          <w:p w14:paraId="0180D869" w14:textId="77777777" w:rsidR="00E21871" w:rsidRPr="00E70E03" w:rsidRDefault="00E21871" w:rsidP="00C40522">
            <w:pPr>
              <w:jc w:val="center"/>
              <w:rPr>
                <w:b/>
                <w:bCs/>
                <w:color w:val="000000"/>
                <w:szCs w:val="22"/>
                <w:lang w:val="es-GT" w:eastAsia="es-GT"/>
              </w:rPr>
            </w:pPr>
            <w:r w:rsidRPr="00E70E03">
              <w:rPr>
                <w:b/>
                <w:bCs/>
                <w:color w:val="000000"/>
                <w:szCs w:val="22"/>
                <w:lang w:val="es-GT" w:eastAsia="es-GT"/>
              </w:rPr>
              <w:t>% Ejecución</w:t>
            </w:r>
          </w:p>
        </w:tc>
        <w:tc>
          <w:tcPr>
            <w:tcW w:w="1417" w:type="dxa"/>
            <w:vMerge/>
            <w:tcBorders>
              <w:top w:val="single" w:sz="8" w:space="0" w:color="auto"/>
              <w:left w:val="single" w:sz="4" w:space="0" w:color="auto"/>
              <w:bottom w:val="single" w:sz="4" w:space="0" w:color="000000"/>
              <w:right w:val="single" w:sz="8" w:space="0" w:color="auto"/>
            </w:tcBorders>
            <w:vAlign w:val="center"/>
            <w:hideMark/>
          </w:tcPr>
          <w:p w14:paraId="46FAEED0" w14:textId="77777777" w:rsidR="00E21871" w:rsidRPr="00E21871" w:rsidRDefault="00E21871" w:rsidP="00C40522">
            <w:pPr>
              <w:rPr>
                <w:b/>
                <w:bCs/>
                <w:color w:val="000000"/>
                <w:sz w:val="22"/>
                <w:szCs w:val="22"/>
                <w:lang w:val="es-GT" w:eastAsia="es-GT"/>
              </w:rPr>
            </w:pPr>
          </w:p>
        </w:tc>
      </w:tr>
      <w:tr w:rsidR="00C40522" w:rsidRPr="00E21871" w14:paraId="4B7E13C0" w14:textId="77777777" w:rsidTr="00192450">
        <w:trPr>
          <w:trHeight w:val="264"/>
        </w:trPr>
        <w:tc>
          <w:tcPr>
            <w:tcW w:w="3109" w:type="dxa"/>
            <w:tcBorders>
              <w:top w:val="nil"/>
              <w:left w:val="single" w:sz="8" w:space="0" w:color="auto"/>
              <w:bottom w:val="nil"/>
              <w:right w:val="single" w:sz="4" w:space="0" w:color="auto"/>
            </w:tcBorders>
            <w:shd w:val="clear" w:color="auto" w:fill="auto"/>
            <w:noWrap/>
            <w:vAlign w:val="center"/>
            <w:hideMark/>
          </w:tcPr>
          <w:p w14:paraId="12DD8CAF" w14:textId="77777777" w:rsidR="00C40522" w:rsidRPr="00E21871" w:rsidRDefault="00C40522" w:rsidP="00C40522">
            <w:pPr>
              <w:jc w:val="center"/>
              <w:rPr>
                <w:b/>
                <w:bCs/>
                <w:color w:val="000000"/>
                <w:sz w:val="22"/>
                <w:szCs w:val="22"/>
                <w:lang w:val="es-GT" w:eastAsia="es-GT"/>
              </w:rPr>
            </w:pPr>
            <w:r w:rsidRPr="00E21871">
              <w:rPr>
                <w:b/>
                <w:bCs/>
                <w:color w:val="000000"/>
                <w:sz w:val="22"/>
                <w:szCs w:val="22"/>
                <w:lang w:val="es-GT" w:eastAsia="es-GT"/>
              </w:rPr>
              <w:t>Total</w:t>
            </w:r>
          </w:p>
        </w:tc>
        <w:tc>
          <w:tcPr>
            <w:tcW w:w="1559" w:type="dxa"/>
            <w:tcBorders>
              <w:top w:val="nil"/>
              <w:left w:val="nil"/>
              <w:bottom w:val="nil"/>
              <w:right w:val="nil"/>
            </w:tcBorders>
            <w:shd w:val="clear" w:color="auto" w:fill="auto"/>
            <w:noWrap/>
            <w:vAlign w:val="center"/>
            <w:hideMark/>
          </w:tcPr>
          <w:p w14:paraId="586AD962" w14:textId="77777777" w:rsidR="00C40522" w:rsidRPr="00E21871" w:rsidRDefault="00C40522" w:rsidP="000C2EA1">
            <w:pPr>
              <w:jc w:val="right"/>
              <w:rPr>
                <w:b/>
                <w:bCs/>
                <w:color w:val="000000"/>
                <w:sz w:val="22"/>
                <w:szCs w:val="22"/>
                <w:lang w:val="es-GT" w:eastAsia="es-GT"/>
              </w:rPr>
            </w:pPr>
            <w:r w:rsidRPr="00E21871">
              <w:rPr>
                <w:b/>
                <w:bCs/>
                <w:color w:val="000000"/>
                <w:sz w:val="22"/>
                <w:szCs w:val="22"/>
                <w:lang w:val="es-GT" w:eastAsia="es-GT"/>
              </w:rPr>
              <w:t>16,141.7</w:t>
            </w: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16226D34" w14:textId="77777777" w:rsidR="00C40522" w:rsidRPr="00E21871" w:rsidRDefault="00C40522" w:rsidP="000C2EA1">
            <w:pPr>
              <w:jc w:val="right"/>
              <w:rPr>
                <w:b/>
                <w:bCs/>
                <w:color w:val="000000"/>
                <w:sz w:val="22"/>
                <w:szCs w:val="22"/>
                <w:lang w:val="es-GT" w:eastAsia="es-GT"/>
              </w:rPr>
            </w:pPr>
            <w:r w:rsidRPr="00E21871">
              <w:rPr>
                <w:b/>
                <w:bCs/>
                <w:color w:val="000000"/>
                <w:sz w:val="22"/>
                <w:szCs w:val="22"/>
                <w:lang w:val="es-GT" w:eastAsia="es-GT"/>
              </w:rPr>
              <w:t>7,834.1</w:t>
            </w:r>
          </w:p>
        </w:tc>
        <w:tc>
          <w:tcPr>
            <w:tcW w:w="1560" w:type="dxa"/>
            <w:tcBorders>
              <w:top w:val="single" w:sz="4" w:space="0" w:color="auto"/>
              <w:left w:val="nil"/>
              <w:bottom w:val="nil"/>
              <w:right w:val="single" w:sz="4" w:space="0" w:color="auto"/>
            </w:tcBorders>
            <w:shd w:val="clear" w:color="auto" w:fill="auto"/>
            <w:noWrap/>
            <w:vAlign w:val="center"/>
            <w:hideMark/>
          </w:tcPr>
          <w:p w14:paraId="41C42D3F" w14:textId="77777777" w:rsidR="00C40522" w:rsidRPr="00E21871" w:rsidRDefault="00C40522" w:rsidP="000C2EA1">
            <w:pPr>
              <w:jc w:val="right"/>
              <w:rPr>
                <w:b/>
                <w:bCs/>
                <w:color w:val="000000"/>
                <w:sz w:val="22"/>
                <w:szCs w:val="22"/>
                <w:lang w:val="es-GT" w:eastAsia="es-GT"/>
              </w:rPr>
            </w:pPr>
            <w:r w:rsidRPr="00E21871">
              <w:rPr>
                <w:b/>
                <w:bCs/>
                <w:color w:val="000000"/>
                <w:sz w:val="22"/>
                <w:szCs w:val="22"/>
                <w:lang w:val="es-GT" w:eastAsia="es-GT"/>
              </w:rPr>
              <w:t>48.5%</w:t>
            </w:r>
          </w:p>
        </w:tc>
        <w:tc>
          <w:tcPr>
            <w:tcW w:w="1417" w:type="dxa"/>
            <w:tcBorders>
              <w:top w:val="nil"/>
              <w:left w:val="nil"/>
              <w:bottom w:val="nil"/>
              <w:right w:val="single" w:sz="8" w:space="0" w:color="auto"/>
            </w:tcBorders>
            <w:shd w:val="clear" w:color="auto" w:fill="auto"/>
            <w:noWrap/>
            <w:vAlign w:val="center"/>
            <w:hideMark/>
          </w:tcPr>
          <w:p w14:paraId="1E089D0F" w14:textId="77777777" w:rsidR="00C40522" w:rsidRPr="00E21871" w:rsidRDefault="00C40522" w:rsidP="000C2EA1">
            <w:pPr>
              <w:jc w:val="right"/>
              <w:rPr>
                <w:b/>
                <w:bCs/>
                <w:color w:val="000000"/>
                <w:sz w:val="22"/>
                <w:szCs w:val="22"/>
                <w:lang w:val="es-GT" w:eastAsia="es-GT"/>
              </w:rPr>
            </w:pPr>
            <w:r w:rsidRPr="00E21871">
              <w:rPr>
                <w:b/>
                <w:bCs/>
                <w:color w:val="000000"/>
                <w:sz w:val="22"/>
                <w:szCs w:val="22"/>
                <w:lang w:val="es-GT" w:eastAsia="es-GT"/>
              </w:rPr>
              <w:t>100.0%</w:t>
            </w:r>
          </w:p>
        </w:tc>
      </w:tr>
      <w:tr w:rsidR="00C40522" w:rsidRPr="00E21871" w14:paraId="09B8E383" w14:textId="77777777" w:rsidTr="00192450">
        <w:trPr>
          <w:trHeight w:val="264"/>
        </w:trPr>
        <w:tc>
          <w:tcPr>
            <w:tcW w:w="3109" w:type="dxa"/>
            <w:tcBorders>
              <w:top w:val="nil"/>
              <w:left w:val="single" w:sz="8" w:space="0" w:color="auto"/>
              <w:bottom w:val="nil"/>
              <w:right w:val="single" w:sz="4" w:space="0" w:color="auto"/>
            </w:tcBorders>
            <w:shd w:val="clear" w:color="auto" w:fill="auto"/>
            <w:noWrap/>
            <w:vAlign w:val="bottom"/>
            <w:hideMark/>
          </w:tcPr>
          <w:p w14:paraId="3EC89BA5" w14:textId="77777777" w:rsidR="00C40522" w:rsidRPr="00E21871" w:rsidRDefault="00C40522" w:rsidP="00C40522">
            <w:pPr>
              <w:rPr>
                <w:color w:val="000000"/>
                <w:sz w:val="22"/>
                <w:szCs w:val="22"/>
                <w:lang w:val="es-GT" w:eastAsia="es-GT"/>
              </w:rPr>
            </w:pPr>
            <w:r w:rsidRPr="00E21871">
              <w:rPr>
                <w:color w:val="000000"/>
                <w:sz w:val="22"/>
                <w:szCs w:val="22"/>
                <w:lang w:val="es-GT" w:eastAsia="es-GT"/>
              </w:rPr>
              <w:t>Ingresos Corrientes</w:t>
            </w:r>
          </w:p>
        </w:tc>
        <w:tc>
          <w:tcPr>
            <w:tcW w:w="1559" w:type="dxa"/>
            <w:tcBorders>
              <w:top w:val="nil"/>
              <w:left w:val="nil"/>
              <w:bottom w:val="nil"/>
              <w:right w:val="nil"/>
            </w:tcBorders>
            <w:shd w:val="clear" w:color="auto" w:fill="auto"/>
            <w:noWrap/>
            <w:vAlign w:val="center"/>
            <w:hideMark/>
          </w:tcPr>
          <w:p w14:paraId="3107DC30"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4,001.9</w:t>
            </w:r>
          </w:p>
        </w:tc>
        <w:tc>
          <w:tcPr>
            <w:tcW w:w="1559" w:type="dxa"/>
            <w:tcBorders>
              <w:top w:val="nil"/>
              <w:left w:val="single" w:sz="4" w:space="0" w:color="auto"/>
              <w:bottom w:val="nil"/>
              <w:right w:val="single" w:sz="4" w:space="0" w:color="auto"/>
            </w:tcBorders>
            <w:shd w:val="clear" w:color="auto" w:fill="auto"/>
            <w:noWrap/>
            <w:vAlign w:val="center"/>
            <w:hideMark/>
          </w:tcPr>
          <w:p w14:paraId="1596EFB6"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3,990.5</w:t>
            </w:r>
          </w:p>
        </w:tc>
        <w:tc>
          <w:tcPr>
            <w:tcW w:w="1560" w:type="dxa"/>
            <w:tcBorders>
              <w:top w:val="nil"/>
              <w:left w:val="nil"/>
              <w:bottom w:val="nil"/>
              <w:right w:val="single" w:sz="4" w:space="0" w:color="auto"/>
            </w:tcBorders>
            <w:shd w:val="clear" w:color="auto" w:fill="auto"/>
            <w:noWrap/>
            <w:vAlign w:val="center"/>
            <w:hideMark/>
          </w:tcPr>
          <w:p w14:paraId="5A76DD87"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99.7%</w:t>
            </w:r>
          </w:p>
        </w:tc>
        <w:tc>
          <w:tcPr>
            <w:tcW w:w="1417" w:type="dxa"/>
            <w:tcBorders>
              <w:top w:val="nil"/>
              <w:left w:val="nil"/>
              <w:bottom w:val="nil"/>
              <w:right w:val="single" w:sz="8" w:space="0" w:color="auto"/>
            </w:tcBorders>
            <w:shd w:val="clear" w:color="auto" w:fill="auto"/>
            <w:noWrap/>
            <w:vAlign w:val="center"/>
            <w:hideMark/>
          </w:tcPr>
          <w:p w14:paraId="1D1D57AA"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50.9%</w:t>
            </w:r>
          </w:p>
        </w:tc>
      </w:tr>
      <w:tr w:rsidR="00C40522" w:rsidRPr="00E21871" w14:paraId="1A3F6E33" w14:textId="77777777" w:rsidTr="00192450">
        <w:trPr>
          <w:trHeight w:val="264"/>
        </w:trPr>
        <w:tc>
          <w:tcPr>
            <w:tcW w:w="3109" w:type="dxa"/>
            <w:tcBorders>
              <w:top w:val="nil"/>
              <w:left w:val="single" w:sz="8" w:space="0" w:color="auto"/>
              <w:bottom w:val="nil"/>
              <w:right w:val="single" w:sz="4" w:space="0" w:color="auto"/>
            </w:tcBorders>
            <w:shd w:val="clear" w:color="auto" w:fill="auto"/>
            <w:noWrap/>
            <w:vAlign w:val="bottom"/>
            <w:hideMark/>
          </w:tcPr>
          <w:p w14:paraId="14FCC866" w14:textId="77777777" w:rsidR="00C40522" w:rsidRPr="00E21871" w:rsidRDefault="00C40522" w:rsidP="00C40522">
            <w:pPr>
              <w:rPr>
                <w:color w:val="000000"/>
                <w:sz w:val="22"/>
                <w:szCs w:val="22"/>
                <w:lang w:val="es-GT" w:eastAsia="es-GT"/>
              </w:rPr>
            </w:pPr>
            <w:r w:rsidRPr="00E21871">
              <w:rPr>
                <w:color w:val="000000"/>
                <w:sz w:val="22"/>
                <w:szCs w:val="22"/>
                <w:lang w:val="es-GT" w:eastAsia="es-GT"/>
              </w:rPr>
              <w:t>Disminución de Caja y Bancos</w:t>
            </w:r>
          </w:p>
        </w:tc>
        <w:tc>
          <w:tcPr>
            <w:tcW w:w="1559" w:type="dxa"/>
            <w:tcBorders>
              <w:top w:val="nil"/>
              <w:left w:val="nil"/>
              <w:bottom w:val="nil"/>
              <w:right w:val="nil"/>
            </w:tcBorders>
            <w:shd w:val="clear" w:color="auto" w:fill="auto"/>
            <w:noWrap/>
            <w:vAlign w:val="center"/>
            <w:hideMark/>
          </w:tcPr>
          <w:p w14:paraId="40A0A02F"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2,811.3</w:t>
            </w:r>
          </w:p>
        </w:tc>
        <w:tc>
          <w:tcPr>
            <w:tcW w:w="1559" w:type="dxa"/>
            <w:tcBorders>
              <w:top w:val="nil"/>
              <w:left w:val="single" w:sz="4" w:space="0" w:color="auto"/>
              <w:bottom w:val="nil"/>
              <w:right w:val="single" w:sz="4" w:space="0" w:color="auto"/>
            </w:tcBorders>
            <w:shd w:val="clear" w:color="auto" w:fill="auto"/>
            <w:noWrap/>
            <w:vAlign w:val="center"/>
            <w:hideMark/>
          </w:tcPr>
          <w:p w14:paraId="6D2E0E94"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2,809.5</w:t>
            </w:r>
          </w:p>
        </w:tc>
        <w:tc>
          <w:tcPr>
            <w:tcW w:w="1560" w:type="dxa"/>
            <w:tcBorders>
              <w:top w:val="nil"/>
              <w:left w:val="nil"/>
              <w:bottom w:val="nil"/>
              <w:right w:val="single" w:sz="4" w:space="0" w:color="auto"/>
            </w:tcBorders>
            <w:shd w:val="clear" w:color="auto" w:fill="auto"/>
            <w:noWrap/>
            <w:vAlign w:val="center"/>
            <w:hideMark/>
          </w:tcPr>
          <w:p w14:paraId="1AF22600"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99.9%</w:t>
            </w:r>
          </w:p>
        </w:tc>
        <w:tc>
          <w:tcPr>
            <w:tcW w:w="1417" w:type="dxa"/>
            <w:tcBorders>
              <w:top w:val="nil"/>
              <w:left w:val="nil"/>
              <w:bottom w:val="nil"/>
              <w:right w:val="single" w:sz="8" w:space="0" w:color="auto"/>
            </w:tcBorders>
            <w:shd w:val="clear" w:color="auto" w:fill="auto"/>
            <w:noWrap/>
            <w:vAlign w:val="center"/>
            <w:hideMark/>
          </w:tcPr>
          <w:p w14:paraId="56A88692"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35.9%</w:t>
            </w:r>
          </w:p>
        </w:tc>
      </w:tr>
      <w:tr w:rsidR="00C40522" w:rsidRPr="00E21871" w14:paraId="1B27CB14" w14:textId="77777777" w:rsidTr="00192450">
        <w:trPr>
          <w:trHeight w:val="264"/>
        </w:trPr>
        <w:tc>
          <w:tcPr>
            <w:tcW w:w="3109" w:type="dxa"/>
            <w:tcBorders>
              <w:top w:val="nil"/>
              <w:left w:val="single" w:sz="8" w:space="0" w:color="auto"/>
              <w:bottom w:val="nil"/>
              <w:right w:val="single" w:sz="4" w:space="0" w:color="auto"/>
            </w:tcBorders>
            <w:shd w:val="clear" w:color="auto" w:fill="auto"/>
            <w:noWrap/>
            <w:vAlign w:val="bottom"/>
            <w:hideMark/>
          </w:tcPr>
          <w:p w14:paraId="0E73683B" w14:textId="77777777" w:rsidR="00C40522" w:rsidRPr="00E21871" w:rsidRDefault="00C40522" w:rsidP="00C40522">
            <w:pPr>
              <w:rPr>
                <w:color w:val="000000"/>
                <w:sz w:val="22"/>
                <w:szCs w:val="22"/>
                <w:lang w:val="es-GT" w:eastAsia="es-GT"/>
              </w:rPr>
            </w:pPr>
            <w:r w:rsidRPr="00E21871">
              <w:rPr>
                <w:color w:val="000000"/>
                <w:sz w:val="22"/>
                <w:szCs w:val="22"/>
                <w:lang w:val="es-GT" w:eastAsia="es-GT"/>
              </w:rPr>
              <w:t>Otros Recursos del Tesoro</w:t>
            </w:r>
          </w:p>
        </w:tc>
        <w:tc>
          <w:tcPr>
            <w:tcW w:w="1559" w:type="dxa"/>
            <w:tcBorders>
              <w:top w:val="nil"/>
              <w:left w:val="nil"/>
              <w:bottom w:val="nil"/>
              <w:right w:val="nil"/>
            </w:tcBorders>
            <w:shd w:val="clear" w:color="auto" w:fill="auto"/>
            <w:noWrap/>
            <w:vAlign w:val="center"/>
            <w:hideMark/>
          </w:tcPr>
          <w:p w14:paraId="7C7260C5"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101.0</w:t>
            </w:r>
          </w:p>
        </w:tc>
        <w:tc>
          <w:tcPr>
            <w:tcW w:w="1559" w:type="dxa"/>
            <w:tcBorders>
              <w:top w:val="nil"/>
              <w:left w:val="single" w:sz="4" w:space="0" w:color="auto"/>
              <w:bottom w:val="nil"/>
              <w:right w:val="single" w:sz="4" w:space="0" w:color="auto"/>
            </w:tcBorders>
            <w:shd w:val="clear" w:color="auto" w:fill="auto"/>
            <w:noWrap/>
            <w:vAlign w:val="center"/>
            <w:hideMark/>
          </w:tcPr>
          <w:p w14:paraId="4AF74E64"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101.0</w:t>
            </w:r>
          </w:p>
        </w:tc>
        <w:tc>
          <w:tcPr>
            <w:tcW w:w="1560" w:type="dxa"/>
            <w:tcBorders>
              <w:top w:val="nil"/>
              <w:left w:val="nil"/>
              <w:bottom w:val="nil"/>
              <w:right w:val="single" w:sz="4" w:space="0" w:color="auto"/>
            </w:tcBorders>
            <w:shd w:val="clear" w:color="auto" w:fill="auto"/>
            <w:noWrap/>
            <w:vAlign w:val="center"/>
            <w:hideMark/>
          </w:tcPr>
          <w:p w14:paraId="0C8730AB"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100.0%</w:t>
            </w:r>
          </w:p>
        </w:tc>
        <w:tc>
          <w:tcPr>
            <w:tcW w:w="1417" w:type="dxa"/>
            <w:tcBorders>
              <w:top w:val="nil"/>
              <w:left w:val="nil"/>
              <w:bottom w:val="nil"/>
              <w:right w:val="single" w:sz="8" w:space="0" w:color="auto"/>
            </w:tcBorders>
            <w:shd w:val="clear" w:color="auto" w:fill="auto"/>
            <w:noWrap/>
            <w:vAlign w:val="center"/>
            <w:hideMark/>
          </w:tcPr>
          <w:p w14:paraId="3962B789"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1.3%</w:t>
            </w:r>
          </w:p>
        </w:tc>
      </w:tr>
      <w:tr w:rsidR="00C40522" w:rsidRPr="00E21871" w14:paraId="7E97831D" w14:textId="77777777" w:rsidTr="00192450">
        <w:trPr>
          <w:trHeight w:val="264"/>
        </w:trPr>
        <w:tc>
          <w:tcPr>
            <w:tcW w:w="3109" w:type="dxa"/>
            <w:tcBorders>
              <w:top w:val="nil"/>
              <w:left w:val="single" w:sz="8" w:space="0" w:color="auto"/>
              <w:bottom w:val="nil"/>
              <w:right w:val="single" w:sz="4" w:space="0" w:color="auto"/>
            </w:tcBorders>
            <w:shd w:val="clear" w:color="auto" w:fill="auto"/>
            <w:noWrap/>
            <w:vAlign w:val="bottom"/>
            <w:hideMark/>
          </w:tcPr>
          <w:p w14:paraId="60A67C9B" w14:textId="77777777" w:rsidR="00C40522" w:rsidRPr="00E21871" w:rsidRDefault="00C40522" w:rsidP="00C40522">
            <w:pPr>
              <w:rPr>
                <w:color w:val="000000"/>
                <w:sz w:val="22"/>
                <w:szCs w:val="22"/>
                <w:lang w:val="es-GT" w:eastAsia="es-GT"/>
              </w:rPr>
            </w:pPr>
            <w:r w:rsidRPr="00E21871">
              <w:rPr>
                <w:color w:val="000000"/>
                <w:sz w:val="22"/>
                <w:szCs w:val="22"/>
                <w:lang w:val="es-GT" w:eastAsia="es-GT"/>
              </w:rPr>
              <w:t>Colocaciones Internas</w:t>
            </w:r>
          </w:p>
        </w:tc>
        <w:tc>
          <w:tcPr>
            <w:tcW w:w="1559" w:type="dxa"/>
            <w:tcBorders>
              <w:top w:val="nil"/>
              <w:left w:val="nil"/>
              <w:bottom w:val="nil"/>
              <w:right w:val="nil"/>
            </w:tcBorders>
            <w:shd w:val="clear" w:color="auto" w:fill="auto"/>
            <w:noWrap/>
            <w:vAlign w:val="center"/>
            <w:hideMark/>
          </w:tcPr>
          <w:p w14:paraId="6E0724F1"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4,912.8</w:t>
            </w:r>
          </w:p>
        </w:tc>
        <w:tc>
          <w:tcPr>
            <w:tcW w:w="1559" w:type="dxa"/>
            <w:tcBorders>
              <w:top w:val="nil"/>
              <w:left w:val="single" w:sz="4" w:space="0" w:color="auto"/>
              <w:bottom w:val="nil"/>
              <w:right w:val="single" w:sz="4" w:space="0" w:color="auto"/>
            </w:tcBorders>
            <w:shd w:val="clear" w:color="auto" w:fill="auto"/>
            <w:noWrap/>
            <w:vAlign w:val="center"/>
            <w:hideMark/>
          </w:tcPr>
          <w:p w14:paraId="23211B34"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54.5</w:t>
            </w:r>
          </w:p>
        </w:tc>
        <w:tc>
          <w:tcPr>
            <w:tcW w:w="1560" w:type="dxa"/>
            <w:tcBorders>
              <w:top w:val="nil"/>
              <w:left w:val="nil"/>
              <w:bottom w:val="nil"/>
              <w:right w:val="single" w:sz="4" w:space="0" w:color="auto"/>
            </w:tcBorders>
            <w:shd w:val="clear" w:color="auto" w:fill="auto"/>
            <w:noWrap/>
            <w:vAlign w:val="center"/>
            <w:hideMark/>
          </w:tcPr>
          <w:p w14:paraId="481D51DD"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1.1%</w:t>
            </w:r>
          </w:p>
        </w:tc>
        <w:tc>
          <w:tcPr>
            <w:tcW w:w="1417" w:type="dxa"/>
            <w:tcBorders>
              <w:top w:val="nil"/>
              <w:left w:val="nil"/>
              <w:bottom w:val="nil"/>
              <w:right w:val="single" w:sz="8" w:space="0" w:color="auto"/>
            </w:tcBorders>
            <w:shd w:val="clear" w:color="auto" w:fill="auto"/>
            <w:noWrap/>
            <w:vAlign w:val="center"/>
            <w:hideMark/>
          </w:tcPr>
          <w:p w14:paraId="27DA5910"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0.7%</w:t>
            </w:r>
          </w:p>
        </w:tc>
      </w:tr>
      <w:tr w:rsidR="00C40522" w:rsidRPr="00E21871" w14:paraId="02A610CA" w14:textId="77777777" w:rsidTr="00192450">
        <w:trPr>
          <w:trHeight w:val="264"/>
        </w:trPr>
        <w:tc>
          <w:tcPr>
            <w:tcW w:w="3109" w:type="dxa"/>
            <w:tcBorders>
              <w:top w:val="nil"/>
              <w:left w:val="single" w:sz="8" w:space="0" w:color="auto"/>
              <w:bottom w:val="nil"/>
              <w:right w:val="single" w:sz="4" w:space="0" w:color="auto"/>
            </w:tcBorders>
            <w:shd w:val="clear" w:color="auto" w:fill="auto"/>
            <w:noWrap/>
            <w:vAlign w:val="bottom"/>
            <w:hideMark/>
          </w:tcPr>
          <w:p w14:paraId="158DFA9B" w14:textId="2AE71639" w:rsidR="00C40522" w:rsidRPr="00E21871" w:rsidRDefault="00C40522" w:rsidP="00C40522">
            <w:pPr>
              <w:rPr>
                <w:color w:val="000000"/>
                <w:sz w:val="22"/>
                <w:szCs w:val="22"/>
                <w:lang w:val="es-GT" w:eastAsia="es-GT"/>
              </w:rPr>
            </w:pPr>
            <w:r w:rsidRPr="00E21871">
              <w:rPr>
                <w:color w:val="000000"/>
                <w:sz w:val="22"/>
                <w:szCs w:val="22"/>
                <w:lang w:val="es-GT" w:eastAsia="es-GT"/>
              </w:rPr>
              <w:t>Disminución de Caja y Bancos</w:t>
            </w:r>
            <w:r w:rsidR="00DB0D63">
              <w:rPr>
                <w:color w:val="000000"/>
                <w:sz w:val="22"/>
                <w:szCs w:val="22"/>
                <w:lang w:val="es-GT" w:eastAsia="es-GT"/>
              </w:rPr>
              <w:t xml:space="preserve"> de Colocaciones Internas</w:t>
            </w:r>
          </w:p>
        </w:tc>
        <w:tc>
          <w:tcPr>
            <w:tcW w:w="1559" w:type="dxa"/>
            <w:tcBorders>
              <w:top w:val="nil"/>
              <w:left w:val="nil"/>
              <w:bottom w:val="nil"/>
              <w:right w:val="nil"/>
            </w:tcBorders>
            <w:shd w:val="clear" w:color="auto" w:fill="auto"/>
            <w:noWrap/>
            <w:vAlign w:val="center"/>
            <w:hideMark/>
          </w:tcPr>
          <w:p w14:paraId="02D3C495"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10.3</w:t>
            </w:r>
          </w:p>
        </w:tc>
        <w:tc>
          <w:tcPr>
            <w:tcW w:w="1559" w:type="dxa"/>
            <w:tcBorders>
              <w:top w:val="nil"/>
              <w:left w:val="single" w:sz="4" w:space="0" w:color="auto"/>
              <w:bottom w:val="nil"/>
              <w:right w:val="single" w:sz="4" w:space="0" w:color="auto"/>
            </w:tcBorders>
            <w:shd w:val="clear" w:color="auto" w:fill="auto"/>
            <w:noWrap/>
            <w:vAlign w:val="center"/>
            <w:hideMark/>
          </w:tcPr>
          <w:p w14:paraId="11294B6B"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10.3</w:t>
            </w:r>
          </w:p>
        </w:tc>
        <w:tc>
          <w:tcPr>
            <w:tcW w:w="1560" w:type="dxa"/>
            <w:tcBorders>
              <w:top w:val="nil"/>
              <w:left w:val="nil"/>
              <w:bottom w:val="nil"/>
              <w:right w:val="single" w:sz="4" w:space="0" w:color="auto"/>
            </w:tcBorders>
            <w:shd w:val="clear" w:color="auto" w:fill="auto"/>
            <w:noWrap/>
            <w:vAlign w:val="center"/>
            <w:hideMark/>
          </w:tcPr>
          <w:p w14:paraId="783EFFB1"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100.0%</w:t>
            </w:r>
          </w:p>
        </w:tc>
        <w:tc>
          <w:tcPr>
            <w:tcW w:w="1417" w:type="dxa"/>
            <w:tcBorders>
              <w:top w:val="nil"/>
              <w:left w:val="nil"/>
              <w:bottom w:val="nil"/>
              <w:right w:val="single" w:sz="8" w:space="0" w:color="auto"/>
            </w:tcBorders>
            <w:shd w:val="clear" w:color="auto" w:fill="auto"/>
            <w:noWrap/>
            <w:vAlign w:val="center"/>
            <w:hideMark/>
          </w:tcPr>
          <w:p w14:paraId="23E42682"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0.1%</w:t>
            </w:r>
          </w:p>
        </w:tc>
      </w:tr>
      <w:tr w:rsidR="00C40522" w:rsidRPr="00E21871" w14:paraId="4162B75C" w14:textId="77777777" w:rsidTr="00192450">
        <w:trPr>
          <w:trHeight w:val="264"/>
        </w:trPr>
        <w:tc>
          <w:tcPr>
            <w:tcW w:w="3109" w:type="dxa"/>
            <w:tcBorders>
              <w:top w:val="nil"/>
              <w:left w:val="single" w:sz="8" w:space="0" w:color="auto"/>
              <w:bottom w:val="nil"/>
              <w:right w:val="single" w:sz="4" w:space="0" w:color="auto"/>
            </w:tcBorders>
            <w:shd w:val="clear" w:color="auto" w:fill="auto"/>
            <w:noWrap/>
            <w:vAlign w:val="bottom"/>
            <w:hideMark/>
          </w:tcPr>
          <w:p w14:paraId="37DEB467" w14:textId="77777777" w:rsidR="00C40522" w:rsidRPr="00E21871" w:rsidRDefault="00C40522" w:rsidP="00C40522">
            <w:pPr>
              <w:rPr>
                <w:color w:val="000000"/>
                <w:sz w:val="22"/>
                <w:szCs w:val="22"/>
                <w:lang w:val="es-GT" w:eastAsia="es-GT"/>
              </w:rPr>
            </w:pPr>
            <w:r w:rsidRPr="00E21871">
              <w:rPr>
                <w:color w:val="000000"/>
                <w:sz w:val="22"/>
                <w:szCs w:val="22"/>
                <w:lang w:val="es-GT" w:eastAsia="es-GT"/>
              </w:rPr>
              <w:t>Colocaciones Externas</w:t>
            </w:r>
          </w:p>
        </w:tc>
        <w:tc>
          <w:tcPr>
            <w:tcW w:w="1559" w:type="dxa"/>
            <w:tcBorders>
              <w:top w:val="nil"/>
              <w:left w:val="nil"/>
              <w:bottom w:val="nil"/>
              <w:right w:val="nil"/>
            </w:tcBorders>
            <w:shd w:val="clear" w:color="auto" w:fill="auto"/>
            <w:noWrap/>
            <w:vAlign w:val="center"/>
            <w:hideMark/>
          </w:tcPr>
          <w:p w14:paraId="75BBB4E6"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4,200.0</w:t>
            </w:r>
          </w:p>
        </w:tc>
        <w:tc>
          <w:tcPr>
            <w:tcW w:w="1559" w:type="dxa"/>
            <w:tcBorders>
              <w:top w:val="nil"/>
              <w:left w:val="single" w:sz="4" w:space="0" w:color="auto"/>
              <w:bottom w:val="nil"/>
              <w:right w:val="single" w:sz="4" w:space="0" w:color="auto"/>
            </w:tcBorders>
            <w:shd w:val="clear" w:color="auto" w:fill="auto"/>
            <w:noWrap/>
            <w:vAlign w:val="center"/>
            <w:hideMark/>
          </w:tcPr>
          <w:p w14:paraId="3D17D876"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763.8</w:t>
            </w:r>
          </w:p>
        </w:tc>
        <w:tc>
          <w:tcPr>
            <w:tcW w:w="1560" w:type="dxa"/>
            <w:tcBorders>
              <w:top w:val="nil"/>
              <w:left w:val="nil"/>
              <w:bottom w:val="nil"/>
              <w:right w:val="single" w:sz="4" w:space="0" w:color="auto"/>
            </w:tcBorders>
            <w:shd w:val="clear" w:color="auto" w:fill="auto"/>
            <w:noWrap/>
            <w:vAlign w:val="center"/>
            <w:hideMark/>
          </w:tcPr>
          <w:p w14:paraId="56D7F8EA"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18.2%</w:t>
            </w:r>
          </w:p>
        </w:tc>
        <w:tc>
          <w:tcPr>
            <w:tcW w:w="1417" w:type="dxa"/>
            <w:tcBorders>
              <w:top w:val="nil"/>
              <w:left w:val="nil"/>
              <w:bottom w:val="nil"/>
              <w:right w:val="single" w:sz="8" w:space="0" w:color="auto"/>
            </w:tcBorders>
            <w:shd w:val="clear" w:color="auto" w:fill="auto"/>
            <w:noWrap/>
            <w:vAlign w:val="center"/>
            <w:hideMark/>
          </w:tcPr>
          <w:p w14:paraId="3674FEE0"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9.7%</w:t>
            </w:r>
          </w:p>
        </w:tc>
      </w:tr>
      <w:tr w:rsidR="00C40522" w:rsidRPr="00E21871" w14:paraId="4F1C8FB7" w14:textId="77777777" w:rsidTr="00192450">
        <w:trPr>
          <w:trHeight w:val="544"/>
        </w:trPr>
        <w:tc>
          <w:tcPr>
            <w:tcW w:w="3109" w:type="dxa"/>
            <w:tcBorders>
              <w:top w:val="nil"/>
              <w:left w:val="single" w:sz="8" w:space="0" w:color="auto"/>
              <w:bottom w:val="single" w:sz="8" w:space="0" w:color="auto"/>
              <w:right w:val="single" w:sz="4" w:space="0" w:color="auto"/>
            </w:tcBorders>
            <w:shd w:val="clear" w:color="auto" w:fill="auto"/>
            <w:hideMark/>
          </w:tcPr>
          <w:p w14:paraId="0321120D" w14:textId="77777777" w:rsidR="00C40522" w:rsidRPr="00E21871" w:rsidRDefault="00C40522" w:rsidP="00C40522">
            <w:pPr>
              <w:rPr>
                <w:color w:val="000000"/>
                <w:sz w:val="22"/>
                <w:szCs w:val="22"/>
                <w:lang w:val="es-GT" w:eastAsia="es-GT"/>
              </w:rPr>
            </w:pPr>
            <w:r w:rsidRPr="00E21871">
              <w:rPr>
                <w:color w:val="000000"/>
                <w:sz w:val="22"/>
                <w:szCs w:val="22"/>
                <w:lang w:val="es-GT" w:eastAsia="es-GT"/>
              </w:rPr>
              <w:t>Disminución de Caja y Bancos de Colocaciones Externas</w:t>
            </w:r>
          </w:p>
        </w:tc>
        <w:tc>
          <w:tcPr>
            <w:tcW w:w="1559" w:type="dxa"/>
            <w:tcBorders>
              <w:top w:val="nil"/>
              <w:left w:val="nil"/>
              <w:bottom w:val="single" w:sz="8" w:space="0" w:color="auto"/>
              <w:right w:val="nil"/>
            </w:tcBorders>
            <w:shd w:val="clear" w:color="auto" w:fill="auto"/>
            <w:noWrap/>
            <w:vAlign w:val="center"/>
            <w:hideMark/>
          </w:tcPr>
          <w:p w14:paraId="26BE3718"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104.5</w:t>
            </w:r>
          </w:p>
        </w:tc>
        <w:tc>
          <w:tcPr>
            <w:tcW w:w="1559" w:type="dxa"/>
            <w:tcBorders>
              <w:top w:val="nil"/>
              <w:left w:val="single" w:sz="4" w:space="0" w:color="auto"/>
              <w:bottom w:val="single" w:sz="8" w:space="0" w:color="auto"/>
              <w:right w:val="single" w:sz="4" w:space="0" w:color="auto"/>
            </w:tcBorders>
            <w:shd w:val="clear" w:color="auto" w:fill="auto"/>
            <w:noWrap/>
            <w:vAlign w:val="center"/>
            <w:hideMark/>
          </w:tcPr>
          <w:p w14:paraId="6A545A4D"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104.5</w:t>
            </w:r>
          </w:p>
        </w:tc>
        <w:tc>
          <w:tcPr>
            <w:tcW w:w="1560" w:type="dxa"/>
            <w:tcBorders>
              <w:top w:val="nil"/>
              <w:left w:val="nil"/>
              <w:bottom w:val="single" w:sz="8" w:space="0" w:color="auto"/>
              <w:right w:val="single" w:sz="4" w:space="0" w:color="auto"/>
            </w:tcBorders>
            <w:shd w:val="clear" w:color="auto" w:fill="auto"/>
            <w:noWrap/>
            <w:vAlign w:val="center"/>
            <w:hideMark/>
          </w:tcPr>
          <w:p w14:paraId="411930DC"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100.0%</w:t>
            </w:r>
          </w:p>
        </w:tc>
        <w:tc>
          <w:tcPr>
            <w:tcW w:w="1417" w:type="dxa"/>
            <w:tcBorders>
              <w:top w:val="nil"/>
              <w:left w:val="nil"/>
              <w:bottom w:val="single" w:sz="8" w:space="0" w:color="auto"/>
              <w:right w:val="single" w:sz="8" w:space="0" w:color="auto"/>
            </w:tcBorders>
            <w:shd w:val="clear" w:color="auto" w:fill="auto"/>
            <w:noWrap/>
            <w:vAlign w:val="center"/>
            <w:hideMark/>
          </w:tcPr>
          <w:p w14:paraId="7E744F8B" w14:textId="77777777" w:rsidR="00C40522" w:rsidRPr="00E21871" w:rsidRDefault="00C40522" w:rsidP="000C2EA1">
            <w:pPr>
              <w:jc w:val="right"/>
              <w:rPr>
                <w:color w:val="000000"/>
                <w:sz w:val="22"/>
                <w:szCs w:val="22"/>
                <w:lang w:val="es-GT" w:eastAsia="es-GT"/>
              </w:rPr>
            </w:pPr>
            <w:r w:rsidRPr="00E21871">
              <w:rPr>
                <w:color w:val="000000"/>
                <w:sz w:val="22"/>
                <w:szCs w:val="22"/>
                <w:lang w:val="es-GT" w:eastAsia="es-GT"/>
              </w:rPr>
              <w:t>1.3%</w:t>
            </w:r>
          </w:p>
        </w:tc>
      </w:tr>
    </w:tbl>
    <w:p w14:paraId="15C24204" w14:textId="77777777" w:rsidR="00C40522" w:rsidRPr="00046E3F" w:rsidRDefault="00C40522" w:rsidP="00C40522">
      <w:pPr>
        <w:jc w:val="both"/>
        <w:rPr>
          <w:sz w:val="18"/>
          <w:lang w:val="es-MX"/>
        </w:rPr>
      </w:pPr>
      <w:r w:rsidRPr="00046E3F">
        <w:rPr>
          <w:sz w:val="18"/>
          <w:lang w:val="es-MX"/>
        </w:rPr>
        <w:t>Fuente: Ministerio de Finanzas Públicas.</w:t>
      </w:r>
    </w:p>
    <w:p w14:paraId="586B4175" w14:textId="470368E5" w:rsidR="00C40522" w:rsidRPr="00E10E8E" w:rsidRDefault="00C40522" w:rsidP="00C40522">
      <w:pPr>
        <w:jc w:val="both"/>
        <w:rPr>
          <w:lang w:val="es-MX"/>
        </w:rPr>
      </w:pPr>
    </w:p>
    <w:p w14:paraId="68DBE0F8" w14:textId="56528ABF" w:rsidR="00E10E8E" w:rsidRPr="00E10E8E" w:rsidRDefault="00E10E8E" w:rsidP="00C40522">
      <w:pPr>
        <w:jc w:val="both"/>
        <w:rPr>
          <w:lang w:val="es-MX"/>
        </w:rPr>
      </w:pPr>
    </w:p>
    <w:p w14:paraId="37A19682" w14:textId="77777777" w:rsidR="00E10E8E" w:rsidRPr="00E10E8E" w:rsidRDefault="00E10E8E" w:rsidP="00C40522">
      <w:pPr>
        <w:jc w:val="both"/>
        <w:rPr>
          <w:lang w:val="es-MX"/>
        </w:rPr>
      </w:pPr>
    </w:p>
    <w:p w14:paraId="25BB1393" w14:textId="0CB92122" w:rsidR="00C40522" w:rsidRDefault="00C40522" w:rsidP="00A840E5">
      <w:pPr>
        <w:pStyle w:val="Ttulo3"/>
        <w:numPr>
          <w:ilvl w:val="0"/>
          <w:numId w:val="5"/>
        </w:numPr>
        <w:ind w:left="426"/>
        <w:rPr>
          <w:rFonts w:ascii="Times New Roman" w:hAnsi="Times New Roman"/>
          <w:color w:val="auto"/>
          <w:lang w:val="es-MX"/>
        </w:rPr>
      </w:pPr>
      <w:bookmarkStart w:id="33" w:name="_Toc142920547"/>
      <w:r>
        <w:rPr>
          <w:rFonts w:ascii="Times New Roman" w:hAnsi="Times New Roman"/>
          <w:color w:val="auto"/>
          <w:lang w:val="es-MX"/>
        </w:rPr>
        <w:t>Préstamos Externos</w:t>
      </w:r>
      <w:bookmarkEnd w:id="33"/>
    </w:p>
    <w:p w14:paraId="14EAC1BA" w14:textId="77777777" w:rsidR="00C40522" w:rsidRDefault="00C40522" w:rsidP="00C40522">
      <w:pPr>
        <w:rPr>
          <w:lang w:val="es-MX"/>
        </w:rPr>
      </w:pPr>
    </w:p>
    <w:p w14:paraId="0D16AF73" w14:textId="28B763EB" w:rsidR="00C40522" w:rsidRDefault="00C40522" w:rsidP="00E21871">
      <w:pPr>
        <w:jc w:val="both"/>
        <w:rPr>
          <w:lang w:val="es-MX"/>
        </w:rPr>
      </w:pPr>
      <w:r>
        <w:rPr>
          <w:lang w:val="es-MX"/>
        </w:rPr>
        <w:t xml:space="preserve">Dentro de las fuentes de financiamiento del Presupuesto General de </w:t>
      </w:r>
      <w:r w:rsidR="00DB0D63">
        <w:rPr>
          <w:lang w:val="es-MX"/>
        </w:rPr>
        <w:t>Ingresos y Egresos del Estado</w:t>
      </w:r>
      <w:r>
        <w:rPr>
          <w:lang w:val="es-MX"/>
        </w:rPr>
        <w:t xml:space="preserve"> se encuentra</w:t>
      </w:r>
      <w:r w:rsidR="00DB0D63">
        <w:rPr>
          <w:lang w:val="es-MX"/>
        </w:rPr>
        <w:t>n</w:t>
      </w:r>
      <w:r>
        <w:rPr>
          <w:lang w:val="es-MX"/>
        </w:rPr>
        <w:t xml:space="preserve"> los préstamos externos, que dentro de la política de endeudamiento es la fuente que resulta más cómoda para el país en términos del costo</w:t>
      </w:r>
      <w:r w:rsidR="00DB0D63">
        <w:rPr>
          <w:lang w:val="es-MX"/>
        </w:rPr>
        <w:t>,</w:t>
      </w:r>
      <w:r>
        <w:rPr>
          <w:lang w:val="es-MX"/>
        </w:rPr>
        <w:t xml:space="preserve"> debido a que los intereses a pagar con los organismos bilaterales </w:t>
      </w:r>
      <w:r w:rsidR="00DB0D63">
        <w:rPr>
          <w:lang w:val="es-MX"/>
        </w:rPr>
        <w:t>y/</w:t>
      </w:r>
      <w:r>
        <w:rPr>
          <w:lang w:val="es-MX"/>
        </w:rPr>
        <w:t>o multilaterales son más bajos.</w:t>
      </w:r>
    </w:p>
    <w:p w14:paraId="3A558F11" w14:textId="77777777" w:rsidR="00C40522" w:rsidRDefault="00C40522" w:rsidP="00E21871">
      <w:pPr>
        <w:jc w:val="both"/>
        <w:rPr>
          <w:lang w:val="es-MX"/>
        </w:rPr>
      </w:pPr>
    </w:p>
    <w:p w14:paraId="7F5E532B" w14:textId="40F1D489" w:rsidR="00C40522" w:rsidRDefault="00C40522" w:rsidP="00E21871">
      <w:pPr>
        <w:jc w:val="both"/>
        <w:rPr>
          <w:lang w:val="es-MX"/>
        </w:rPr>
      </w:pPr>
      <w:r>
        <w:rPr>
          <w:lang w:val="es-MX"/>
        </w:rPr>
        <w:t xml:space="preserve">Al 30 de junio de 2023 la ejecución presupuestaria a través de la fuente de financiamiento 52 </w:t>
      </w:r>
      <w:r w:rsidR="00DB0D63">
        <w:rPr>
          <w:lang w:val="es-MX"/>
        </w:rPr>
        <w:t>“</w:t>
      </w:r>
      <w:r>
        <w:rPr>
          <w:lang w:val="es-MX"/>
        </w:rPr>
        <w:t xml:space="preserve">Préstamos </w:t>
      </w:r>
      <w:r w:rsidR="00DB0D63">
        <w:rPr>
          <w:lang w:val="es-MX"/>
        </w:rPr>
        <w:t>e</w:t>
      </w:r>
      <w:r>
        <w:rPr>
          <w:lang w:val="es-MX"/>
        </w:rPr>
        <w:t>xternos</w:t>
      </w:r>
      <w:r w:rsidR="00DB0D63">
        <w:rPr>
          <w:lang w:val="es-MX"/>
        </w:rPr>
        <w:t>”</w:t>
      </w:r>
      <w:r>
        <w:rPr>
          <w:lang w:val="es-MX"/>
        </w:rPr>
        <w:t xml:space="preserve"> alcanza el monto de Q.476.5 millones, equivalente</w:t>
      </w:r>
      <w:r w:rsidR="00DB0D63">
        <w:rPr>
          <w:lang w:val="es-MX"/>
        </w:rPr>
        <w:t>s</w:t>
      </w:r>
      <w:r>
        <w:rPr>
          <w:lang w:val="es-MX"/>
        </w:rPr>
        <w:t xml:space="preserve"> al 16.9% </w:t>
      </w:r>
      <w:r w:rsidR="00DB0D63">
        <w:rPr>
          <w:lang w:val="es-MX"/>
        </w:rPr>
        <w:t xml:space="preserve">con </w:t>
      </w:r>
      <w:r>
        <w:rPr>
          <w:lang w:val="es-MX"/>
        </w:rPr>
        <w:t>respecto a</w:t>
      </w:r>
      <w:r w:rsidR="00DB0D63">
        <w:rPr>
          <w:lang w:val="es-MX"/>
        </w:rPr>
        <w:t xml:space="preserve"> su</w:t>
      </w:r>
      <w:r>
        <w:rPr>
          <w:lang w:val="es-MX"/>
        </w:rPr>
        <w:t xml:space="preserve"> presupuesto vigente.</w:t>
      </w:r>
    </w:p>
    <w:p w14:paraId="60A98A36" w14:textId="77777777" w:rsidR="00C40522" w:rsidRDefault="00C40522" w:rsidP="00E21871">
      <w:pPr>
        <w:jc w:val="both"/>
        <w:rPr>
          <w:lang w:val="es-MX"/>
        </w:rPr>
      </w:pPr>
    </w:p>
    <w:p w14:paraId="6328218A" w14:textId="376DE347" w:rsidR="00C40522" w:rsidRDefault="00C40522" w:rsidP="00E21871">
      <w:pPr>
        <w:jc w:val="both"/>
        <w:rPr>
          <w:lang w:val="es-MX"/>
        </w:rPr>
      </w:pPr>
      <w:r>
        <w:rPr>
          <w:lang w:val="es-MX"/>
        </w:rPr>
        <w:t xml:space="preserve">La </w:t>
      </w:r>
      <w:r w:rsidR="00DB0D63">
        <w:rPr>
          <w:lang w:val="es-MX"/>
        </w:rPr>
        <w:t xml:space="preserve">mayor </w:t>
      </w:r>
      <w:r>
        <w:rPr>
          <w:lang w:val="es-MX"/>
        </w:rPr>
        <w:t>ejecución</w:t>
      </w:r>
      <w:r w:rsidR="00DB0D63">
        <w:rPr>
          <w:lang w:val="es-MX"/>
        </w:rPr>
        <w:t xml:space="preserve"> </w:t>
      </w:r>
      <w:r>
        <w:rPr>
          <w:lang w:val="es-MX"/>
        </w:rPr>
        <w:t>l</w:t>
      </w:r>
      <w:r w:rsidR="00DB0D63">
        <w:rPr>
          <w:lang w:val="es-MX"/>
        </w:rPr>
        <w:t>a</w:t>
      </w:r>
      <w:r>
        <w:rPr>
          <w:lang w:val="es-MX"/>
        </w:rPr>
        <w:t xml:space="preserve"> realizan las entidades siguientes: Ministerio de Educación ejecutó Q.286.8 millones; el Ministerio de Comunicaciones, Infraestructura y Vivienda con una ejecución de Q.95.3 millones; el Ministerio de Salud Pública y Asistencia Social con Q.62.2 millones; el Ministerio de Gobernación con Q.21.4 millones y a través de las Obligaciones del Estado Cargo del Tesoro con Q.10.8 millones</w:t>
      </w:r>
      <w:r w:rsidR="00DB0D63">
        <w:rPr>
          <w:lang w:val="es-MX"/>
        </w:rPr>
        <w:t>.</w:t>
      </w:r>
    </w:p>
    <w:p w14:paraId="159BA8DE" w14:textId="0DB4EBCB" w:rsidR="00C40522" w:rsidRDefault="00C40522" w:rsidP="00C40522">
      <w:pPr>
        <w:jc w:val="both"/>
        <w:rPr>
          <w:sz w:val="18"/>
          <w:lang w:val="es-MX"/>
        </w:rPr>
      </w:pPr>
    </w:p>
    <w:p w14:paraId="70C68BC8" w14:textId="0BED6AF9" w:rsidR="00DB0D63" w:rsidRDefault="00DB0D63" w:rsidP="00C40522">
      <w:pPr>
        <w:jc w:val="both"/>
        <w:rPr>
          <w:sz w:val="18"/>
          <w:lang w:val="es-MX"/>
        </w:rPr>
      </w:pPr>
    </w:p>
    <w:p w14:paraId="2E2D9AEA" w14:textId="269CCF49" w:rsidR="00DB0D63" w:rsidRDefault="00DB0D63" w:rsidP="00C40522">
      <w:pPr>
        <w:jc w:val="both"/>
        <w:rPr>
          <w:sz w:val="18"/>
          <w:lang w:val="es-MX"/>
        </w:rPr>
      </w:pPr>
    </w:p>
    <w:p w14:paraId="68C8F9E9" w14:textId="01284A0C" w:rsidR="00DB0D63" w:rsidRDefault="00DB0D63" w:rsidP="00C40522">
      <w:pPr>
        <w:jc w:val="both"/>
        <w:rPr>
          <w:sz w:val="18"/>
          <w:lang w:val="es-MX"/>
        </w:rPr>
      </w:pPr>
    </w:p>
    <w:p w14:paraId="01AD5F24" w14:textId="7327A511" w:rsidR="00DB0D63" w:rsidRDefault="00DB0D63" w:rsidP="00C40522">
      <w:pPr>
        <w:jc w:val="both"/>
        <w:rPr>
          <w:sz w:val="18"/>
          <w:lang w:val="es-MX"/>
        </w:rPr>
      </w:pPr>
    </w:p>
    <w:p w14:paraId="52F48355" w14:textId="095F32AB" w:rsidR="00DB0D63" w:rsidRDefault="00DB0D63" w:rsidP="00C40522">
      <w:pPr>
        <w:jc w:val="both"/>
        <w:rPr>
          <w:sz w:val="18"/>
          <w:lang w:val="es-MX"/>
        </w:rPr>
      </w:pPr>
    </w:p>
    <w:p w14:paraId="242774FB" w14:textId="18BF9721" w:rsidR="00DB0D63" w:rsidRDefault="00DB0D63" w:rsidP="00C40522">
      <w:pPr>
        <w:jc w:val="both"/>
        <w:rPr>
          <w:sz w:val="18"/>
          <w:lang w:val="es-MX"/>
        </w:rPr>
      </w:pPr>
    </w:p>
    <w:p w14:paraId="09158D95" w14:textId="1AE53046" w:rsidR="00DB0D63" w:rsidRDefault="00DB0D63" w:rsidP="00C40522">
      <w:pPr>
        <w:jc w:val="both"/>
        <w:rPr>
          <w:sz w:val="18"/>
          <w:lang w:val="es-MX"/>
        </w:rPr>
      </w:pPr>
    </w:p>
    <w:p w14:paraId="6579A82C" w14:textId="0735896A" w:rsidR="00DB0D63" w:rsidRDefault="00DB0D63" w:rsidP="00C40522">
      <w:pPr>
        <w:jc w:val="both"/>
        <w:rPr>
          <w:sz w:val="18"/>
          <w:lang w:val="es-MX"/>
        </w:rPr>
      </w:pPr>
    </w:p>
    <w:p w14:paraId="06A2EB02" w14:textId="77777777" w:rsidR="00C40522" w:rsidRPr="00D84096" w:rsidRDefault="00C40522" w:rsidP="00C40522">
      <w:pPr>
        <w:jc w:val="center"/>
        <w:rPr>
          <w:b/>
          <w:szCs w:val="22"/>
          <w:lang w:val="es-MX"/>
        </w:rPr>
      </w:pPr>
      <w:r w:rsidRPr="00D84096">
        <w:rPr>
          <w:b/>
          <w:szCs w:val="22"/>
          <w:lang w:val="es-MX"/>
        </w:rPr>
        <w:t>Cuadro 1</w:t>
      </w:r>
      <w:r>
        <w:rPr>
          <w:b/>
          <w:szCs w:val="22"/>
          <w:lang w:val="es-MX"/>
        </w:rPr>
        <w:t>5</w:t>
      </w:r>
    </w:p>
    <w:p w14:paraId="331E6D97" w14:textId="35F089B1" w:rsidR="00C40522" w:rsidRPr="00D84096" w:rsidRDefault="00DB0D63" w:rsidP="00C40522">
      <w:pPr>
        <w:jc w:val="center"/>
        <w:rPr>
          <w:b/>
          <w:szCs w:val="22"/>
          <w:lang w:val="es-MX"/>
        </w:rPr>
      </w:pPr>
      <w:r>
        <w:rPr>
          <w:b/>
          <w:szCs w:val="22"/>
          <w:lang w:val="es-MX"/>
        </w:rPr>
        <w:t>Ejecución de Préstamos Externos</w:t>
      </w:r>
    </w:p>
    <w:p w14:paraId="315F06BC" w14:textId="77777777" w:rsidR="00C40522" w:rsidRPr="00D84096" w:rsidRDefault="00C40522" w:rsidP="00C40522">
      <w:pPr>
        <w:jc w:val="center"/>
        <w:rPr>
          <w:b/>
          <w:szCs w:val="22"/>
          <w:lang w:val="es-MX"/>
        </w:rPr>
      </w:pPr>
      <w:r w:rsidRPr="00D84096">
        <w:rPr>
          <w:b/>
          <w:szCs w:val="22"/>
          <w:lang w:val="es-MX"/>
        </w:rPr>
        <w:t>Al 30 de junio de 202</w:t>
      </w:r>
      <w:r>
        <w:rPr>
          <w:b/>
          <w:szCs w:val="22"/>
          <w:lang w:val="es-MX"/>
        </w:rPr>
        <w:t>3</w:t>
      </w:r>
    </w:p>
    <w:p w14:paraId="25921BB6" w14:textId="77777777" w:rsidR="00C40522" w:rsidRDefault="00C40522" w:rsidP="00C40522">
      <w:pPr>
        <w:jc w:val="center"/>
        <w:rPr>
          <w:b/>
          <w:szCs w:val="22"/>
          <w:lang w:val="es-MX"/>
        </w:rPr>
      </w:pPr>
      <w:r w:rsidRPr="00D84096">
        <w:rPr>
          <w:b/>
          <w:szCs w:val="22"/>
          <w:lang w:val="es-MX"/>
        </w:rPr>
        <w:t>(Cifras en Millones de Quetzales</w:t>
      </w:r>
      <w:r>
        <w:rPr>
          <w:b/>
          <w:szCs w:val="22"/>
          <w:lang w:val="es-MX"/>
        </w:rPr>
        <w:t xml:space="preserve"> y Porcentajes</w:t>
      </w:r>
      <w:r w:rsidRPr="00D84096">
        <w:rPr>
          <w:b/>
          <w:szCs w:val="22"/>
          <w:lang w:val="es-MX"/>
        </w:rPr>
        <w:t>)</w:t>
      </w:r>
    </w:p>
    <w:tbl>
      <w:tblPr>
        <w:tblW w:w="9321" w:type="dxa"/>
        <w:tblCellMar>
          <w:left w:w="70" w:type="dxa"/>
          <w:right w:w="70" w:type="dxa"/>
        </w:tblCellMar>
        <w:tblLook w:val="04A0" w:firstRow="1" w:lastRow="0" w:firstColumn="1" w:lastColumn="0" w:noHBand="0" w:noVBand="1"/>
      </w:tblPr>
      <w:tblGrid>
        <w:gridCol w:w="4668"/>
        <w:gridCol w:w="1276"/>
        <w:gridCol w:w="1180"/>
        <w:gridCol w:w="1149"/>
        <w:gridCol w:w="1154"/>
      </w:tblGrid>
      <w:tr w:rsidR="00C40522" w:rsidRPr="00DB0D63" w14:paraId="50CB9767" w14:textId="77777777" w:rsidTr="00E10E8E">
        <w:trPr>
          <w:trHeight w:val="375"/>
        </w:trPr>
        <w:tc>
          <w:tcPr>
            <w:tcW w:w="4668" w:type="dxa"/>
            <w:vMerge w:val="restart"/>
            <w:tcBorders>
              <w:top w:val="single" w:sz="8" w:space="0" w:color="auto"/>
              <w:left w:val="single" w:sz="8" w:space="0" w:color="auto"/>
              <w:bottom w:val="single" w:sz="8" w:space="0" w:color="000000"/>
              <w:right w:val="single" w:sz="4" w:space="0" w:color="auto"/>
            </w:tcBorders>
            <w:shd w:val="clear" w:color="auto" w:fill="00B0F0"/>
            <w:vAlign w:val="center"/>
            <w:hideMark/>
          </w:tcPr>
          <w:p w14:paraId="713DDE8B" w14:textId="77777777" w:rsidR="00C40522" w:rsidRPr="00E70E03" w:rsidRDefault="00C40522" w:rsidP="00C40522">
            <w:pPr>
              <w:jc w:val="center"/>
              <w:rPr>
                <w:b/>
                <w:bCs/>
                <w:szCs w:val="22"/>
                <w:lang w:val="es-GT" w:eastAsia="es-GT"/>
              </w:rPr>
            </w:pPr>
            <w:r w:rsidRPr="00E70E03">
              <w:rPr>
                <w:b/>
                <w:bCs/>
                <w:szCs w:val="22"/>
                <w:lang w:val="es-GT" w:eastAsia="es-GT"/>
              </w:rPr>
              <w:t>Entidad</w:t>
            </w:r>
          </w:p>
        </w:tc>
        <w:tc>
          <w:tcPr>
            <w:tcW w:w="1276"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6D8F7AFF" w14:textId="77777777" w:rsidR="00C40522" w:rsidRPr="00E70E03" w:rsidRDefault="00C40522" w:rsidP="00C40522">
            <w:pPr>
              <w:jc w:val="center"/>
              <w:rPr>
                <w:b/>
                <w:bCs/>
                <w:szCs w:val="22"/>
                <w:lang w:val="es-GT" w:eastAsia="es-GT"/>
              </w:rPr>
            </w:pPr>
            <w:r w:rsidRPr="00E70E03">
              <w:rPr>
                <w:b/>
                <w:bCs/>
                <w:szCs w:val="22"/>
                <w:lang w:val="es-GT" w:eastAsia="es-GT"/>
              </w:rPr>
              <w:t>Vigente</w:t>
            </w:r>
          </w:p>
        </w:tc>
        <w:tc>
          <w:tcPr>
            <w:tcW w:w="109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346E7642" w14:textId="77777777" w:rsidR="00C40522" w:rsidRPr="00E70E03" w:rsidRDefault="00C40522" w:rsidP="00C40522">
            <w:pPr>
              <w:jc w:val="center"/>
              <w:rPr>
                <w:b/>
                <w:bCs/>
                <w:szCs w:val="22"/>
                <w:lang w:val="es-GT" w:eastAsia="es-GT"/>
              </w:rPr>
            </w:pPr>
            <w:r w:rsidRPr="00E70E03">
              <w:rPr>
                <w:b/>
                <w:bCs/>
                <w:szCs w:val="22"/>
                <w:lang w:val="es-GT" w:eastAsia="es-GT"/>
              </w:rPr>
              <w:t>Ejecutado</w:t>
            </w:r>
          </w:p>
        </w:tc>
        <w:tc>
          <w:tcPr>
            <w:tcW w:w="1149"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0CBB91EE" w14:textId="77777777" w:rsidR="00C40522" w:rsidRPr="00E70E03" w:rsidRDefault="00C40522" w:rsidP="00C40522">
            <w:pPr>
              <w:jc w:val="center"/>
              <w:rPr>
                <w:b/>
                <w:bCs/>
                <w:szCs w:val="22"/>
                <w:lang w:val="es-GT" w:eastAsia="es-GT"/>
              </w:rPr>
            </w:pPr>
            <w:r w:rsidRPr="00E70E03">
              <w:rPr>
                <w:b/>
                <w:bCs/>
                <w:szCs w:val="22"/>
                <w:lang w:val="es-GT" w:eastAsia="es-GT"/>
              </w:rPr>
              <w:t>Saldo por Devengar</w:t>
            </w:r>
          </w:p>
        </w:tc>
        <w:tc>
          <w:tcPr>
            <w:tcW w:w="1134"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12DA03AC" w14:textId="77777777" w:rsidR="00C40522" w:rsidRPr="00E70E03" w:rsidRDefault="00C40522" w:rsidP="00C40522">
            <w:pPr>
              <w:jc w:val="center"/>
              <w:rPr>
                <w:b/>
                <w:bCs/>
                <w:szCs w:val="22"/>
                <w:lang w:val="es-GT" w:eastAsia="es-GT"/>
              </w:rPr>
            </w:pPr>
            <w:r w:rsidRPr="00E70E03">
              <w:rPr>
                <w:b/>
                <w:bCs/>
                <w:szCs w:val="22"/>
                <w:lang w:val="es-GT" w:eastAsia="es-GT"/>
              </w:rPr>
              <w:t>% de Ejecución</w:t>
            </w:r>
          </w:p>
        </w:tc>
      </w:tr>
      <w:tr w:rsidR="00C40522" w:rsidRPr="00DB0D63" w14:paraId="26429D8E" w14:textId="77777777" w:rsidTr="00E10E8E">
        <w:trPr>
          <w:trHeight w:val="345"/>
        </w:trPr>
        <w:tc>
          <w:tcPr>
            <w:tcW w:w="4668"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2D7C33EB" w14:textId="77777777" w:rsidR="00C40522" w:rsidRPr="00DB0D63" w:rsidRDefault="00C40522" w:rsidP="00C40522">
            <w:pPr>
              <w:rPr>
                <w:b/>
                <w:bCs/>
                <w:sz w:val="22"/>
                <w:szCs w:val="22"/>
                <w:lang w:val="es-GT" w:eastAsia="es-GT"/>
              </w:rPr>
            </w:pPr>
          </w:p>
        </w:tc>
        <w:tc>
          <w:tcPr>
            <w:tcW w:w="1276"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0E08E9F" w14:textId="77777777" w:rsidR="00C40522" w:rsidRPr="00DB0D63" w:rsidRDefault="00C40522" w:rsidP="00C40522">
            <w:pPr>
              <w:rPr>
                <w:b/>
                <w:bCs/>
                <w:sz w:val="22"/>
                <w:szCs w:val="22"/>
                <w:lang w:val="es-GT" w:eastAsia="es-GT"/>
              </w:rPr>
            </w:pPr>
          </w:p>
        </w:tc>
        <w:tc>
          <w:tcPr>
            <w:tcW w:w="109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1CC31D9" w14:textId="77777777" w:rsidR="00C40522" w:rsidRPr="00DB0D63" w:rsidRDefault="00C40522" w:rsidP="00C40522">
            <w:pPr>
              <w:rPr>
                <w:b/>
                <w:bCs/>
                <w:sz w:val="22"/>
                <w:szCs w:val="22"/>
                <w:lang w:val="es-GT" w:eastAsia="es-GT"/>
              </w:rPr>
            </w:pPr>
          </w:p>
        </w:tc>
        <w:tc>
          <w:tcPr>
            <w:tcW w:w="1149"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61A0FB44" w14:textId="77777777" w:rsidR="00C40522" w:rsidRPr="00DB0D63" w:rsidRDefault="00C40522" w:rsidP="00C40522">
            <w:pPr>
              <w:rPr>
                <w:b/>
                <w:bCs/>
                <w:sz w:val="22"/>
                <w:szCs w:val="22"/>
                <w:lang w:val="es-GT" w:eastAsia="es-GT"/>
              </w:rPr>
            </w:pPr>
          </w:p>
        </w:tc>
        <w:tc>
          <w:tcPr>
            <w:tcW w:w="1134"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77D44AB3" w14:textId="77777777" w:rsidR="00C40522" w:rsidRPr="00DB0D63" w:rsidRDefault="00C40522" w:rsidP="00C40522">
            <w:pPr>
              <w:rPr>
                <w:b/>
                <w:bCs/>
                <w:sz w:val="22"/>
                <w:szCs w:val="22"/>
                <w:lang w:val="es-GT" w:eastAsia="es-GT"/>
              </w:rPr>
            </w:pPr>
          </w:p>
        </w:tc>
      </w:tr>
      <w:tr w:rsidR="00C40522" w:rsidRPr="00DB0D63" w14:paraId="2206BD1C" w14:textId="77777777" w:rsidTr="00634C97">
        <w:trPr>
          <w:trHeight w:val="270"/>
        </w:trPr>
        <w:tc>
          <w:tcPr>
            <w:tcW w:w="4668" w:type="dxa"/>
            <w:tcBorders>
              <w:top w:val="single" w:sz="8" w:space="0" w:color="000000"/>
              <w:left w:val="single" w:sz="8" w:space="0" w:color="auto"/>
              <w:right w:val="single" w:sz="4" w:space="0" w:color="auto"/>
            </w:tcBorders>
            <w:shd w:val="clear" w:color="auto" w:fill="auto"/>
            <w:noWrap/>
            <w:vAlign w:val="bottom"/>
            <w:hideMark/>
          </w:tcPr>
          <w:p w14:paraId="64A3130C" w14:textId="2B0C1483" w:rsidR="00C40522" w:rsidRPr="00DB0D63" w:rsidRDefault="00C40522" w:rsidP="00C40522">
            <w:pPr>
              <w:jc w:val="center"/>
              <w:rPr>
                <w:b/>
                <w:bCs/>
                <w:sz w:val="22"/>
                <w:szCs w:val="22"/>
                <w:lang w:val="es-GT" w:eastAsia="es-GT"/>
              </w:rPr>
            </w:pPr>
            <w:r w:rsidRPr="00DB0D63">
              <w:rPr>
                <w:b/>
                <w:bCs/>
                <w:sz w:val="22"/>
                <w:szCs w:val="22"/>
                <w:lang w:val="es-GT" w:eastAsia="es-GT"/>
              </w:rPr>
              <w:t>T</w:t>
            </w:r>
            <w:r w:rsidR="00634C97">
              <w:rPr>
                <w:b/>
                <w:bCs/>
                <w:sz w:val="22"/>
                <w:szCs w:val="22"/>
                <w:lang w:val="es-GT" w:eastAsia="es-GT"/>
              </w:rPr>
              <w:t>otal</w:t>
            </w:r>
          </w:p>
        </w:tc>
        <w:tc>
          <w:tcPr>
            <w:tcW w:w="1276" w:type="dxa"/>
            <w:tcBorders>
              <w:top w:val="single" w:sz="8" w:space="0" w:color="000000"/>
              <w:left w:val="nil"/>
              <w:right w:val="single" w:sz="4" w:space="0" w:color="auto"/>
            </w:tcBorders>
            <w:shd w:val="clear" w:color="auto" w:fill="auto"/>
            <w:noWrap/>
            <w:vAlign w:val="center"/>
            <w:hideMark/>
          </w:tcPr>
          <w:p w14:paraId="5F1E919E" w14:textId="77777777" w:rsidR="00C40522" w:rsidRPr="00DB0D63" w:rsidRDefault="00C40522" w:rsidP="00C40522">
            <w:pPr>
              <w:jc w:val="right"/>
              <w:rPr>
                <w:b/>
                <w:bCs/>
                <w:sz w:val="22"/>
                <w:szCs w:val="22"/>
                <w:lang w:val="es-GT" w:eastAsia="es-GT"/>
              </w:rPr>
            </w:pPr>
            <w:r w:rsidRPr="00DB0D63">
              <w:rPr>
                <w:b/>
                <w:bCs/>
                <w:sz w:val="22"/>
                <w:szCs w:val="22"/>
                <w:lang w:val="es-GT" w:eastAsia="es-GT"/>
              </w:rPr>
              <w:t>2,818.1</w:t>
            </w:r>
          </w:p>
        </w:tc>
        <w:tc>
          <w:tcPr>
            <w:tcW w:w="1094" w:type="dxa"/>
            <w:tcBorders>
              <w:top w:val="single" w:sz="8" w:space="0" w:color="000000"/>
              <w:left w:val="nil"/>
              <w:right w:val="single" w:sz="4" w:space="0" w:color="auto"/>
            </w:tcBorders>
            <w:shd w:val="clear" w:color="auto" w:fill="auto"/>
            <w:noWrap/>
            <w:vAlign w:val="center"/>
            <w:hideMark/>
          </w:tcPr>
          <w:p w14:paraId="32C54792" w14:textId="77777777" w:rsidR="00C40522" w:rsidRPr="00DB0D63" w:rsidRDefault="00C40522" w:rsidP="00C40522">
            <w:pPr>
              <w:jc w:val="right"/>
              <w:rPr>
                <w:b/>
                <w:bCs/>
                <w:sz w:val="22"/>
                <w:szCs w:val="22"/>
                <w:lang w:val="es-GT" w:eastAsia="es-GT"/>
              </w:rPr>
            </w:pPr>
            <w:r w:rsidRPr="00DB0D63">
              <w:rPr>
                <w:b/>
                <w:bCs/>
                <w:sz w:val="22"/>
                <w:szCs w:val="22"/>
                <w:lang w:val="es-GT" w:eastAsia="es-GT"/>
              </w:rPr>
              <w:t>476.5</w:t>
            </w:r>
          </w:p>
        </w:tc>
        <w:tc>
          <w:tcPr>
            <w:tcW w:w="1149" w:type="dxa"/>
            <w:tcBorders>
              <w:top w:val="single" w:sz="8" w:space="0" w:color="000000"/>
              <w:left w:val="nil"/>
              <w:right w:val="single" w:sz="4" w:space="0" w:color="auto"/>
            </w:tcBorders>
            <w:shd w:val="clear" w:color="auto" w:fill="auto"/>
            <w:noWrap/>
            <w:vAlign w:val="center"/>
            <w:hideMark/>
          </w:tcPr>
          <w:p w14:paraId="55577877" w14:textId="77777777" w:rsidR="00C40522" w:rsidRPr="00DB0D63" w:rsidRDefault="00C40522" w:rsidP="00C40522">
            <w:pPr>
              <w:jc w:val="right"/>
              <w:rPr>
                <w:b/>
                <w:bCs/>
                <w:sz w:val="22"/>
                <w:szCs w:val="22"/>
                <w:lang w:val="es-GT" w:eastAsia="es-GT"/>
              </w:rPr>
            </w:pPr>
            <w:r w:rsidRPr="00DB0D63">
              <w:rPr>
                <w:b/>
                <w:bCs/>
                <w:sz w:val="22"/>
                <w:szCs w:val="22"/>
                <w:lang w:val="es-GT" w:eastAsia="es-GT"/>
              </w:rPr>
              <w:t>1,224.7</w:t>
            </w:r>
          </w:p>
        </w:tc>
        <w:tc>
          <w:tcPr>
            <w:tcW w:w="1134" w:type="dxa"/>
            <w:tcBorders>
              <w:top w:val="single" w:sz="8" w:space="0" w:color="000000"/>
              <w:left w:val="nil"/>
              <w:right w:val="single" w:sz="8" w:space="0" w:color="auto"/>
            </w:tcBorders>
            <w:shd w:val="clear" w:color="auto" w:fill="auto"/>
            <w:noWrap/>
            <w:vAlign w:val="center"/>
            <w:hideMark/>
          </w:tcPr>
          <w:p w14:paraId="17B55190" w14:textId="77777777" w:rsidR="00C40522" w:rsidRPr="00DB0D63" w:rsidRDefault="00C40522" w:rsidP="00C40522">
            <w:pPr>
              <w:jc w:val="center"/>
              <w:rPr>
                <w:b/>
                <w:bCs/>
                <w:sz w:val="22"/>
                <w:szCs w:val="22"/>
                <w:lang w:val="es-GT" w:eastAsia="es-GT"/>
              </w:rPr>
            </w:pPr>
            <w:r w:rsidRPr="00DB0D63">
              <w:rPr>
                <w:b/>
                <w:bCs/>
                <w:sz w:val="22"/>
                <w:szCs w:val="22"/>
                <w:lang w:val="es-GT" w:eastAsia="es-GT"/>
              </w:rPr>
              <w:t>16.9%</w:t>
            </w:r>
          </w:p>
        </w:tc>
      </w:tr>
      <w:tr w:rsidR="00C40522" w:rsidRPr="00DB0D63" w14:paraId="3450211E" w14:textId="77777777" w:rsidTr="00634C97">
        <w:trPr>
          <w:trHeight w:val="289"/>
        </w:trPr>
        <w:tc>
          <w:tcPr>
            <w:tcW w:w="4668" w:type="dxa"/>
            <w:tcBorders>
              <w:left w:val="single" w:sz="8" w:space="0" w:color="auto"/>
              <w:bottom w:val="nil"/>
              <w:right w:val="single" w:sz="4" w:space="0" w:color="auto"/>
            </w:tcBorders>
            <w:shd w:val="clear" w:color="auto" w:fill="auto"/>
            <w:noWrap/>
            <w:vAlign w:val="bottom"/>
            <w:hideMark/>
          </w:tcPr>
          <w:p w14:paraId="77918CB2" w14:textId="77777777" w:rsidR="00C40522" w:rsidRPr="00DB0D63" w:rsidRDefault="00C40522" w:rsidP="00C40522">
            <w:pPr>
              <w:jc w:val="center"/>
              <w:rPr>
                <w:b/>
                <w:bCs/>
                <w:sz w:val="22"/>
                <w:szCs w:val="22"/>
                <w:lang w:val="es-GT" w:eastAsia="es-GT"/>
              </w:rPr>
            </w:pPr>
            <w:r w:rsidRPr="00DB0D63">
              <w:rPr>
                <w:b/>
                <w:bCs/>
                <w:sz w:val="22"/>
                <w:szCs w:val="22"/>
                <w:lang w:val="es-GT" w:eastAsia="es-GT"/>
              </w:rPr>
              <w:t>Ministerio de Gobernación</w:t>
            </w:r>
          </w:p>
        </w:tc>
        <w:tc>
          <w:tcPr>
            <w:tcW w:w="1276" w:type="dxa"/>
            <w:tcBorders>
              <w:left w:val="single" w:sz="4" w:space="0" w:color="auto"/>
              <w:bottom w:val="nil"/>
              <w:right w:val="single" w:sz="4" w:space="0" w:color="auto"/>
            </w:tcBorders>
            <w:shd w:val="clear" w:color="auto" w:fill="auto"/>
            <w:noWrap/>
            <w:vAlign w:val="center"/>
            <w:hideMark/>
          </w:tcPr>
          <w:p w14:paraId="25CF8B57" w14:textId="77777777" w:rsidR="00C40522" w:rsidRPr="00DB0D63" w:rsidRDefault="00C40522" w:rsidP="00C40522">
            <w:pPr>
              <w:jc w:val="right"/>
              <w:rPr>
                <w:b/>
                <w:bCs/>
                <w:sz w:val="22"/>
                <w:szCs w:val="22"/>
                <w:lang w:val="es-GT" w:eastAsia="es-GT"/>
              </w:rPr>
            </w:pPr>
            <w:r w:rsidRPr="00DB0D63">
              <w:rPr>
                <w:b/>
                <w:bCs/>
                <w:sz w:val="22"/>
                <w:szCs w:val="22"/>
                <w:lang w:val="es-GT" w:eastAsia="es-GT"/>
              </w:rPr>
              <w:t>472.5</w:t>
            </w:r>
          </w:p>
        </w:tc>
        <w:tc>
          <w:tcPr>
            <w:tcW w:w="1094" w:type="dxa"/>
            <w:tcBorders>
              <w:left w:val="nil"/>
              <w:bottom w:val="nil"/>
              <w:right w:val="single" w:sz="4" w:space="0" w:color="auto"/>
            </w:tcBorders>
            <w:shd w:val="clear" w:color="auto" w:fill="auto"/>
            <w:noWrap/>
            <w:vAlign w:val="center"/>
            <w:hideMark/>
          </w:tcPr>
          <w:p w14:paraId="26215A0E" w14:textId="77777777" w:rsidR="00C40522" w:rsidRPr="00DB0D63" w:rsidRDefault="00C40522" w:rsidP="00C40522">
            <w:pPr>
              <w:jc w:val="right"/>
              <w:rPr>
                <w:b/>
                <w:bCs/>
                <w:sz w:val="22"/>
                <w:szCs w:val="22"/>
                <w:lang w:val="es-GT" w:eastAsia="es-GT"/>
              </w:rPr>
            </w:pPr>
            <w:r w:rsidRPr="00DB0D63">
              <w:rPr>
                <w:b/>
                <w:bCs/>
                <w:sz w:val="22"/>
                <w:szCs w:val="22"/>
                <w:lang w:val="es-GT" w:eastAsia="es-GT"/>
              </w:rPr>
              <w:t>21.4</w:t>
            </w:r>
          </w:p>
        </w:tc>
        <w:tc>
          <w:tcPr>
            <w:tcW w:w="1149" w:type="dxa"/>
            <w:tcBorders>
              <w:left w:val="nil"/>
              <w:bottom w:val="nil"/>
              <w:right w:val="single" w:sz="4" w:space="0" w:color="auto"/>
            </w:tcBorders>
            <w:shd w:val="clear" w:color="auto" w:fill="auto"/>
            <w:noWrap/>
            <w:vAlign w:val="center"/>
            <w:hideMark/>
          </w:tcPr>
          <w:p w14:paraId="68888F91" w14:textId="77777777" w:rsidR="00C40522" w:rsidRPr="00DB0D63" w:rsidRDefault="00C40522" w:rsidP="00C40522">
            <w:pPr>
              <w:jc w:val="right"/>
              <w:rPr>
                <w:b/>
                <w:bCs/>
                <w:sz w:val="22"/>
                <w:szCs w:val="22"/>
                <w:lang w:val="es-GT" w:eastAsia="es-GT"/>
              </w:rPr>
            </w:pPr>
            <w:r w:rsidRPr="00DB0D63">
              <w:rPr>
                <w:b/>
                <w:bCs/>
                <w:sz w:val="22"/>
                <w:szCs w:val="22"/>
                <w:lang w:val="es-GT" w:eastAsia="es-GT"/>
              </w:rPr>
              <w:t>451.2</w:t>
            </w:r>
          </w:p>
        </w:tc>
        <w:tc>
          <w:tcPr>
            <w:tcW w:w="1134" w:type="dxa"/>
            <w:tcBorders>
              <w:left w:val="nil"/>
              <w:bottom w:val="nil"/>
              <w:right w:val="single" w:sz="8" w:space="0" w:color="auto"/>
            </w:tcBorders>
            <w:shd w:val="clear" w:color="auto" w:fill="auto"/>
            <w:noWrap/>
            <w:vAlign w:val="center"/>
            <w:hideMark/>
          </w:tcPr>
          <w:p w14:paraId="59F8AEA0" w14:textId="77777777" w:rsidR="00C40522" w:rsidRPr="00DB0D63" w:rsidRDefault="00C40522" w:rsidP="00C40522">
            <w:pPr>
              <w:jc w:val="center"/>
              <w:rPr>
                <w:b/>
                <w:bCs/>
                <w:sz w:val="22"/>
                <w:szCs w:val="22"/>
                <w:lang w:val="es-GT" w:eastAsia="es-GT"/>
              </w:rPr>
            </w:pPr>
            <w:r w:rsidRPr="00DB0D63">
              <w:rPr>
                <w:b/>
                <w:bCs/>
                <w:sz w:val="22"/>
                <w:szCs w:val="22"/>
                <w:lang w:val="es-GT" w:eastAsia="es-GT"/>
              </w:rPr>
              <w:t>4.5%</w:t>
            </w:r>
          </w:p>
        </w:tc>
      </w:tr>
      <w:tr w:rsidR="00C40522" w:rsidRPr="00DB0D63" w14:paraId="4930EA5D"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01135272" w14:textId="77777777" w:rsidR="00C40522" w:rsidRPr="00DB0D63" w:rsidRDefault="00C40522" w:rsidP="00C40522">
            <w:pPr>
              <w:rPr>
                <w:sz w:val="22"/>
                <w:szCs w:val="22"/>
                <w:lang w:val="es-GT" w:eastAsia="es-GT"/>
              </w:rPr>
            </w:pPr>
            <w:r w:rsidRPr="00DB0D63">
              <w:rPr>
                <w:sz w:val="22"/>
                <w:szCs w:val="22"/>
                <w:lang w:val="es-GT" w:eastAsia="es-GT"/>
              </w:rPr>
              <w:t>Banco Centroamericano de Integración Económica</w:t>
            </w:r>
          </w:p>
        </w:tc>
        <w:tc>
          <w:tcPr>
            <w:tcW w:w="1276" w:type="dxa"/>
            <w:tcBorders>
              <w:top w:val="nil"/>
              <w:left w:val="single" w:sz="4" w:space="0" w:color="auto"/>
              <w:bottom w:val="nil"/>
              <w:right w:val="single" w:sz="4" w:space="0" w:color="auto"/>
            </w:tcBorders>
            <w:shd w:val="clear" w:color="auto" w:fill="auto"/>
            <w:noWrap/>
            <w:vAlign w:val="center"/>
            <w:hideMark/>
          </w:tcPr>
          <w:p w14:paraId="5D4E8B05" w14:textId="77777777" w:rsidR="00C40522" w:rsidRPr="00DB0D63" w:rsidRDefault="00C40522" w:rsidP="00C40522">
            <w:pPr>
              <w:jc w:val="right"/>
              <w:rPr>
                <w:sz w:val="22"/>
                <w:szCs w:val="22"/>
                <w:lang w:val="es-GT" w:eastAsia="es-GT"/>
              </w:rPr>
            </w:pPr>
            <w:r w:rsidRPr="00DB0D63">
              <w:rPr>
                <w:sz w:val="22"/>
                <w:szCs w:val="22"/>
                <w:lang w:val="es-GT" w:eastAsia="es-GT"/>
              </w:rPr>
              <w:t>472.5</w:t>
            </w:r>
          </w:p>
        </w:tc>
        <w:tc>
          <w:tcPr>
            <w:tcW w:w="1094" w:type="dxa"/>
            <w:tcBorders>
              <w:top w:val="nil"/>
              <w:left w:val="nil"/>
              <w:bottom w:val="nil"/>
              <w:right w:val="single" w:sz="4" w:space="0" w:color="auto"/>
            </w:tcBorders>
            <w:shd w:val="clear" w:color="auto" w:fill="auto"/>
            <w:noWrap/>
            <w:vAlign w:val="center"/>
            <w:hideMark/>
          </w:tcPr>
          <w:p w14:paraId="29383415" w14:textId="77777777" w:rsidR="00C40522" w:rsidRPr="00DB0D63" w:rsidRDefault="00C40522" w:rsidP="00C40522">
            <w:pPr>
              <w:jc w:val="right"/>
              <w:rPr>
                <w:sz w:val="22"/>
                <w:szCs w:val="22"/>
                <w:lang w:val="es-GT" w:eastAsia="es-GT"/>
              </w:rPr>
            </w:pPr>
            <w:r w:rsidRPr="00DB0D63">
              <w:rPr>
                <w:sz w:val="22"/>
                <w:szCs w:val="22"/>
                <w:lang w:val="es-GT" w:eastAsia="es-GT"/>
              </w:rPr>
              <w:t>21.4</w:t>
            </w:r>
          </w:p>
        </w:tc>
        <w:tc>
          <w:tcPr>
            <w:tcW w:w="1149" w:type="dxa"/>
            <w:tcBorders>
              <w:top w:val="nil"/>
              <w:left w:val="nil"/>
              <w:bottom w:val="nil"/>
              <w:right w:val="single" w:sz="4" w:space="0" w:color="auto"/>
            </w:tcBorders>
            <w:shd w:val="clear" w:color="auto" w:fill="auto"/>
            <w:noWrap/>
            <w:vAlign w:val="center"/>
            <w:hideMark/>
          </w:tcPr>
          <w:p w14:paraId="6C32D2D5" w14:textId="77777777" w:rsidR="00C40522" w:rsidRPr="00DB0D63" w:rsidRDefault="00C40522" w:rsidP="00C40522">
            <w:pPr>
              <w:jc w:val="right"/>
              <w:rPr>
                <w:sz w:val="22"/>
                <w:szCs w:val="22"/>
                <w:lang w:val="es-GT" w:eastAsia="es-GT"/>
              </w:rPr>
            </w:pPr>
            <w:r w:rsidRPr="00DB0D63">
              <w:rPr>
                <w:sz w:val="22"/>
                <w:szCs w:val="22"/>
                <w:lang w:val="es-GT" w:eastAsia="es-GT"/>
              </w:rPr>
              <w:t>451.2</w:t>
            </w:r>
          </w:p>
        </w:tc>
        <w:tc>
          <w:tcPr>
            <w:tcW w:w="1134" w:type="dxa"/>
            <w:tcBorders>
              <w:top w:val="nil"/>
              <w:left w:val="nil"/>
              <w:bottom w:val="nil"/>
              <w:right w:val="single" w:sz="8" w:space="0" w:color="auto"/>
            </w:tcBorders>
            <w:shd w:val="clear" w:color="auto" w:fill="auto"/>
            <w:noWrap/>
            <w:vAlign w:val="center"/>
            <w:hideMark/>
          </w:tcPr>
          <w:p w14:paraId="74CF20F9" w14:textId="77777777" w:rsidR="00C40522" w:rsidRPr="00DB0D63" w:rsidRDefault="00C40522" w:rsidP="00C40522">
            <w:pPr>
              <w:jc w:val="center"/>
              <w:rPr>
                <w:sz w:val="22"/>
                <w:szCs w:val="22"/>
                <w:lang w:val="es-GT" w:eastAsia="es-GT"/>
              </w:rPr>
            </w:pPr>
            <w:r w:rsidRPr="00DB0D63">
              <w:rPr>
                <w:sz w:val="22"/>
                <w:szCs w:val="22"/>
                <w:lang w:val="es-GT" w:eastAsia="es-GT"/>
              </w:rPr>
              <w:t>4.5%</w:t>
            </w:r>
          </w:p>
        </w:tc>
      </w:tr>
      <w:tr w:rsidR="00C40522" w:rsidRPr="00DB0D63" w14:paraId="3520AF17" w14:textId="77777777" w:rsidTr="00634C97">
        <w:trPr>
          <w:trHeight w:val="289"/>
        </w:trPr>
        <w:tc>
          <w:tcPr>
            <w:tcW w:w="4668" w:type="dxa"/>
            <w:tcBorders>
              <w:top w:val="nil"/>
              <w:left w:val="single" w:sz="8" w:space="0" w:color="auto"/>
              <w:bottom w:val="nil"/>
              <w:right w:val="single" w:sz="4" w:space="0" w:color="auto"/>
            </w:tcBorders>
            <w:shd w:val="clear" w:color="auto" w:fill="auto"/>
            <w:noWrap/>
            <w:vAlign w:val="bottom"/>
            <w:hideMark/>
          </w:tcPr>
          <w:p w14:paraId="749BE000" w14:textId="77777777" w:rsidR="00C40522" w:rsidRPr="00DB0D63" w:rsidRDefault="00C40522" w:rsidP="00C40522">
            <w:pPr>
              <w:jc w:val="center"/>
              <w:rPr>
                <w:b/>
                <w:bCs/>
                <w:sz w:val="22"/>
                <w:szCs w:val="22"/>
                <w:lang w:val="es-GT" w:eastAsia="es-GT"/>
              </w:rPr>
            </w:pPr>
            <w:r w:rsidRPr="00DB0D63">
              <w:rPr>
                <w:b/>
                <w:bCs/>
                <w:sz w:val="22"/>
                <w:szCs w:val="22"/>
                <w:lang w:val="es-GT" w:eastAsia="es-GT"/>
              </w:rPr>
              <w:t>Ministerio de Educación</w:t>
            </w:r>
          </w:p>
        </w:tc>
        <w:tc>
          <w:tcPr>
            <w:tcW w:w="1276" w:type="dxa"/>
            <w:tcBorders>
              <w:top w:val="nil"/>
              <w:left w:val="single" w:sz="4" w:space="0" w:color="auto"/>
              <w:bottom w:val="nil"/>
              <w:right w:val="single" w:sz="4" w:space="0" w:color="auto"/>
            </w:tcBorders>
            <w:shd w:val="clear" w:color="auto" w:fill="auto"/>
            <w:noWrap/>
            <w:vAlign w:val="center"/>
            <w:hideMark/>
          </w:tcPr>
          <w:p w14:paraId="1AED679F" w14:textId="77777777" w:rsidR="00C40522" w:rsidRPr="00DB0D63" w:rsidRDefault="00C40522" w:rsidP="00C40522">
            <w:pPr>
              <w:jc w:val="right"/>
              <w:rPr>
                <w:b/>
                <w:bCs/>
                <w:sz w:val="22"/>
                <w:szCs w:val="22"/>
                <w:lang w:val="es-GT" w:eastAsia="es-GT"/>
              </w:rPr>
            </w:pPr>
            <w:r w:rsidRPr="00DB0D63">
              <w:rPr>
                <w:b/>
                <w:bCs/>
                <w:sz w:val="22"/>
                <w:szCs w:val="22"/>
                <w:lang w:val="es-GT" w:eastAsia="es-GT"/>
              </w:rPr>
              <w:t>512.3</w:t>
            </w:r>
          </w:p>
        </w:tc>
        <w:tc>
          <w:tcPr>
            <w:tcW w:w="1094" w:type="dxa"/>
            <w:tcBorders>
              <w:top w:val="nil"/>
              <w:left w:val="nil"/>
              <w:bottom w:val="nil"/>
              <w:right w:val="single" w:sz="4" w:space="0" w:color="auto"/>
            </w:tcBorders>
            <w:shd w:val="clear" w:color="auto" w:fill="auto"/>
            <w:noWrap/>
            <w:vAlign w:val="center"/>
            <w:hideMark/>
          </w:tcPr>
          <w:p w14:paraId="20AD0FE9" w14:textId="77777777" w:rsidR="00C40522" w:rsidRPr="00DB0D63" w:rsidRDefault="00C40522" w:rsidP="00C40522">
            <w:pPr>
              <w:jc w:val="right"/>
              <w:rPr>
                <w:b/>
                <w:bCs/>
                <w:sz w:val="22"/>
                <w:szCs w:val="22"/>
                <w:lang w:val="es-GT" w:eastAsia="es-GT"/>
              </w:rPr>
            </w:pPr>
            <w:r w:rsidRPr="00DB0D63">
              <w:rPr>
                <w:b/>
                <w:bCs/>
                <w:sz w:val="22"/>
                <w:szCs w:val="22"/>
                <w:lang w:val="es-GT" w:eastAsia="es-GT"/>
              </w:rPr>
              <w:t>286.8</w:t>
            </w:r>
          </w:p>
        </w:tc>
        <w:tc>
          <w:tcPr>
            <w:tcW w:w="1149" w:type="dxa"/>
            <w:tcBorders>
              <w:top w:val="nil"/>
              <w:left w:val="nil"/>
              <w:bottom w:val="nil"/>
              <w:right w:val="single" w:sz="4" w:space="0" w:color="auto"/>
            </w:tcBorders>
            <w:shd w:val="clear" w:color="auto" w:fill="auto"/>
            <w:noWrap/>
            <w:vAlign w:val="center"/>
            <w:hideMark/>
          </w:tcPr>
          <w:p w14:paraId="2A482C9F" w14:textId="5C4925CF" w:rsidR="00C40522" w:rsidRPr="00DB0D63" w:rsidRDefault="00634C97" w:rsidP="00C40522">
            <w:pPr>
              <w:jc w:val="right"/>
              <w:rPr>
                <w:b/>
                <w:bCs/>
                <w:sz w:val="22"/>
                <w:szCs w:val="22"/>
                <w:lang w:val="es-GT" w:eastAsia="es-GT"/>
              </w:rPr>
            </w:pPr>
            <w:r>
              <w:rPr>
                <w:b/>
                <w:bCs/>
                <w:sz w:val="22"/>
                <w:szCs w:val="22"/>
                <w:lang w:val="es-GT" w:eastAsia="es-GT"/>
              </w:rPr>
              <w:t>225.5</w:t>
            </w:r>
          </w:p>
        </w:tc>
        <w:tc>
          <w:tcPr>
            <w:tcW w:w="1134" w:type="dxa"/>
            <w:tcBorders>
              <w:top w:val="nil"/>
              <w:left w:val="nil"/>
              <w:bottom w:val="nil"/>
              <w:right w:val="single" w:sz="8" w:space="0" w:color="auto"/>
            </w:tcBorders>
            <w:shd w:val="clear" w:color="auto" w:fill="auto"/>
            <w:noWrap/>
            <w:vAlign w:val="center"/>
            <w:hideMark/>
          </w:tcPr>
          <w:p w14:paraId="2DE49479" w14:textId="77777777" w:rsidR="00C40522" w:rsidRPr="00DB0D63" w:rsidRDefault="00C40522" w:rsidP="00C40522">
            <w:pPr>
              <w:jc w:val="center"/>
              <w:rPr>
                <w:b/>
                <w:bCs/>
                <w:sz w:val="22"/>
                <w:szCs w:val="22"/>
                <w:lang w:val="es-GT" w:eastAsia="es-GT"/>
              </w:rPr>
            </w:pPr>
            <w:r w:rsidRPr="00DB0D63">
              <w:rPr>
                <w:b/>
                <w:bCs/>
                <w:sz w:val="22"/>
                <w:szCs w:val="22"/>
                <w:lang w:val="es-GT" w:eastAsia="es-GT"/>
              </w:rPr>
              <w:t>56.0%</w:t>
            </w:r>
          </w:p>
        </w:tc>
      </w:tr>
      <w:tr w:rsidR="00C40522" w:rsidRPr="00DB0D63" w14:paraId="75C420B8"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41E9C39F" w14:textId="77777777" w:rsidR="00C40522" w:rsidRPr="00DB0D63" w:rsidRDefault="00C40522" w:rsidP="00C40522">
            <w:pPr>
              <w:rPr>
                <w:sz w:val="22"/>
                <w:szCs w:val="22"/>
                <w:lang w:val="es-GT" w:eastAsia="es-GT"/>
              </w:rPr>
            </w:pPr>
            <w:r w:rsidRPr="00DB0D63">
              <w:rPr>
                <w:sz w:val="22"/>
                <w:szCs w:val="22"/>
                <w:lang w:val="es-GT" w:eastAsia="es-GT"/>
              </w:rPr>
              <w:t>Banco Interamericano de Desarrollo</w:t>
            </w:r>
          </w:p>
        </w:tc>
        <w:tc>
          <w:tcPr>
            <w:tcW w:w="1276" w:type="dxa"/>
            <w:tcBorders>
              <w:top w:val="nil"/>
              <w:left w:val="single" w:sz="4" w:space="0" w:color="auto"/>
              <w:bottom w:val="nil"/>
              <w:right w:val="single" w:sz="4" w:space="0" w:color="auto"/>
            </w:tcBorders>
            <w:shd w:val="clear" w:color="auto" w:fill="auto"/>
            <w:noWrap/>
            <w:vAlign w:val="center"/>
            <w:hideMark/>
          </w:tcPr>
          <w:p w14:paraId="4002826E" w14:textId="77777777" w:rsidR="00C40522" w:rsidRPr="00DB0D63" w:rsidRDefault="00C40522" w:rsidP="00C40522">
            <w:pPr>
              <w:jc w:val="right"/>
              <w:rPr>
                <w:sz w:val="22"/>
                <w:szCs w:val="22"/>
                <w:lang w:val="es-GT" w:eastAsia="es-GT"/>
              </w:rPr>
            </w:pPr>
            <w:r w:rsidRPr="00DB0D63">
              <w:rPr>
                <w:sz w:val="22"/>
                <w:szCs w:val="22"/>
                <w:lang w:val="es-GT" w:eastAsia="es-GT"/>
              </w:rPr>
              <w:t>448.8</w:t>
            </w:r>
          </w:p>
        </w:tc>
        <w:tc>
          <w:tcPr>
            <w:tcW w:w="1094" w:type="dxa"/>
            <w:tcBorders>
              <w:top w:val="nil"/>
              <w:left w:val="nil"/>
              <w:bottom w:val="nil"/>
              <w:right w:val="single" w:sz="4" w:space="0" w:color="auto"/>
            </w:tcBorders>
            <w:shd w:val="clear" w:color="auto" w:fill="auto"/>
            <w:noWrap/>
            <w:vAlign w:val="center"/>
            <w:hideMark/>
          </w:tcPr>
          <w:p w14:paraId="3B527D5E" w14:textId="77777777" w:rsidR="00C40522" w:rsidRPr="00DB0D63" w:rsidRDefault="00C40522" w:rsidP="00C40522">
            <w:pPr>
              <w:jc w:val="right"/>
              <w:rPr>
                <w:sz w:val="22"/>
                <w:szCs w:val="22"/>
                <w:lang w:val="es-GT" w:eastAsia="es-GT"/>
              </w:rPr>
            </w:pPr>
            <w:r w:rsidRPr="00DB0D63">
              <w:rPr>
                <w:sz w:val="22"/>
                <w:szCs w:val="22"/>
                <w:lang w:val="es-GT" w:eastAsia="es-GT"/>
              </w:rPr>
              <w:t>263.1</w:t>
            </w:r>
          </w:p>
        </w:tc>
        <w:tc>
          <w:tcPr>
            <w:tcW w:w="1149" w:type="dxa"/>
            <w:tcBorders>
              <w:top w:val="nil"/>
              <w:left w:val="nil"/>
              <w:bottom w:val="nil"/>
              <w:right w:val="single" w:sz="4" w:space="0" w:color="auto"/>
            </w:tcBorders>
            <w:shd w:val="clear" w:color="auto" w:fill="auto"/>
            <w:noWrap/>
            <w:vAlign w:val="center"/>
            <w:hideMark/>
          </w:tcPr>
          <w:p w14:paraId="66A05CF5" w14:textId="77777777" w:rsidR="00C40522" w:rsidRPr="00DB0D63" w:rsidRDefault="00C40522" w:rsidP="00C40522">
            <w:pPr>
              <w:jc w:val="right"/>
              <w:rPr>
                <w:sz w:val="22"/>
                <w:szCs w:val="22"/>
                <w:lang w:val="es-GT" w:eastAsia="es-GT"/>
              </w:rPr>
            </w:pPr>
            <w:r w:rsidRPr="00DB0D63">
              <w:rPr>
                <w:sz w:val="22"/>
                <w:szCs w:val="22"/>
                <w:lang w:val="es-GT" w:eastAsia="es-GT"/>
              </w:rPr>
              <w:t>185.7</w:t>
            </w:r>
          </w:p>
        </w:tc>
        <w:tc>
          <w:tcPr>
            <w:tcW w:w="1134" w:type="dxa"/>
            <w:tcBorders>
              <w:top w:val="nil"/>
              <w:left w:val="nil"/>
              <w:bottom w:val="nil"/>
              <w:right w:val="single" w:sz="8" w:space="0" w:color="auto"/>
            </w:tcBorders>
            <w:shd w:val="clear" w:color="auto" w:fill="auto"/>
            <w:noWrap/>
            <w:vAlign w:val="center"/>
            <w:hideMark/>
          </w:tcPr>
          <w:p w14:paraId="311B0CBB" w14:textId="77777777" w:rsidR="00C40522" w:rsidRPr="00DB0D63" w:rsidRDefault="00C40522" w:rsidP="00C40522">
            <w:pPr>
              <w:jc w:val="center"/>
              <w:rPr>
                <w:sz w:val="22"/>
                <w:szCs w:val="22"/>
                <w:lang w:val="es-GT" w:eastAsia="es-GT"/>
              </w:rPr>
            </w:pPr>
            <w:r w:rsidRPr="00DB0D63">
              <w:rPr>
                <w:sz w:val="22"/>
                <w:szCs w:val="22"/>
                <w:lang w:val="es-GT" w:eastAsia="es-GT"/>
              </w:rPr>
              <w:t>58.6%</w:t>
            </w:r>
          </w:p>
        </w:tc>
      </w:tr>
      <w:tr w:rsidR="00C40522" w:rsidRPr="00DB0D63" w14:paraId="1D990934"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00283B4B" w14:textId="7C2B5A08" w:rsidR="00C40522" w:rsidRPr="00DB0D63" w:rsidRDefault="00C40522" w:rsidP="00C40522">
            <w:pPr>
              <w:rPr>
                <w:sz w:val="22"/>
                <w:szCs w:val="22"/>
                <w:lang w:val="es-GT" w:eastAsia="es-GT"/>
              </w:rPr>
            </w:pPr>
            <w:r w:rsidRPr="00DB0D63">
              <w:rPr>
                <w:sz w:val="22"/>
                <w:szCs w:val="22"/>
                <w:lang w:val="es-GT" w:eastAsia="es-GT"/>
              </w:rPr>
              <w:t>Kreditanstalt Fur Wiederaufbau</w:t>
            </w:r>
            <w:r w:rsidR="00634C97">
              <w:rPr>
                <w:sz w:val="22"/>
                <w:szCs w:val="22"/>
                <w:lang w:val="es-GT" w:eastAsia="es-GT"/>
              </w:rPr>
              <w:t xml:space="preserve"> (KfW)</w:t>
            </w:r>
          </w:p>
        </w:tc>
        <w:tc>
          <w:tcPr>
            <w:tcW w:w="1276" w:type="dxa"/>
            <w:tcBorders>
              <w:top w:val="nil"/>
              <w:left w:val="single" w:sz="4" w:space="0" w:color="auto"/>
              <w:bottom w:val="nil"/>
              <w:right w:val="single" w:sz="4" w:space="0" w:color="auto"/>
            </w:tcBorders>
            <w:shd w:val="clear" w:color="auto" w:fill="auto"/>
            <w:noWrap/>
            <w:vAlign w:val="center"/>
            <w:hideMark/>
          </w:tcPr>
          <w:p w14:paraId="227756E2" w14:textId="77777777" w:rsidR="00C40522" w:rsidRPr="00DB0D63" w:rsidRDefault="00C40522" w:rsidP="00C40522">
            <w:pPr>
              <w:jc w:val="right"/>
              <w:rPr>
                <w:sz w:val="22"/>
                <w:szCs w:val="22"/>
                <w:lang w:val="es-GT" w:eastAsia="es-GT"/>
              </w:rPr>
            </w:pPr>
            <w:r w:rsidRPr="00DB0D63">
              <w:rPr>
                <w:sz w:val="22"/>
                <w:szCs w:val="22"/>
                <w:lang w:val="es-GT" w:eastAsia="es-GT"/>
              </w:rPr>
              <w:t>63.5</w:t>
            </w:r>
          </w:p>
        </w:tc>
        <w:tc>
          <w:tcPr>
            <w:tcW w:w="1094" w:type="dxa"/>
            <w:tcBorders>
              <w:top w:val="nil"/>
              <w:left w:val="nil"/>
              <w:bottom w:val="nil"/>
              <w:right w:val="single" w:sz="4" w:space="0" w:color="auto"/>
            </w:tcBorders>
            <w:shd w:val="clear" w:color="auto" w:fill="auto"/>
            <w:noWrap/>
            <w:vAlign w:val="center"/>
            <w:hideMark/>
          </w:tcPr>
          <w:p w14:paraId="574CDD24" w14:textId="77777777" w:rsidR="00C40522" w:rsidRPr="00DB0D63" w:rsidRDefault="00C40522" w:rsidP="00C40522">
            <w:pPr>
              <w:jc w:val="right"/>
              <w:rPr>
                <w:sz w:val="22"/>
                <w:szCs w:val="22"/>
                <w:lang w:val="es-GT" w:eastAsia="es-GT"/>
              </w:rPr>
            </w:pPr>
            <w:r w:rsidRPr="00DB0D63">
              <w:rPr>
                <w:sz w:val="22"/>
                <w:szCs w:val="22"/>
                <w:lang w:val="es-GT" w:eastAsia="es-GT"/>
              </w:rPr>
              <w:t>23.7</w:t>
            </w:r>
          </w:p>
        </w:tc>
        <w:tc>
          <w:tcPr>
            <w:tcW w:w="1149" w:type="dxa"/>
            <w:tcBorders>
              <w:top w:val="nil"/>
              <w:left w:val="nil"/>
              <w:bottom w:val="nil"/>
              <w:right w:val="single" w:sz="4" w:space="0" w:color="auto"/>
            </w:tcBorders>
            <w:shd w:val="clear" w:color="auto" w:fill="auto"/>
            <w:noWrap/>
            <w:vAlign w:val="center"/>
            <w:hideMark/>
          </w:tcPr>
          <w:p w14:paraId="3ACC896B" w14:textId="0B1F485A" w:rsidR="00C40522" w:rsidRPr="00DB0D63" w:rsidRDefault="00634C97" w:rsidP="00634C97">
            <w:pPr>
              <w:jc w:val="right"/>
              <w:rPr>
                <w:sz w:val="22"/>
                <w:szCs w:val="22"/>
                <w:lang w:val="es-GT" w:eastAsia="es-GT"/>
              </w:rPr>
            </w:pPr>
            <w:r>
              <w:rPr>
                <w:sz w:val="22"/>
                <w:szCs w:val="22"/>
                <w:lang w:val="es-GT" w:eastAsia="es-GT"/>
              </w:rPr>
              <w:t>39.8</w:t>
            </w:r>
          </w:p>
        </w:tc>
        <w:tc>
          <w:tcPr>
            <w:tcW w:w="1134" w:type="dxa"/>
            <w:tcBorders>
              <w:top w:val="nil"/>
              <w:left w:val="nil"/>
              <w:bottom w:val="nil"/>
              <w:right w:val="single" w:sz="8" w:space="0" w:color="auto"/>
            </w:tcBorders>
            <w:shd w:val="clear" w:color="auto" w:fill="auto"/>
            <w:noWrap/>
            <w:vAlign w:val="center"/>
            <w:hideMark/>
          </w:tcPr>
          <w:p w14:paraId="53C09175" w14:textId="77777777" w:rsidR="00C40522" w:rsidRPr="00DB0D63" w:rsidRDefault="00C40522" w:rsidP="00C40522">
            <w:pPr>
              <w:jc w:val="center"/>
              <w:rPr>
                <w:sz w:val="22"/>
                <w:szCs w:val="22"/>
                <w:lang w:val="es-GT" w:eastAsia="es-GT"/>
              </w:rPr>
            </w:pPr>
            <w:r w:rsidRPr="00DB0D63">
              <w:rPr>
                <w:sz w:val="22"/>
                <w:szCs w:val="22"/>
                <w:lang w:val="es-GT" w:eastAsia="es-GT"/>
              </w:rPr>
              <w:t>37.3%</w:t>
            </w:r>
          </w:p>
        </w:tc>
      </w:tr>
      <w:tr w:rsidR="00C40522" w:rsidRPr="00DB0D63" w14:paraId="74DC4EF4" w14:textId="77777777" w:rsidTr="00634C97">
        <w:trPr>
          <w:trHeight w:val="289"/>
        </w:trPr>
        <w:tc>
          <w:tcPr>
            <w:tcW w:w="4668" w:type="dxa"/>
            <w:tcBorders>
              <w:top w:val="nil"/>
              <w:left w:val="single" w:sz="8" w:space="0" w:color="auto"/>
              <w:bottom w:val="nil"/>
              <w:right w:val="single" w:sz="4" w:space="0" w:color="auto"/>
            </w:tcBorders>
            <w:shd w:val="clear" w:color="auto" w:fill="auto"/>
            <w:noWrap/>
            <w:vAlign w:val="bottom"/>
            <w:hideMark/>
          </w:tcPr>
          <w:p w14:paraId="1302BF40" w14:textId="06738C49" w:rsidR="00C40522" w:rsidRPr="00DB0D63" w:rsidRDefault="00634C97" w:rsidP="00C40522">
            <w:pPr>
              <w:jc w:val="center"/>
              <w:rPr>
                <w:b/>
                <w:bCs/>
                <w:sz w:val="22"/>
                <w:szCs w:val="22"/>
                <w:lang w:val="es-GT" w:eastAsia="es-GT"/>
              </w:rPr>
            </w:pPr>
            <w:r>
              <w:rPr>
                <w:b/>
                <w:bCs/>
                <w:sz w:val="22"/>
                <w:szCs w:val="22"/>
                <w:lang w:val="es-GT" w:eastAsia="es-GT"/>
              </w:rPr>
              <w:t xml:space="preserve">Ministerio de </w:t>
            </w:r>
            <w:r w:rsidR="00C40522" w:rsidRPr="00DB0D63">
              <w:rPr>
                <w:b/>
                <w:bCs/>
                <w:sz w:val="22"/>
                <w:szCs w:val="22"/>
                <w:lang w:val="es-GT" w:eastAsia="es-GT"/>
              </w:rPr>
              <w:t>Salud Pública y Asistencia Social</w:t>
            </w:r>
          </w:p>
        </w:tc>
        <w:tc>
          <w:tcPr>
            <w:tcW w:w="1276" w:type="dxa"/>
            <w:tcBorders>
              <w:top w:val="nil"/>
              <w:left w:val="single" w:sz="4" w:space="0" w:color="auto"/>
              <w:bottom w:val="nil"/>
              <w:right w:val="single" w:sz="4" w:space="0" w:color="auto"/>
            </w:tcBorders>
            <w:shd w:val="clear" w:color="auto" w:fill="auto"/>
            <w:noWrap/>
            <w:vAlign w:val="center"/>
            <w:hideMark/>
          </w:tcPr>
          <w:p w14:paraId="6B6FA5EE" w14:textId="77777777" w:rsidR="00C40522" w:rsidRPr="00DB0D63" w:rsidRDefault="00C40522" w:rsidP="00C40522">
            <w:pPr>
              <w:jc w:val="right"/>
              <w:rPr>
                <w:b/>
                <w:bCs/>
                <w:sz w:val="22"/>
                <w:szCs w:val="22"/>
                <w:lang w:val="es-GT" w:eastAsia="es-GT"/>
              </w:rPr>
            </w:pPr>
            <w:r w:rsidRPr="00DB0D63">
              <w:rPr>
                <w:b/>
                <w:bCs/>
                <w:sz w:val="22"/>
                <w:szCs w:val="22"/>
                <w:lang w:val="es-GT" w:eastAsia="es-GT"/>
              </w:rPr>
              <w:t>934.2</w:t>
            </w:r>
          </w:p>
        </w:tc>
        <w:tc>
          <w:tcPr>
            <w:tcW w:w="1094" w:type="dxa"/>
            <w:tcBorders>
              <w:top w:val="nil"/>
              <w:left w:val="nil"/>
              <w:bottom w:val="nil"/>
              <w:right w:val="single" w:sz="4" w:space="0" w:color="auto"/>
            </w:tcBorders>
            <w:shd w:val="clear" w:color="auto" w:fill="auto"/>
            <w:noWrap/>
            <w:vAlign w:val="center"/>
            <w:hideMark/>
          </w:tcPr>
          <w:p w14:paraId="353D97B1" w14:textId="77777777" w:rsidR="00C40522" w:rsidRPr="00DB0D63" w:rsidRDefault="00C40522" w:rsidP="00C40522">
            <w:pPr>
              <w:jc w:val="right"/>
              <w:rPr>
                <w:b/>
                <w:bCs/>
                <w:sz w:val="22"/>
                <w:szCs w:val="22"/>
                <w:lang w:val="es-GT" w:eastAsia="es-GT"/>
              </w:rPr>
            </w:pPr>
            <w:r w:rsidRPr="00DB0D63">
              <w:rPr>
                <w:b/>
                <w:bCs/>
                <w:sz w:val="22"/>
                <w:szCs w:val="22"/>
                <w:lang w:val="es-GT" w:eastAsia="es-GT"/>
              </w:rPr>
              <w:t>62.2</w:t>
            </w:r>
          </w:p>
        </w:tc>
        <w:tc>
          <w:tcPr>
            <w:tcW w:w="1149" w:type="dxa"/>
            <w:tcBorders>
              <w:top w:val="nil"/>
              <w:left w:val="nil"/>
              <w:bottom w:val="nil"/>
              <w:right w:val="single" w:sz="4" w:space="0" w:color="auto"/>
            </w:tcBorders>
            <w:shd w:val="clear" w:color="auto" w:fill="auto"/>
            <w:noWrap/>
            <w:vAlign w:val="center"/>
            <w:hideMark/>
          </w:tcPr>
          <w:p w14:paraId="16F14170" w14:textId="7C31A9C9" w:rsidR="00C40522" w:rsidRPr="00DB0D63" w:rsidRDefault="00634C97" w:rsidP="00634C97">
            <w:pPr>
              <w:jc w:val="right"/>
              <w:rPr>
                <w:b/>
                <w:bCs/>
                <w:sz w:val="22"/>
                <w:szCs w:val="22"/>
                <w:lang w:val="es-GT" w:eastAsia="es-GT"/>
              </w:rPr>
            </w:pPr>
            <w:r>
              <w:rPr>
                <w:b/>
                <w:bCs/>
                <w:sz w:val="22"/>
                <w:szCs w:val="22"/>
                <w:lang w:val="es-GT" w:eastAsia="es-GT"/>
              </w:rPr>
              <w:t>872.0</w:t>
            </w:r>
          </w:p>
        </w:tc>
        <w:tc>
          <w:tcPr>
            <w:tcW w:w="1134" w:type="dxa"/>
            <w:tcBorders>
              <w:top w:val="nil"/>
              <w:left w:val="nil"/>
              <w:bottom w:val="nil"/>
              <w:right w:val="single" w:sz="8" w:space="0" w:color="auto"/>
            </w:tcBorders>
            <w:shd w:val="clear" w:color="auto" w:fill="auto"/>
            <w:noWrap/>
            <w:vAlign w:val="center"/>
            <w:hideMark/>
          </w:tcPr>
          <w:p w14:paraId="40681AE3" w14:textId="77777777" w:rsidR="00C40522" w:rsidRPr="00DB0D63" w:rsidRDefault="00C40522" w:rsidP="00C40522">
            <w:pPr>
              <w:jc w:val="center"/>
              <w:rPr>
                <w:b/>
                <w:bCs/>
                <w:sz w:val="22"/>
                <w:szCs w:val="22"/>
                <w:lang w:val="es-GT" w:eastAsia="es-GT"/>
              </w:rPr>
            </w:pPr>
            <w:r w:rsidRPr="00DB0D63">
              <w:rPr>
                <w:b/>
                <w:bCs/>
                <w:sz w:val="22"/>
                <w:szCs w:val="22"/>
                <w:lang w:val="es-GT" w:eastAsia="es-GT"/>
              </w:rPr>
              <w:t>6.7%</w:t>
            </w:r>
          </w:p>
        </w:tc>
      </w:tr>
      <w:tr w:rsidR="00C40522" w:rsidRPr="00DB0D63" w14:paraId="2C3390DE" w14:textId="77777777" w:rsidTr="00634C97">
        <w:trPr>
          <w:trHeight w:val="289"/>
        </w:trPr>
        <w:tc>
          <w:tcPr>
            <w:tcW w:w="4668" w:type="dxa"/>
            <w:tcBorders>
              <w:top w:val="nil"/>
              <w:left w:val="single" w:sz="8" w:space="0" w:color="auto"/>
              <w:bottom w:val="nil"/>
              <w:right w:val="single" w:sz="4" w:space="0" w:color="auto"/>
            </w:tcBorders>
            <w:shd w:val="clear" w:color="auto" w:fill="auto"/>
            <w:noWrap/>
            <w:vAlign w:val="bottom"/>
            <w:hideMark/>
          </w:tcPr>
          <w:p w14:paraId="42CDD456" w14:textId="77777777" w:rsidR="00C40522" w:rsidRPr="00DB0D63" w:rsidRDefault="00C40522" w:rsidP="00C40522">
            <w:pPr>
              <w:rPr>
                <w:sz w:val="22"/>
                <w:szCs w:val="22"/>
                <w:lang w:val="es-GT" w:eastAsia="es-GT"/>
              </w:rPr>
            </w:pPr>
            <w:r w:rsidRPr="00DB0D63">
              <w:rPr>
                <w:sz w:val="22"/>
                <w:szCs w:val="22"/>
                <w:lang w:val="es-GT" w:eastAsia="es-GT"/>
              </w:rPr>
              <w:t>Banco Centroamericano de Integración Económica</w:t>
            </w:r>
          </w:p>
        </w:tc>
        <w:tc>
          <w:tcPr>
            <w:tcW w:w="1276" w:type="dxa"/>
            <w:tcBorders>
              <w:top w:val="nil"/>
              <w:left w:val="single" w:sz="4" w:space="0" w:color="auto"/>
              <w:bottom w:val="nil"/>
              <w:right w:val="single" w:sz="4" w:space="0" w:color="auto"/>
            </w:tcBorders>
            <w:shd w:val="clear" w:color="auto" w:fill="auto"/>
            <w:noWrap/>
            <w:vAlign w:val="center"/>
            <w:hideMark/>
          </w:tcPr>
          <w:p w14:paraId="6D57BE15" w14:textId="77777777" w:rsidR="00C40522" w:rsidRPr="00DB0D63" w:rsidRDefault="00C40522" w:rsidP="00C40522">
            <w:pPr>
              <w:jc w:val="right"/>
              <w:rPr>
                <w:sz w:val="22"/>
                <w:szCs w:val="22"/>
                <w:lang w:val="es-GT" w:eastAsia="es-GT"/>
              </w:rPr>
            </w:pPr>
            <w:r w:rsidRPr="00DB0D63">
              <w:rPr>
                <w:sz w:val="22"/>
                <w:szCs w:val="22"/>
                <w:lang w:val="es-GT" w:eastAsia="es-GT"/>
              </w:rPr>
              <w:t>410.4</w:t>
            </w:r>
          </w:p>
        </w:tc>
        <w:tc>
          <w:tcPr>
            <w:tcW w:w="1094" w:type="dxa"/>
            <w:tcBorders>
              <w:top w:val="nil"/>
              <w:left w:val="nil"/>
              <w:bottom w:val="nil"/>
              <w:right w:val="single" w:sz="4" w:space="0" w:color="auto"/>
            </w:tcBorders>
            <w:shd w:val="clear" w:color="auto" w:fill="auto"/>
            <w:noWrap/>
            <w:vAlign w:val="center"/>
            <w:hideMark/>
          </w:tcPr>
          <w:p w14:paraId="5A241979" w14:textId="77777777" w:rsidR="00C40522" w:rsidRPr="00DB0D63" w:rsidRDefault="00C40522" w:rsidP="00C40522">
            <w:pPr>
              <w:jc w:val="right"/>
              <w:rPr>
                <w:sz w:val="22"/>
                <w:szCs w:val="22"/>
                <w:lang w:val="es-GT" w:eastAsia="es-GT"/>
              </w:rPr>
            </w:pPr>
            <w:r w:rsidRPr="00DB0D63">
              <w:rPr>
                <w:sz w:val="22"/>
                <w:szCs w:val="22"/>
                <w:lang w:val="es-GT" w:eastAsia="es-GT"/>
              </w:rPr>
              <w:t>0.5</w:t>
            </w:r>
          </w:p>
        </w:tc>
        <w:tc>
          <w:tcPr>
            <w:tcW w:w="1149" w:type="dxa"/>
            <w:tcBorders>
              <w:top w:val="nil"/>
              <w:left w:val="nil"/>
              <w:bottom w:val="nil"/>
              <w:right w:val="single" w:sz="4" w:space="0" w:color="auto"/>
            </w:tcBorders>
            <w:shd w:val="clear" w:color="auto" w:fill="auto"/>
            <w:noWrap/>
            <w:vAlign w:val="center"/>
            <w:hideMark/>
          </w:tcPr>
          <w:p w14:paraId="35F21BE3" w14:textId="785456E5" w:rsidR="00C40522" w:rsidRPr="00DB0D63" w:rsidRDefault="00634C97" w:rsidP="00634C97">
            <w:pPr>
              <w:jc w:val="right"/>
              <w:rPr>
                <w:sz w:val="22"/>
                <w:szCs w:val="22"/>
                <w:lang w:val="es-GT" w:eastAsia="es-GT"/>
              </w:rPr>
            </w:pPr>
            <w:r>
              <w:rPr>
                <w:sz w:val="22"/>
                <w:szCs w:val="22"/>
                <w:lang w:val="es-GT" w:eastAsia="es-GT"/>
              </w:rPr>
              <w:t>4.9.9</w:t>
            </w:r>
          </w:p>
        </w:tc>
        <w:tc>
          <w:tcPr>
            <w:tcW w:w="1134" w:type="dxa"/>
            <w:tcBorders>
              <w:top w:val="nil"/>
              <w:left w:val="nil"/>
              <w:bottom w:val="nil"/>
              <w:right w:val="single" w:sz="8" w:space="0" w:color="auto"/>
            </w:tcBorders>
            <w:shd w:val="clear" w:color="auto" w:fill="auto"/>
            <w:noWrap/>
            <w:vAlign w:val="center"/>
            <w:hideMark/>
          </w:tcPr>
          <w:p w14:paraId="2424A0A5" w14:textId="77777777" w:rsidR="00C40522" w:rsidRPr="00DB0D63" w:rsidRDefault="00C40522" w:rsidP="00C40522">
            <w:pPr>
              <w:jc w:val="center"/>
              <w:rPr>
                <w:sz w:val="22"/>
                <w:szCs w:val="22"/>
                <w:lang w:val="es-GT" w:eastAsia="es-GT"/>
              </w:rPr>
            </w:pPr>
            <w:r w:rsidRPr="00DB0D63">
              <w:rPr>
                <w:sz w:val="22"/>
                <w:szCs w:val="22"/>
                <w:lang w:val="es-GT" w:eastAsia="es-GT"/>
              </w:rPr>
              <w:t>0.1%</w:t>
            </w:r>
          </w:p>
        </w:tc>
      </w:tr>
      <w:tr w:rsidR="00C40522" w:rsidRPr="00DB0D63" w14:paraId="3A144ECD"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51494D98" w14:textId="77777777" w:rsidR="00C40522" w:rsidRPr="00DB0D63" w:rsidRDefault="00C40522" w:rsidP="00C40522">
            <w:pPr>
              <w:rPr>
                <w:sz w:val="22"/>
                <w:szCs w:val="22"/>
                <w:lang w:val="es-GT" w:eastAsia="es-GT"/>
              </w:rPr>
            </w:pPr>
            <w:r w:rsidRPr="00DB0D63">
              <w:rPr>
                <w:sz w:val="22"/>
                <w:szCs w:val="22"/>
                <w:lang w:val="es-GT" w:eastAsia="es-GT"/>
              </w:rPr>
              <w:t>Banco Interamericano de Desarrollo</w:t>
            </w:r>
          </w:p>
        </w:tc>
        <w:tc>
          <w:tcPr>
            <w:tcW w:w="1276" w:type="dxa"/>
            <w:tcBorders>
              <w:top w:val="nil"/>
              <w:left w:val="single" w:sz="4" w:space="0" w:color="auto"/>
              <w:bottom w:val="nil"/>
              <w:right w:val="single" w:sz="4" w:space="0" w:color="auto"/>
            </w:tcBorders>
            <w:shd w:val="clear" w:color="auto" w:fill="auto"/>
            <w:noWrap/>
            <w:vAlign w:val="center"/>
            <w:hideMark/>
          </w:tcPr>
          <w:p w14:paraId="04329BDC" w14:textId="77777777" w:rsidR="00C40522" w:rsidRPr="00DB0D63" w:rsidRDefault="00C40522" w:rsidP="00C40522">
            <w:pPr>
              <w:jc w:val="right"/>
              <w:rPr>
                <w:sz w:val="22"/>
                <w:szCs w:val="22"/>
                <w:lang w:val="es-GT" w:eastAsia="es-GT"/>
              </w:rPr>
            </w:pPr>
            <w:r w:rsidRPr="00DB0D63">
              <w:rPr>
                <w:sz w:val="22"/>
                <w:szCs w:val="22"/>
                <w:lang w:val="es-GT" w:eastAsia="es-GT"/>
              </w:rPr>
              <w:t>215.7</w:t>
            </w:r>
          </w:p>
        </w:tc>
        <w:tc>
          <w:tcPr>
            <w:tcW w:w="1094" w:type="dxa"/>
            <w:tcBorders>
              <w:top w:val="nil"/>
              <w:left w:val="nil"/>
              <w:bottom w:val="nil"/>
              <w:right w:val="single" w:sz="4" w:space="0" w:color="auto"/>
            </w:tcBorders>
            <w:shd w:val="clear" w:color="auto" w:fill="auto"/>
            <w:noWrap/>
            <w:vAlign w:val="center"/>
            <w:hideMark/>
          </w:tcPr>
          <w:p w14:paraId="24920005" w14:textId="77777777" w:rsidR="00C40522" w:rsidRPr="00DB0D63" w:rsidRDefault="00C40522" w:rsidP="00C40522">
            <w:pPr>
              <w:jc w:val="right"/>
              <w:rPr>
                <w:sz w:val="22"/>
                <w:szCs w:val="22"/>
                <w:lang w:val="es-GT" w:eastAsia="es-GT"/>
              </w:rPr>
            </w:pPr>
            <w:r w:rsidRPr="00DB0D63">
              <w:rPr>
                <w:sz w:val="22"/>
                <w:szCs w:val="22"/>
                <w:lang w:val="es-GT" w:eastAsia="es-GT"/>
              </w:rPr>
              <w:t>11.0</w:t>
            </w:r>
          </w:p>
        </w:tc>
        <w:tc>
          <w:tcPr>
            <w:tcW w:w="1149" w:type="dxa"/>
            <w:tcBorders>
              <w:top w:val="nil"/>
              <w:left w:val="nil"/>
              <w:bottom w:val="nil"/>
              <w:right w:val="single" w:sz="4" w:space="0" w:color="auto"/>
            </w:tcBorders>
            <w:shd w:val="clear" w:color="auto" w:fill="auto"/>
            <w:noWrap/>
            <w:vAlign w:val="center"/>
            <w:hideMark/>
          </w:tcPr>
          <w:p w14:paraId="10178308" w14:textId="77777777" w:rsidR="00C40522" w:rsidRPr="00DB0D63" w:rsidRDefault="00C40522" w:rsidP="00634C97">
            <w:pPr>
              <w:jc w:val="right"/>
              <w:rPr>
                <w:sz w:val="22"/>
                <w:szCs w:val="22"/>
                <w:lang w:val="es-GT" w:eastAsia="es-GT"/>
              </w:rPr>
            </w:pPr>
            <w:r w:rsidRPr="00DB0D63">
              <w:rPr>
                <w:sz w:val="22"/>
                <w:szCs w:val="22"/>
                <w:lang w:val="es-GT" w:eastAsia="es-GT"/>
              </w:rPr>
              <w:t>204.7</w:t>
            </w:r>
          </w:p>
        </w:tc>
        <w:tc>
          <w:tcPr>
            <w:tcW w:w="1134" w:type="dxa"/>
            <w:tcBorders>
              <w:top w:val="nil"/>
              <w:left w:val="nil"/>
              <w:bottom w:val="nil"/>
              <w:right w:val="single" w:sz="8" w:space="0" w:color="auto"/>
            </w:tcBorders>
            <w:shd w:val="clear" w:color="auto" w:fill="auto"/>
            <w:noWrap/>
            <w:vAlign w:val="center"/>
            <w:hideMark/>
          </w:tcPr>
          <w:p w14:paraId="710A7AC2" w14:textId="77777777" w:rsidR="00C40522" w:rsidRPr="00DB0D63" w:rsidRDefault="00C40522" w:rsidP="00C40522">
            <w:pPr>
              <w:jc w:val="center"/>
              <w:rPr>
                <w:sz w:val="22"/>
                <w:szCs w:val="22"/>
                <w:lang w:val="es-GT" w:eastAsia="es-GT"/>
              </w:rPr>
            </w:pPr>
            <w:r w:rsidRPr="00DB0D63">
              <w:rPr>
                <w:sz w:val="22"/>
                <w:szCs w:val="22"/>
                <w:lang w:val="es-GT" w:eastAsia="es-GT"/>
              </w:rPr>
              <w:t>5.1%</w:t>
            </w:r>
          </w:p>
        </w:tc>
      </w:tr>
      <w:tr w:rsidR="00C40522" w:rsidRPr="00DB0D63" w14:paraId="44BF531E"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381FDEB9" w14:textId="77777777" w:rsidR="00C40522" w:rsidRPr="00DB0D63" w:rsidRDefault="00C40522" w:rsidP="00C40522">
            <w:pPr>
              <w:rPr>
                <w:sz w:val="22"/>
                <w:szCs w:val="22"/>
                <w:lang w:val="es-GT" w:eastAsia="es-GT"/>
              </w:rPr>
            </w:pPr>
            <w:r w:rsidRPr="00DB0D63">
              <w:rPr>
                <w:sz w:val="22"/>
                <w:szCs w:val="22"/>
                <w:lang w:val="es-GT" w:eastAsia="es-GT"/>
              </w:rPr>
              <w:t>Banco Internacional de Reconstrucción y Fomento</w:t>
            </w:r>
          </w:p>
        </w:tc>
        <w:tc>
          <w:tcPr>
            <w:tcW w:w="1276" w:type="dxa"/>
            <w:tcBorders>
              <w:top w:val="nil"/>
              <w:left w:val="single" w:sz="4" w:space="0" w:color="auto"/>
              <w:bottom w:val="nil"/>
              <w:right w:val="single" w:sz="4" w:space="0" w:color="auto"/>
            </w:tcBorders>
            <w:shd w:val="clear" w:color="auto" w:fill="auto"/>
            <w:noWrap/>
            <w:vAlign w:val="center"/>
            <w:hideMark/>
          </w:tcPr>
          <w:p w14:paraId="39B0274A" w14:textId="77777777" w:rsidR="00C40522" w:rsidRPr="00DB0D63" w:rsidRDefault="00C40522" w:rsidP="00C40522">
            <w:pPr>
              <w:jc w:val="right"/>
              <w:rPr>
                <w:sz w:val="22"/>
                <w:szCs w:val="22"/>
                <w:lang w:val="es-GT" w:eastAsia="es-GT"/>
              </w:rPr>
            </w:pPr>
            <w:r w:rsidRPr="00DB0D63">
              <w:rPr>
                <w:sz w:val="22"/>
                <w:szCs w:val="22"/>
                <w:lang w:val="es-GT" w:eastAsia="es-GT"/>
              </w:rPr>
              <w:t>308.1</w:t>
            </w:r>
          </w:p>
        </w:tc>
        <w:tc>
          <w:tcPr>
            <w:tcW w:w="1094" w:type="dxa"/>
            <w:tcBorders>
              <w:top w:val="nil"/>
              <w:left w:val="nil"/>
              <w:bottom w:val="nil"/>
              <w:right w:val="single" w:sz="4" w:space="0" w:color="auto"/>
            </w:tcBorders>
            <w:shd w:val="clear" w:color="auto" w:fill="auto"/>
            <w:noWrap/>
            <w:vAlign w:val="center"/>
            <w:hideMark/>
          </w:tcPr>
          <w:p w14:paraId="35E011AF" w14:textId="77777777" w:rsidR="00C40522" w:rsidRPr="00DB0D63" w:rsidRDefault="00C40522" w:rsidP="00C40522">
            <w:pPr>
              <w:jc w:val="right"/>
              <w:rPr>
                <w:sz w:val="22"/>
                <w:szCs w:val="22"/>
                <w:lang w:val="es-GT" w:eastAsia="es-GT"/>
              </w:rPr>
            </w:pPr>
            <w:r w:rsidRPr="00DB0D63">
              <w:rPr>
                <w:sz w:val="22"/>
                <w:szCs w:val="22"/>
                <w:lang w:val="es-GT" w:eastAsia="es-GT"/>
              </w:rPr>
              <w:t>50.6</w:t>
            </w:r>
          </w:p>
        </w:tc>
        <w:tc>
          <w:tcPr>
            <w:tcW w:w="1149" w:type="dxa"/>
            <w:tcBorders>
              <w:top w:val="nil"/>
              <w:left w:val="nil"/>
              <w:bottom w:val="nil"/>
              <w:right w:val="single" w:sz="4" w:space="0" w:color="auto"/>
            </w:tcBorders>
            <w:shd w:val="clear" w:color="auto" w:fill="auto"/>
            <w:noWrap/>
            <w:vAlign w:val="center"/>
            <w:hideMark/>
          </w:tcPr>
          <w:p w14:paraId="70132B35" w14:textId="3593AD7C" w:rsidR="00C40522" w:rsidRPr="00DB0D63" w:rsidRDefault="00634C97" w:rsidP="00634C97">
            <w:pPr>
              <w:jc w:val="right"/>
              <w:rPr>
                <w:sz w:val="22"/>
                <w:szCs w:val="22"/>
                <w:lang w:val="es-GT" w:eastAsia="es-GT"/>
              </w:rPr>
            </w:pPr>
            <w:r>
              <w:rPr>
                <w:sz w:val="22"/>
                <w:szCs w:val="22"/>
                <w:lang w:val="es-GT" w:eastAsia="es-GT"/>
              </w:rPr>
              <w:t>257.4</w:t>
            </w:r>
          </w:p>
        </w:tc>
        <w:tc>
          <w:tcPr>
            <w:tcW w:w="1134" w:type="dxa"/>
            <w:tcBorders>
              <w:top w:val="nil"/>
              <w:left w:val="nil"/>
              <w:bottom w:val="nil"/>
              <w:right w:val="single" w:sz="8" w:space="0" w:color="auto"/>
            </w:tcBorders>
            <w:shd w:val="clear" w:color="auto" w:fill="auto"/>
            <w:noWrap/>
            <w:vAlign w:val="center"/>
            <w:hideMark/>
          </w:tcPr>
          <w:p w14:paraId="2A6D78C8" w14:textId="77777777" w:rsidR="00C40522" w:rsidRPr="00DB0D63" w:rsidRDefault="00C40522" w:rsidP="00C40522">
            <w:pPr>
              <w:jc w:val="center"/>
              <w:rPr>
                <w:sz w:val="22"/>
                <w:szCs w:val="22"/>
                <w:lang w:val="es-GT" w:eastAsia="es-GT"/>
              </w:rPr>
            </w:pPr>
            <w:r w:rsidRPr="00DB0D63">
              <w:rPr>
                <w:sz w:val="22"/>
                <w:szCs w:val="22"/>
                <w:lang w:val="es-GT" w:eastAsia="es-GT"/>
              </w:rPr>
              <w:t>16.4%</w:t>
            </w:r>
          </w:p>
        </w:tc>
      </w:tr>
      <w:tr w:rsidR="00C40522" w:rsidRPr="00DB0D63" w14:paraId="7308BEA8"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7AE48428" w14:textId="77777777" w:rsidR="00C40522" w:rsidRPr="00DB0D63" w:rsidRDefault="00C40522" w:rsidP="00C40522">
            <w:pPr>
              <w:jc w:val="center"/>
              <w:rPr>
                <w:b/>
                <w:bCs/>
                <w:sz w:val="22"/>
                <w:szCs w:val="22"/>
                <w:lang w:val="es-GT" w:eastAsia="es-GT"/>
              </w:rPr>
            </w:pPr>
            <w:r w:rsidRPr="00DB0D63">
              <w:rPr>
                <w:b/>
                <w:bCs/>
                <w:sz w:val="22"/>
                <w:szCs w:val="22"/>
                <w:lang w:val="es-GT" w:eastAsia="es-GT"/>
              </w:rPr>
              <w:t>Ministerio de Comunicaciones</w:t>
            </w:r>
          </w:p>
        </w:tc>
        <w:tc>
          <w:tcPr>
            <w:tcW w:w="1276" w:type="dxa"/>
            <w:tcBorders>
              <w:top w:val="nil"/>
              <w:left w:val="single" w:sz="4" w:space="0" w:color="auto"/>
              <w:bottom w:val="nil"/>
              <w:right w:val="single" w:sz="4" w:space="0" w:color="auto"/>
            </w:tcBorders>
            <w:shd w:val="clear" w:color="auto" w:fill="auto"/>
            <w:noWrap/>
            <w:vAlign w:val="center"/>
            <w:hideMark/>
          </w:tcPr>
          <w:p w14:paraId="2BAEDFB4" w14:textId="77777777" w:rsidR="00C40522" w:rsidRPr="00DB0D63" w:rsidRDefault="00C40522" w:rsidP="00C40522">
            <w:pPr>
              <w:jc w:val="right"/>
              <w:rPr>
                <w:b/>
                <w:bCs/>
                <w:sz w:val="22"/>
                <w:szCs w:val="22"/>
                <w:lang w:val="es-GT" w:eastAsia="es-GT"/>
              </w:rPr>
            </w:pPr>
            <w:r w:rsidRPr="00DB0D63">
              <w:rPr>
                <w:b/>
                <w:bCs/>
                <w:sz w:val="22"/>
                <w:szCs w:val="22"/>
                <w:lang w:val="es-GT" w:eastAsia="es-GT"/>
              </w:rPr>
              <w:t>384.7</w:t>
            </w:r>
          </w:p>
        </w:tc>
        <w:tc>
          <w:tcPr>
            <w:tcW w:w="1094" w:type="dxa"/>
            <w:tcBorders>
              <w:top w:val="nil"/>
              <w:left w:val="nil"/>
              <w:bottom w:val="nil"/>
              <w:right w:val="single" w:sz="4" w:space="0" w:color="auto"/>
            </w:tcBorders>
            <w:shd w:val="clear" w:color="auto" w:fill="auto"/>
            <w:noWrap/>
            <w:vAlign w:val="center"/>
            <w:hideMark/>
          </w:tcPr>
          <w:p w14:paraId="6EC8C8E4" w14:textId="77777777" w:rsidR="00C40522" w:rsidRPr="00DB0D63" w:rsidRDefault="00C40522" w:rsidP="00C40522">
            <w:pPr>
              <w:jc w:val="right"/>
              <w:rPr>
                <w:b/>
                <w:bCs/>
                <w:sz w:val="22"/>
                <w:szCs w:val="22"/>
                <w:lang w:val="es-GT" w:eastAsia="es-GT"/>
              </w:rPr>
            </w:pPr>
            <w:r w:rsidRPr="00DB0D63">
              <w:rPr>
                <w:b/>
                <w:bCs/>
                <w:sz w:val="22"/>
                <w:szCs w:val="22"/>
                <w:lang w:val="es-GT" w:eastAsia="es-GT"/>
              </w:rPr>
              <w:t>95.3</w:t>
            </w:r>
          </w:p>
        </w:tc>
        <w:tc>
          <w:tcPr>
            <w:tcW w:w="1149" w:type="dxa"/>
            <w:tcBorders>
              <w:top w:val="nil"/>
              <w:left w:val="nil"/>
              <w:bottom w:val="nil"/>
              <w:right w:val="single" w:sz="4" w:space="0" w:color="auto"/>
            </w:tcBorders>
            <w:shd w:val="clear" w:color="auto" w:fill="auto"/>
            <w:noWrap/>
            <w:vAlign w:val="center"/>
            <w:hideMark/>
          </w:tcPr>
          <w:p w14:paraId="27CFBE21" w14:textId="423F9AEC" w:rsidR="00C40522" w:rsidRPr="00DB0D63" w:rsidRDefault="00C40522" w:rsidP="00634C97">
            <w:pPr>
              <w:jc w:val="right"/>
              <w:rPr>
                <w:b/>
                <w:bCs/>
                <w:sz w:val="22"/>
                <w:szCs w:val="22"/>
                <w:lang w:val="es-GT" w:eastAsia="es-GT"/>
              </w:rPr>
            </w:pPr>
            <w:r w:rsidRPr="00DB0D63">
              <w:rPr>
                <w:b/>
                <w:bCs/>
                <w:sz w:val="22"/>
                <w:szCs w:val="22"/>
                <w:lang w:val="es-GT" w:eastAsia="es-GT"/>
              </w:rPr>
              <w:t>2</w:t>
            </w:r>
            <w:r w:rsidR="00634C97">
              <w:rPr>
                <w:b/>
                <w:bCs/>
                <w:sz w:val="22"/>
                <w:szCs w:val="22"/>
                <w:lang w:val="es-GT" w:eastAsia="es-GT"/>
              </w:rPr>
              <w:t>89</w:t>
            </w:r>
            <w:r w:rsidRPr="00DB0D63">
              <w:rPr>
                <w:b/>
                <w:bCs/>
                <w:sz w:val="22"/>
                <w:szCs w:val="22"/>
                <w:lang w:val="es-GT" w:eastAsia="es-GT"/>
              </w:rPr>
              <w:t>.3</w:t>
            </w:r>
          </w:p>
        </w:tc>
        <w:tc>
          <w:tcPr>
            <w:tcW w:w="1134" w:type="dxa"/>
            <w:tcBorders>
              <w:top w:val="nil"/>
              <w:left w:val="nil"/>
              <w:bottom w:val="nil"/>
              <w:right w:val="single" w:sz="8" w:space="0" w:color="auto"/>
            </w:tcBorders>
            <w:shd w:val="clear" w:color="auto" w:fill="auto"/>
            <w:noWrap/>
            <w:vAlign w:val="center"/>
            <w:hideMark/>
          </w:tcPr>
          <w:p w14:paraId="67BDAFA8" w14:textId="77777777" w:rsidR="00C40522" w:rsidRPr="00DB0D63" w:rsidRDefault="00C40522" w:rsidP="00C40522">
            <w:pPr>
              <w:jc w:val="center"/>
              <w:rPr>
                <w:b/>
                <w:bCs/>
                <w:sz w:val="22"/>
                <w:szCs w:val="22"/>
                <w:lang w:val="es-GT" w:eastAsia="es-GT"/>
              </w:rPr>
            </w:pPr>
            <w:r w:rsidRPr="00DB0D63">
              <w:rPr>
                <w:b/>
                <w:bCs/>
                <w:sz w:val="22"/>
                <w:szCs w:val="22"/>
                <w:lang w:val="es-GT" w:eastAsia="es-GT"/>
              </w:rPr>
              <w:t>24.8%</w:t>
            </w:r>
          </w:p>
        </w:tc>
      </w:tr>
      <w:tr w:rsidR="00C40522" w:rsidRPr="00DB0D63" w14:paraId="20F7A23C"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31873230" w14:textId="77777777" w:rsidR="00C40522" w:rsidRPr="00DB0D63" w:rsidRDefault="00C40522" w:rsidP="00C40522">
            <w:pPr>
              <w:rPr>
                <w:sz w:val="22"/>
                <w:szCs w:val="22"/>
                <w:lang w:val="es-GT" w:eastAsia="es-GT"/>
              </w:rPr>
            </w:pPr>
            <w:r w:rsidRPr="00DB0D63">
              <w:rPr>
                <w:sz w:val="22"/>
                <w:szCs w:val="22"/>
                <w:lang w:val="es-GT" w:eastAsia="es-GT"/>
              </w:rPr>
              <w:t>Banco Centroamericano de Integración Económica</w:t>
            </w:r>
          </w:p>
        </w:tc>
        <w:tc>
          <w:tcPr>
            <w:tcW w:w="1276" w:type="dxa"/>
            <w:tcBorders>
              <w:top w:val="nil"/>
              <w:left w:val="single" w:sz="4" w:space="0" w:color="auto"/>
              <w:bottom w:val="nil"/>
              <w:right w:val="single" w:sz="4" w:space="0" w:color="auto"/>
            </w:tcBorders>
            <w:shd w:val="clear" w:color="auto" w:fill="auto"/>
            <w:noWrap/>
            <w:vAlign w:val="center"/>
            <w:hideMark/>
          </w:tcPr>
          <w:p w14:paraId="2A9D185B" w14:textId="77777777" w:rsidR="00C40522" w:rsidRPr="00DB0D63" w:rsidRDefault="00C40522" w:rsidP="00C40522">
            <w:pPr>
              <w:jc w:val="right"/>
              <w:rPr>
                <w:sz w:val="22"/>
                <w:szCs w:val="22"/>
                <w:lang w:val="es-GT" w:eastAsia="es-GT"/>
              </w:rPr>
            </w:pPr>
            <w:r w:rsidRPr="00DB0D63">
              <w:rPr>
                <w:sz w:val="22"/>
                <w:szCs w:val="22"/>
                <w:lang w:val="es-GT" w:eastAsia="es-GT"/>
              </w:rPr>
              <w:t>15.0</w:t>
            </w:r>
          </w:p>
        </w:tc>
        <w:tc>
          <w:tcPr>
            <w:tcW w:w="1094" w:type="dxa"/>
            <w:tcBorders>
              <w:top w:val="nil"/>
              <w:left w:val="nil"/>
              <w:bottom w:val="nil"/>
              <w:right w:val="single" w:sz="4" w:space="0" w:color="auto"/>
            </w:tcBorders>
            <w:shd w:val="clear" w:color="auto" w:fill="auto"/>
            <w:noWrap/>
            <w:vAlign w:val="center"/>
            <w:hideMark/>
          </w:tcPr>
          <w:p w14:paraId="67BC2862" w14:textId="77777777" w:rsidR="00C40522" w:rsidRPr="00DB0D63" w:rsidRDefault="00C40522" w:rsidP="00C40522">
            <w:pPr>
              <w:rPr>
                <w:sz w:val="22"/>
                <w:szCs w:val="22"/>
                <w:lang w:val="es-GT" w:eastAsia="es-GT"/>
              </w:rPr>
            </w:pPr>
            <w:r w:rsidRPr="00DB0D63">
              <w:rPr>
                <w:sz w:val="22"/>
                <w:szCs w:val="22"/>
                <w:lang w:val="es-GT" w:eastAsia="es-GT"/>
              </w:rPr>
              <w:t> </w:t>
            </w:r>
          </w:p>
        </w:tc>
        <w:tc>
          <w:tcPr>
            <w:tcW w:w="1149" w:type="dxa"/>
            <w:tcBorders>
              <w:top w:val="nil"/>
              <w:left w:val="nil"/>
              <w:bottom w:val="nil"/>
              <w:right w:val="single" w:sz="4" w:space="0" w:color="auto"/>
            </w:tcBorders>
            <w:shd w:val="clear" w:color="auto" w:fill="auto"/>
            <w:noWrap/>
            <w:vAlign w:val="center"/>
            <w:hideMark/>
          </w:tcPr>
          <w:p w14:paraId="386622D3" w14:textId="12DD2C5F" w:rsidR="00C40522" w:rsidRPr="00DB0D63" w:rsidRDefault="00634C97" w:rsidP="00634C97">
            <w:pPr>
              <w:jc w:val="right"/>
              <w:rPr>
                <w:sz w:val="22"/>
                <w:szCs w:val="22"/>
                <w:lang w:val="es-GT" w:eastAsia="es-GT"/>
              </w:rPr>
            </w:pPr>
            <w:r>
              <w:rPr>
                <w:sz w:val="22"/>
                <w:szCs w:val="22"/>
                <w:lang w:val="es-GT" w:eastAsia="es-GT"/>
              </w:rPr>
              <w:t>15.0</w:t>
            </w:r>
          </w:p>
        </w:tc>
        <w:tc>
          <w:tcPr>
            <w:tcW w:w="1134" w:type="dxa"/>
            <w:tcBorders>
              <w:top w:val="nil"/>
              <w:left w:val="nil"/>
              <w:bottom w:val="nil"/>
              <w:right w:val="single" w:sz="8" w:space="0" w:color="auto"/>
            </w:tcBorders>
            <w:shd w:val="clear" w:color="auto" w:fill="auto"/>
            <w:noWrap/>
            <w:vAlign w:val="center"/>
            <w:hideMark/>
          </w:tcPr>
          <w:p w14:paraId="4152CFB8" w14:textId="1C3DBAD4" w:rsidR="00C40522" w:rsidRPr="00DB0D63" w:rsidRDefault="00C40522" w:rsidP="00C40522">
            <w:pPr>
              <w:jc w:val="center"/>
              <w:rPr>
                <w:sz w:val="22"/>
                <w:szCs w:val="22"/>
                <w:lang w:val="es-GT" w:eastAsia="es-GT"/>
              </w:rPr>
            </w:pPr>
          </w:p>
        </w:tc>
      </w:tr>
      <w:tr w:rsidR="00C40522" w:rsidRPr="00DB0D63" w14:paraId="586C5596"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571789D9" w14:textId="77777777" w:rsidR="00C40522" w:rsidRPr="00DB0D63" w:rsidRDefault="00C40522" w:rsidP="00C40522">
            <w:pPr>
              <w:rPr>
                <w:sz w:val="22"/>
                <w:szCs w:val="22"/>
                <w:lang w:val="es-GT" w:eastAsia="es-GT"/>
              </w:rPr>
            </w:pPr>
            <w:r w:rsidRPr="00DB0D63">
              <w:rPr>
                <w:sz w:val="22"/>
                <w:szCs w:val="22"/>
                <w:lang w:val="es-GT" w:eastAsia="es-GT"/>
              </w:rPr>
              <w:t>Banco Interamericano de Desarrollo</w:t>
            </w:r>
          </w:p>
        </w:tc>
        <w:tc>
          <w:tcPr>
            <w:tcW w:w="1276" w:type="dxa"/>
            <w:tcBorders>
              <w:top w:val="nil"/>
              <w:left w:val="single" w:sz="4" w:space="0" w:color="auto"/>
              <w:bottom w:val="nil"/>
              <w:right w:val="single" w:sz="4" w:space="0" w:color="auto"/>
            </w:tcBorders>
            <w:shd w:val="clear" w:color="auto" w:fill="auto"/>
            <w:noWrap/>
            <w:vAlign w:val="center"/>
            <w:hideMark/>
          </w:tcPr>
          <w:p w14:paraId="3D10308F" w14:textId="77777777" w:rsidR="00C40522" w:rsidRPr="00DB0D63" w:rsidRDefault="00C40522" w:rsidP="00C40522">
            <w:pPr>
              <w:jc w:val="right"/>
              <w:rPr>
                <w:sz w:val="22"/>
                <w:szCs w:val="22"/>
                <w:lang w:val="es-GT" w:eastAsia="es-GT"/>
              </w:rPr>
            </w:pPr>
            <w:r w:rsidRPr="00DB0D63">
              <w:rPr>
                <w:sz w:val="22"/>
                <w:szCs w:val="22"/>
                <w:lang w:val="es-GT" w:eastAsia="es-GT"/>
              </w:rPr>
              <w:t>333.5</w:t>
            </w:r>
          </w:p>
        </w:tc>
        <w:tc>
          <w:tcPr>
            <w:tcW w:w="1094" w:type="dxa"/>
            <w:tcBorders>
              <w:top w:val="nil"/>
              <w:left w:val="nil"/>
              <w:bottom w:val="nil"/>
              <w:right w:val="single" w:sz="4" w:space="0" w:color="auto"/>
            </w:tcBorders>
            <w:shd w:val="clear" w:color="auto" w:fill="auto"/>
            <w:noWrap/>
            <w:vAlign w:val="center"/>
            <w:hideMark/>
          </w:tcPr>
          <w:p w14:paraId="3123B8EA" w14:textId="77777777" w:rsidR="00C40522" w:rsidRPr="00DB0D63" w:rsidRDefault="00C40522" w:rsidP="00C40522">
            <w:pPr>
              <w:jc w:val="right"/>
              <w:rPr>
                <w:sz w:val="22"/>
                <w:szCs w:val="22"/>
                <w:lang w:val="es-GT" w:eastAsia="es-GT"/>
              </w:rPr>
            </w:pPr>
            <w:r w:rsidRPr="00DB0D63">
              <w:rPr>
                <w:sz w:val="22"/>
                <w:szCs w:val="22"/>
                <w:lang w:val="es-GT" w:eastAsia="es-GT"/>
              </w:rPr>
              <w:t>91.2</w:t>
            </w:r>
          </w:p>
        </w:tc>
        <w:tc>
          <w:tcPr>
            <w:tcW w:w="1149" w:type="dxa"/>
            <w:tcBorders>
              <w:top w:val="nil"/>
              <w:left w:val="nil"/>
              <w:bottom w:val="nil"/>
              <w:right w:val="single" w:sz="4" w:space="0" w:color="auto"/>
            </w:tcBorders>
            <w:shd w:val="clear" w:color="auto" w:fill="auto"/>
            <w:noWrap/>
            <w:vAlign w:val="center"/>
            <w:hideMark/>
          </w:tcPr>
          <w:p w14:paraId="4279B01D" w14:textId="77777777" w:rsidR="00C40522" w:rsidRPr="00DB0D63" w:rsidRDefault="00C40522" w:rsidP="00634C97">
            <w:pPr>
              <w:jc w:val="right"/>
              <w:rPr>
                <w:sz w:val="22"/>
                <w:szCs w:val="22"/>
                <w:lang w:val="es-GT" w:eastAsia="es-GT"/>
              </w:rPr>
            </w:pPr>
            <w:r w:rsidRPr="00DB0D63">
              <w:rPr>
                <w:sz w:val="22"/>
                <w:szCs w:val="22"/>
                <w:lang w:val="es-GT" w:eastAsia="es-GT"/>
              </w:rPr>
              <w:t>242.3</w:t>
            </w:r>
          </w:p>
        </w:tc>
        <w:tc>
          <w:tcPr>
            <w:tcW w:w="1134" w:type="dxa"/>
            <w:tcBorders>
              <w:top w:val="nil"/>
              <w:left w:val="nil"/>
              <w:bottom w:val="nil"/>
              <w:right w:val="single" w:sz="8" w:space="0" w:color="auto"/>
            </w:tcBorders>
            <w:shd w:val="clear" w:color="auto" w:fill="auto"/>
            <w:noWrap/>
            <w:vAlign w:val="center"/>
            <w:hideMark/>
          </w:tcPr>
          <w:p w14:paraId="516630D6" w14:textId="77777777" w:rsidR="00C40522" w:rsidRPr="00DB0D63" w:rsidRDefault="00C40522" w:rsidP="00C40522">
            <w:pPr>
              <w:jc w:val="center"/>
              <w:rPr>
                <w:sz w:val="22"/>
                <w:szCs w:val="22"/>
                <w:lang w:val="es-GT" w:eastAsia="es-GT"/>
              </w:rPr>
            </w:pPr>
            <w:r w:rsidRPr="00DB0D63">
              <w:rPr>
                <w:sz w:val="22"/>
                <w:szCs w:val="22"/>
                <w:lang w:val="es-GT" w:eastAsia="es-GT"/>
              </w:rPr>
              <w:t>27.3%</w:t>
            </w:r>
          </w:p>
        </w:tc>
      </w:tr>
      <w:tr w:rsidR="00C40522" w:rsidRPr="00DB0D63" w14:paraId="32BDFD71"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4F1C3F25" w14:textId="458F2826" w:rsidR="00C40522" w:rsidRPr="00DB0D63" w:rsidRDefault="00C40522" w:rsidP="00C40522">
            <w:pPr>
              <w:rPr>
                <w:sz w:val="22"/>
                <w:szCs w:val="22"/>
                <w:lang w:val="es-GT" w:eastAsia="es-GT"/>
              </w:rPr>
            </w:pPr>
            <w:r w:rsidRPr="00DB0D63">
              <w:rPr>
                <w:sz w:val="22"/>
                <w:szCs w:val="22"/>
                <w:lang w:val="es-GT" w:eastAsia="es-GT"/>
              </w:rPr>
              <w:t xml:space="preserve">Agencia </w:t>
            </w:r>
            <w:r w:rsidR="00634C97">
              <w:rPr>
                <w:sz w:val="22"/>
                <w:szCs w:val="22"/>
                <w:lang w:val="es-GT" w:eastAsia="es-GT"/>
              </w:rPr>
              <w:t>J</w:t>
            </w:r>
            <w:r w:rsidRPr="00DB0D63">
              <w:rPr>
                <w:sz w:val="22"/>
                <w:szCs w:val="22"/>
                <w:lang w:val="es-GT" w:eastAsia="es-GT"/>
              </w:rPr>
              <w:t>aponesa de Cooperación Internacional</w:t>
            </w:r>
          </w:p>
        </w:tc>
        <w:tc>
          <w:tcPr>
            <w:tcW w:w="1276" w:type="dxa"/>
            <w:tcBorders>
              <w:top w:val="nil"/>
              <w:left w:val="single" w:sz="4" w:space="0" w:color="auto"/>
              <w:bottom w:val="nil"/>
              <w:right w:val="single" w:sz="4" w:space="0" w:color="auto"/>
            </w:tcBorders>
            <w:shd w:val="clear" w:color="auto" w:fill="auto"/>
            <w:noWrap/>
            <w:vAlign w:val="center"/>
            <w:hideMark/>
          </w:tcPr>
          <w:p w14:paraId="09AF5E9D" w14:textId="77777777" w:rsidR="00C40522" w:rsidRPr="00DB0D63" w:rsidRDefault="00C40522" w:rsidP="00C40522">
            <w:pPr>
              <w:jc w:val="right"/>
              <w:rPr>
                <w:sz w:val="22"/>
                <w:szCs w:val="22"/>
                <w:lang w:val="es-GT" w:eastAsia="es-GT"/>
              </w:rPr>
            </w:pPr>
            <w:r w:rsidRPr="00DB0D63">
              <w:rPr>
                <w:sz w:val="22"/>
                <w:szCs w:val="22"/>
                <w:lang w:val="es-GT" w:eastAsia="es-GT"/>
              </w:rPr>
              <w:t>36.2</w:t>
            </w:r>
          </w:p>
        </w:tc>
        <w:tc>
          <w:tcPr>
            <w:tcW w:w="1094" w:type="dxa"/>
            <w:tcBorders>
              <w:top w:val="nil"/>
              <w:left w:val="nil"/>
              <w:bottom w:val="nil"/>
              <w:right w:val="single" w:sz="4" w:space="0" w:color="auto"/>
            </w:tcBorders>
            <w:shd w:val="clear" w:color="auto" w:fill="auto"/>
            <w:noWrap/>
            <w:vAlign w:val="center"/>
            <w:hideMark/>
          </w:tcPr>
          <w:p w14:paraId="27CD5D4A" w14:textId="77777777" w:rsidR="00C40522" w:rsidRPr="00DB0D63" w:rsidRDefault="00C40522" w:rsidP="00C40522">
            <w:pPr>
              <w:jc w:val="right"/>
              <w:rPr>
                <w:sz w:val="22"/>
                <w:szCs w:val="22"/>
                <w:lang w:val="es-GT" w:eastAsia="es-GT"/>
              </w:rPr>
            </w:pPr>
            <w:r w:rsidRPr="00DB0D63">
              <w:rPr>
                <w:sz w:val="22"/>
                <w:szCs w:val="22"/>
                <w:lang w:val="es-GT" w:eastAsia="es-GT"/>
              </w:rPr>
              <w:t>4.1</w:t>
            </w:r>
          </w:p>
        </w:tc>
        <w:tc>
          <w:tcPr>
            <w:tcW w:w="1149" w:type="dxa"/>
            <w:tcBorders>
              <w:top w:val="nil"/>
              <w:left w:val="nil"/>
              <w:bottom w:val="nil"/>
              <w:right w:val="single" w:sz="4" w:space="0" w:color="auto"/>
            </w:tcBorders>
            <w:shd w:val="clear" w:color="auto" w:fill="auto"/>
            <w:noWrap/>
            <w:vAlign w:val="center"/>
            <w:hideMark/>
          </w:tcPr>
          <w:p w14:paraId="0C80B8D3" w14:textId="00529362" w:rsidR="00C40522" w:rsidRPr="00DB0D63" w:rsidRDefault="00634C97" w:rsidP="00634C97">
            <w:pPr>
              <w:jc w:val="right"/>
              <w:rPr>
                <w:sz w:val="22"/>
                <w:szCs w:val="22"/>
                <w:lang w:val="es-GT" w:eastAsia="es-GT"/>
              </w:rPr>
            </w:pPr>
            <w:r>
              <w:rPr>
                <w:sz w:val="22"/>
                <w:szCs w:val="22"/>
                <w:lang w:val="es-GT" w:eastAsia="es-GT"/>
              </w:rPr>
              <w:t>32.0</w:t>
            </w:r>
          </w:p>
        </w:tc>
        <w:tc>
          <w:tcPr>
            <w:tcW w:w="1134" w:type="dxa"/>
            <w:tcBorders>
              <w:top w:val="nil"/>
              <w:left w:val="nil"/>
              <w:bottom w:val="nil"/>
              <w:right w:val="single" w:sz="8" w:space="0" w:color="auto"/>
            </w:tcBorders>
            <w:shd w:val="clear" w:color="auto" w:fill="auto"/>
            <w:noWrap/>
            <w:vAlign w:val="center"/>
            <w:hideMark/>
          </w:tcPr>
          <w:p w14:paraId="413F416E" w14:textId="77777777" w:rsidR="00C40522" w:rsidRPr="00DB0D63" w:rsidRDefault="00C40522" w:rsidP="00C40522">
            <w:pPr>
              <w:jc w:val="center"/>
              <w:rPr>
                <w:sz w:val="22"/>
                <w:szCs w:val="22"/>
                <w:lang w:val="es-GT" w:eastAsia="es-GT"/>
              </w:rPr>
            </w:pPr>
            <w:r w:rsidRPr="00DB0D63">
              <w:rPr>
                <w:sz w:val="22"/>
                <w:szCs w:val="22"/>
                <w:lang w:val="es-GT" w:eastAsia="es-GT"/>
              </w:rPr>
              <w:t>11.4%</w:t>
            </w:r>
          </w:p>
        </w:tc>
      </w:tr>
      <w:tr w:rsidR="00C40522" w:rsidRPr="00DB0D63" w14:paraId="3BA9E433"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3DB0A1C8" w14:textId="078EE060" w:rsidR="00C40522" w:rsidRPr="00DB0D63" w:rsidRDefault="00C40522" w:rsidP="00C40522">
            <w:pPr>
              <w:jc w:val="center"/>
              <w:rPr>
                <w:b/>
                <w:bCs/>
                <w:sz w:val="22"/>
                <w:szCs w:val="22"/>
                <w:lang w:val="es-GT" w:eastAsia="es-GT"/>
              </w:rPr>
            </w:pPr>
            <w:r w:rsidRPr="00DB0D63">
              <w:rPr>
                <w:b/>
                <w:bCs/>
                <w:sz w:val="22"/>
                <w:szCs w:val="22"/>
                <w:lang w:val="es-GT" w:eastAsia="es-GT"/>
              </w:rPr>
              <w:t>Obligaciones del Estado</w:t>
            </w:r>
            <w:r w:rsidR="00634C97">
              <w:rPr>
                <w:b/>
                <w:bCs/>
                <w:sz w:val="22"/>
                <w:szCs w:val="22"/>
                <w:lang w:val="es-GT" w:eastAsia="es-GT"/>
              </w:rPr>
              <w:t xml:space="preserve"> a Cargo del Tesoro</w:t>
            </w:r>
          </w:p>
        </w:tc>
        <w:tc>
          <w:tcPr>
            <w:tcW w:w="1276" w:type="dxa"/>
            <w:tcBorders>
              <w:top w:val="nil"/>
              <w:left w:val="single" w:sz="4" w:space="0" w:color="auto"/>
              <w:bottom w:val="nil"/>
              <w:right w:val="single" w:sz="4" w:space="0" w:color="auto"/>
            </w:tcBorders>
            <w:shd w:val="clear" w:color="auto" w:fill="auto"/>
            <w:noWrap/>
            <w:vAlign w:val="center"/>
            <w:hideMark/>
          </w:tcPr>
          <w:p w14:paraId="3C3B454E" w14:textId="77777777" w:rsidR="00C40522" w:rsidRPr="00DB0D63" w:rsidRDefault="00C40522" w:rsidP="00C40522">
            <w:pPr>
              <w:jc w:val="right"/>
              <w:rPr>
                <w:b/>
                <w:bCs/>
                <w:sz w:val="22"/>
                <w:szCs w:val="22"/>
                <w:lang w:val="es-GT" w:eastAsia="es-GT"/>
              </w:rPr>
            </w:pPr>
            <w:r w:rsidRPr="00DB0D63">
              <w:rPr>
                <w:b/>
                <w:bCs/>
                <w:sz w:val="22"/>
                <w:szCs w:val="22"/>
                <w:lang w:val="es-GT" w:eastAsia="es-GT"/>
              </w:rPr>
              <w:t>514.4</w:t>
            </w:r>
          </w:p>
        </w:tc>
        <w:tc>
          <w:tcPr>
            <w:tcW w:w="1094" w:type="dxa"/>
            <w:tcBorders>
              <w:top w:val="nil"/>
              <w:left w:val="nil"/>
              <w:bottom w:val="nil"/>
              <w:right w:val="single" w:sz="4" w:space="0" w:color="auto"/>
            </w:tcBorders>
            <w:shd w:val="clear" w:color="auto" w:fill="auto"/>
            <w:noWrap/>
            <w:vAlign w:val="center"/>
            <w:hideMark/>
          </w:tcPr>
          <w:p w14:paraId="48DE9E66" w14:textId="77777777" w:rsidR="00C40522" w:rsidRPr="00DB0D63" w:rsidRDefault="00C40522" w:rsidP="00C40522">
            <w:pPr>
              <w:jc w:val="right"/>
              <w:rPr>
                <w:b/>
                <w:bCs/>
                <w:sz w:val="22"/>
                <w:szCs w:val="22"/>
                <w:lang w:val="es-GT" w:eastAsia="es-GT"/>
              </w:rPr>
            </w:pPr>
            <w:r w:rsidRPr="00DB0D63">
              <w:rPr>
                <w:b/>
                <w:bCs/>
                <w:sz w:val="22"/>
                <w:szCs w:val="22"/>
                <w:lang w:val="es-GT" w:eastAsia="es-GT"/>
              </w:rPr>
              <w:t>10.8</w:t>
            </w:r>
          </w:p>
        </w:tc>
        <w:tc>
          <w:tcPr>
            <w:tcW w:w="1149" w:type="dxa"/>
            <w:tcBorders>
              <w:top w:val="nil"/>
              <w:left w:val="nil"/>
              <w:bottom w:val="nil"/>
              <w:right w:val="single" w:sz="4" w:space="0" w:color="auto"/>
            </w:tcBorders>
            <w:shd w:val="clear" w:color="auto" w:fill="auto"/>
            <w:noWrap/>
            <w:vAlign w:val="center"/>
            <w:hideMark/>
          </w:tcPr>
          <w:p w14:paraId="1F6F7976" w14:textId="5A208E44" w:rsidR="00C40522" w:rsidRPr="00DB0D63" w:rsidRDefault="00634C97" w:rsidP="00634C97">
            <w:pPr>
              <w:jc w:val="right"/>
              <w:rPr>
                <w:b/>
                <w:bCs/>
                <w:sz w:val="22"/>
                <w:szCs w:val="22"/>
                <w:lang w:val="es-GT" w:eastAsia="es-GT"/>
              </w:rPr>
            </w:pPr>
            <w:r>
              <w:rPr>
                <w:b/>
                <w:bCs/>
                <w:sz w:val="22"/>
                <w:szCs w:val="22"/>
                <w:lang w:val="es-GT" w:eastAsia="es-GT"/>
              </w:rPr>
              <w:t>503.6</w:t>
            </w:r>
          </w:p>
        </w:tc>
        <w:tc>
          <w:tcPr>
            <w:tcW w:w="1134" w:type="dxa"/>
            <w:tcBorders>
              <w:top w:val="nil"/>
              <w:left w:val="nil"/>
              <w:bottom w:val="nil"/>
              <w:right w:val="single" w:sz="8" w:space="0" w:color="auto"/>
            </w:tcBorders>
            <w:shd w:val="clear" w:color="auto" w:fill="auto"/>
            <w:noWrap/>
            <w:vAlign w:val="center"/>
            <w:hideMark/>
          </w:tcPr>
          <w:p w14:paraId="12936582" w14:textId="77777777" w:rsidR="00C40522" w:rsidRPr="00DB0D63" w:rsidRDefault="00C40522" w:rsidP="00C40522">
            <w:pPr>
              <w:jc w:val="center"/>
              <w:rPr>
                <w:b/>
                <w:bCs/>
                <w:sz w:val="22"/>
                <w:szCs w:val="22"/>
                <w:lang w:val="es-GT" w:eastAsia="es-GT"/>
              </w:rPr>
            </w:pPr>
            <w:r w:rsidRPr="00DB0D63">
              <w:rPr>
                <w:b/>
                <w:bCs/>
                <w:sz w:val="22"/>
                <w:szCs w:val="22"/>
                <w:lang w:val="es-GT" w:eastAsia="es-GT"/>
              </w:rPr>
              <w:t>2.1%</w:t>
            </w:r>
          </w:p>
        </w:tc>
      </w:tr>
      <w:tr w:rsidR="00C40522" w:rsidRPr="00DB0D63" w14:paraId="09D97A5F" w14:textId="77777777" w:rsidTr="00634C97">
        <w:trPr>
          <w:trHeight w:val="255"/>
        </w:trPr>
        <w:tc>
          <w:tcPr>
            <w:tcW w:w="4668" w:type="dxa"/>
            <w:tcBorders>
              <w:top w:val="nil"/>
              <w:left w:val="single" w:sz="8" w:space="0" w:color="auto"/>
              <w:bottom w:val="nil"/>
              <w:right w:val="single" w:sz="4" w:space="0" w:color="auto"/>
            </w:tcBorders>
            <w:shd w:val="clear" w:color="auto" w:fill="auto"/>
            <w:noWrap/>
            <w:vAlign w:val="bottom"/>
            <w:hideMark/>
          </w:tcPr>
          <w:p w14:paraId="7FA4464D" w14:textId="77777777" w:rsidR="00C40522" w:rsidRPr="00DB0D63" w:rsidRDefault="00C40522" w:rsidP="00C40522">
            <w:pPr>
              <w:rPr>
                <w:sz w:val="22"/>
                <w:szCs w:val="22"/>
                <w:lang w:val="es-GT" w:eastAsia="es-GT"/>
              </w:rPr>
            </w:pPr>
            <w:r w:rsidRPr="00DB0D63">
              <w:rPr>
                <w:sz w:val="22"/>
                <w:szCs w:val="22"/>
                <w:lang w:val="es-GT" w:eastAsia="es-GT"/>
              </w:rPr>
              <w:t>Banco Centroamericano de Integración Económica</w:t>
            </w:r>
          </w:p>
        </w:tc>
        <w:tc>
          <w:tcPr>
            <w:tcW w:w="1276" w:type="dxa"/>
            <w:tcBorders>
              <w:top w:val="nil"/>
              <w:left w:val="single" w:sz="4" w:space="0" w:color="auto"/>
              <w:bottom w:val="nil"/>
              <w:right w:val="single" w:sz="4" w:space="0" w:color="auto"/>
            </w:tcBorders>
            <w:shd w:val="clear" w:color="auto" w:fill="auto"/>
            <w:noWrap/>
            <w:vAlign w:val="center"/>
            <w:hideMark/>
          </w:tcPr>
          <w:p w14:paraId="5C29E6A4" w14:textId="77777777" w:rsidR="00C40522" w:rsidRPr="00DB0D63" w:rsidRDefault="00C40522" w:rsidP="00C40522">
            <w:pPr>
              <w:jc w:val="right"/>
              <w:rPr>
                <w:sz w:val="22"/>
                <w:szCs w:val="22"/>
                <w:lang w:val="es-GT" w:eastAsia="es-GT"/>
              </w:rPr>
            </w:pPr>
            <w:r w:rsidRPr="00DB0D63">
              <w:rPr>
                <w:sz w:val="22"/>
                <w:szCs w:val="22"/>
                <w:lang w:val="es-GT" w:eastAsia="es-GT"/>
              </w:rPr>
              <w:t>373.5</w:t>
            </w:r>
          </w:p>
        </w:tc>
        <w:tc>
          <w:tcPr>
            <w:tcW w:w="1094" w:type="dxa"/>
            <w:tcBorders>
              <w:top w:val="nil"/>
              <w:left w:val="nil"/>
              <w:bottom w:val="nil"/>
              <w:right w:val="single" w:sz="4" w:space="0" w:color="auto"/>
            </w:tcBorders>
            <w:shd w:val="clear" w:color="auto" w:fill="auto"/>
            <w:noWrap/>
            <w:vAlign w:val="center"/>
            <w:hideMark/>
          </w:tcPr>
          <w:p w14:paraId="4E82065B" w14:textId="77777777" w:rsidR="00C40522" w:rsidRPr="00DB0D63" w:rsidRDefault="00C40522" w:rsidP="00C40522">
            <w:pPr>
              <w:jc w:val="right"/>
              <w:rPr>
                <w:sz w:val="22"/>
                <w:szCs w:val="22"/>
                <w:lang w:val="es-GT" w:eastAsia="es-GT"/>
              </w:rPr>
            </w:pPr>
            <w:r w:rsidRPr="00DB0D63">
              <w:rPr>
                <w:sz w:val="22"/>
                <w:szCs w:val="22"/>
                <w:lang w:val="es-GT" w:eastAsia="es-GT"/>
              </w:rPr>
              <w:t>10.7</w:t>
            </w:r>
          </w:p>
        </w:tc>
        <w:tc>
          <w:tcPr>
            <w:tcW w:w="1149" w:type="dxa"/>
            <w:tcBorders>
              <w:top w:val="nil"/>
              <w:left w:val="nil"/>
              <w:bottom w:val="nil"/>
              <w:right w:val="single" w:sz="4" w:space="0" w:color="auto"/>
            </w:tcBorders>
            <w:shd w:val="clear" w:color="auto" w:fill="auto"/>
            <w:noWrap/>
            <w:vAlign w:val="center"/>
            <w:hideMark/>
          </w:tcPr>
          <w:p w14:paraId="6D3AB6A9" w14:textId="22E09195" w:rsidR="00C40522" w:rsidRPr="00DB0D63" w:rsidRDefault="00634C97" w:rsidP="00634C97">
            <w:pPr>
              <w:jc w:val="right"/>
              <w:rPr>
                <w:sz w:val="22"/>
                <w:szCs w:val="22"/>
                <w:lang w:val="es-GT" w:eastAsia="es-GT"/>
              </w:rPr>
            </w:pPr>
            <w:r>
              <w:rPr>
                <w:sz w:val="22"/>
                <w:szCs w:val="22"/>
                <w:lang w:val="es-GT" w:eastAsia="es-GT"/>
              </w:rPr>
              <w:t>362.7</w:t>
            </w:r>
          </w:p>
        </w:tc>
        <w:tc>
          <w:tcPr>
            <w:tcW w:w="1134" w:type="dxa"/>
            <w:tcBorders>
              <w:top w:val="nil"/>
              <w:left w:val="nil"/>
              <w:bottom w:val="nil"/>
              <w:right w:val="single" w:sz="8" w:space="0" w:color="auto"/>
            </w:tcBorders>
            <w:shd w:val="clear" w:color="auto" w:fill="auto"/>
            <w:noWrap/>
            <w:vAlign w:val="center"/>
            <w:hideMark/>
          </w:tcPr>
          <w:p w14:paraId="007E56ED" w14:textId="77777777" w:rsidR="00C40522" w:rsidRPr="00DB0D63" w:rsidRDefault="00C40522" w:rsidP="00C40522">
            <w:pPr>
              <w:jc w:val="center"/>
              <w:rPr>
                <w:sz w:val="22"/>
                <w:szCs w:val="22"/>
                <w:lang w:val="es-GT" w:eastAsia="es-GT"/>
              </w:rPr>
            </w:pPr>
            <w:r w:rsidRPr="00DB0D63">
              <w:rPr>
                <w:sz w:val="22"/>
                <w:szCs w:val="22"/>
                <w:lang w:val="es-GT" w:eastAsia="es-GT"/>
              </w:rPr>
              <w:t>2.9%</w:t>
            </w:r>
          </w:p>
        </w:tc>
      </w:tr>
      <w:tr w:rsidR="00C40522" w:rsidRPr="00DB0D63" w14:paraId="0E8998EF" w14:textId="77777777" w:rsidTr="00634C97">
        <w:trPr>
          <w:trHeight w:val="270"/>
        </w:trPr>
        <w:tc>
          <w:tcPr>
            <w:tcW w:w="4668" w:type="dxa"/>
            <w:tcBorders>
              <w:top w:val="nil"/>
              <w:left w:val="single" w:sz="8" w:space="0" w:color="auto"/>
              <w:bottom w:val="single" w:sz="8" w:space="0" w:color="auto"/>
              <w:right w:val="single" w:sz="4" w:space="0" w:color="auto"/>
            </w:tcBorders>
            <w:shd w:val="clear" w:color="auto" w:fill="auto"/>
            <w:noWrap/>
            <w:vAlign w:val="bottom"/>
            <w:hideMark/>
          </w:tcPr>
          <w:p w14:paraId="773851CC" w14:textId="77777777" w:rsidR="00C40522" w:rsidRPr="00DB0D63" w:rsidRDefault="00C40522" w:rsidP="00C40522">
            <w:pPr>
              <w:rPr>
                <w:sz w:val="22"/>
                <w:szCs w:val="22"/>
                <w:lang w:val="es-GT" w:eastAsia="es-GT"/>
              </w:rPr>
            </w:pPr>
            <w:r w:rsidRPr="00DB0D63">
              <w:rPr>
                <w:sz w:val="22"/>
                <w:szCs w:val="22"/>
                <w:lang w:val="es-GT" w:eastAsia="es-GT"/>
              </w:rPr>
              <w:t>Banco Interamericano de Desarrollo</w:t>
            </w:r>
          </w:p>
        </w:tc>
        <w:tc>
          <w:tcPr>
            <w:tcW w:w="1276" w:type="dxa"/>
            <w:tcBorders>
              <w:top w:val="nil"/>
              <w:left w:val="nil"/>
              <w:bottom w:val="single" w:sz="8" w:space="0" w:color="auto"/>
              <w:right w:val="single" w:sz="4" w:space="0" w:color="auto"/>
            </w:tcBorders>
            <w:shd w:val="clear" w:color="auto" w:fill="auto"/>
            <w:noWrap/>
            <w:vAlign w:val="center"/>
            <w:hideMark/>
          </w:tcPr>
          <w:p w14:paraId="46A6E8CC" w14:textId="77777777" w:rsidR="00C40522" w:rsidRPr="00DB0D63" w:rsidRDefault="00C40522" w:rsidP="00C40522">
            <w:pPr>
              <w:jc w:val="right"/>
              <w:rPr>
                <w:sz w:val="22"/>
                <w:szCs w:val="22"/>
                <w:lang w:val="es-GT" w:eastAsia="es-GT"/>
              </w:rPr>
            </w:pPr>
            <w:r w:rsidRPr="00DB0D63">
              <w:rPr>
                <w:sz w:val="22"/>
                <w:szCs w:val="22"/>
                <w:lang w:val="es-GT" w:eastAsia="es-GT"/>
              </w:rPr>
              <w:t>140.9</w:t>
            </w:r>
          </w:p>
        </w:tc>
        <w:tc>
          <w:tcPr>
            <w:tcW w:w="1094" w:type="dxa"/>
            <w:tcBorders>
              <w:top w:val="nil"/>
              <w:left w:val="nil"/>
              <w:bottom w:val="single" w:sz="8" w:space="0" w:color="auto"/>
              <w:right w:val="single" w:sz="4" w:space="0" w:color="auto"/>
            </w:tcBorders>
            <w:shd w:val="clear" w:color="auto" w:fill="auto"/>
            <w:noWrap/>
            <w:vAlign w:val="center"/>
            <w:hideMark/>
          </w:tcPr>
          <w:p w14:paraId="0C3DA8B6" w14:textId="77777777" w:rsidR="00C40522" w:rsidRPr="00DB0D63" w:rsidRDefault="00C40522" w:rsidP="00C40522">
            <w:pPr>
              <w:jc w:val="right"/>
              <w:rPr>
                <w:sz w:val="22"/>
                <w:szCs w:val="22"/>
                <w:lang w:val="es-GT" w:eastAsia="es-GT"/>
              </w:rPr>
            </w:pPr>
            <w:r w:rsidRPr="00DB0D63">
              <w:rPr>
                <w:sz w:val="22"/>
                <w:szCs w:val="22"/>
                <w:lang w:val="es-GT" w:eastAsia="es-GT"/>
              </w:rPr>
              <w:t>0.1</w:t>
            </w:r>
          </w:p>
        </w:tc>
        <w:tc>
          <w:tcPr>
            <w:tcW w:w="1149" w:type="dxa"/>
            <w:tcBorders>
              <w:top w:val="nil"/>
              <w:left w:val="nil"/>
              <w:bottom w:val="single" w:sz="8" w:space="0" w:color="auto"/>
              <w:right w:val="single" w:sz="4" w:space="0" w:color="auto"/>
            </w:tcBorders>
            <w:shd w:val="clear" w:color="auto" w:fill="auto"/>
            <w:noWrap/>
            <w:vAlign w:val="center"/>
            <w:hideMark/>
          </w:tcPr>
          <w:p w14:paraId="347E1659" w14:textId="77777777" w:rsidR="00C40522" w:rsidRPr="00DB0D63" w:rsidRDefault="00C40522" w:rsidP="00C40522">
            <w:pPr>
              <w:jc w:val="right"/>
              <w:rPr>
                <w:sz w:val="22"/>
                <w:szCs w:val="22"/>
                <w:lang w:val="es-GT" w:eastAsia="es-GT"/>
              </w:rPr>
            </w:pPr>
            <w:r w:rsidRPr="00DB0D63">
              <w:rPr>
                <w:sz w:val="22"/>
                <w:szCs w:val="22"/>
                <w:lang w:val="es-GT" w:eastAsia="es-GT"/>
              </w:rPr>
              <w:t>140.9</w:t>
            </w:r>
          </w:p>
        </w:tc>
        <w:tc>
          <w:tcPr>
            <w:tcW w:w="1134" w:type="dxa"/>
            <w:tcBorders>
              <w:top w:val="nil"/>
              <w:left w:val="nil"/>
              <w:bottom w:val="single" w:sz="8" w:space="0" w:color="auto"/>
              <w:right w:val="single" w:sz="8" w:space="0" w:color="auto"/>
            </w:tcBorders>
            <w:shd w:val="clear" w:color="auto" w:fill="auto"/>
            <w:noWrap/>
            <w:vAlign w:val="center"/>
            <w:hideMark/>
          </w:tcPr>
          <w:p w14:paraId="642C3211" w14:textId="1164F1DF" w:rsidR="00C40522" w:rsidRPr="00DB0D63" w:rsidRDefault="00C40522" w:rsidP="00C40522">
            <w:pPr>
              <w:jc w:val="center"/>
              <w:rPr>
                <w:sz w:val="22"/>
                <w:szCs w:val="22"/>
                <w:lang w:val="es-GT" w:eastAsia="es-GT"/>
              </w:rPr>
            </w:pPr>
          </w:p>
        </w:tc>
      </w:tr>
    </w:tbl>
    <w:p w14:paraId="4FBCCBBC" w14:textId="77777777" w:rsidR="00C40522" w:rsidRPr="00046E3F" w:rsidRDefault="00C40522" w:rsidP="00C40522">
      <w:pPr>
        <w:jc w:val="both"/>
        <w:rPr>
          <w:sz w:val="18"/>
          <w:lang w:val="es-MX"/>
        </w:rPr>
      </w:pPr>
      <w:r w:rsidRPr="00046E3F">
        <w:rPr>
          <w:sz w:val="18"/>
          <w:lang w:val="es-MX"/>
        </w:rPr>
        <w:t>Fuente: Ministerio de Finanzas Públicas.</w:t>
      </w:r>
    </w:p>
    <w:p w14:paraId="18E0CD02" w14:textId="06A0D6F6" w:rsidR="00C40522" w:rsidRDefault="00C40522" w:rsidP="00C40522">
      <w:pPr>
        <w:jc w:val="center"/>
        <w:rPr>
          <w:b/>
          <w:szCs w:val="22"/>
          <w:lang w:val="es-MX"/>
        </w:rPr>
      </w:pPr>
    </w:p>
    <w:p w14:paraId="63635ECD" w14:textId="7638CA97" w:rsidR="00E10E8E" w:rsidRDefault="00E10E8E" w:rsidP="00C40522">
      <w:pPr>
        <w:jc w:val="center"/>
        <w:rPr>
          <w:b/>
          <w:szCs w:val="22"/>
          <w:lang w:val="es-MX"/>
        </w:rPr>
      </w:pPr>
    </w:p>
    <w:p w14:paraId="7BC1072D" w14:textId="77777777" w:rsidR="00E10E8E" w:rsidRDefault="00E10E8E" w:rsidP="00C40522">
      <w:pPr>
        <w:jc w:val="center"/>
        <w:rPr>
          <w:b/>
          <w:szCs w:val="22"/>
          <w:lang w:val="es-MX"/>
        </w:rPr>
      </w:pPr>
    </w:p>
    <w:p w14:paraId="032573D0" w14:textId="77601D3E" w:rsidR="00C40522" w:rsidRDefault="00C40522" w:rsidP="00A840E5">
      <w:pPr>
        <w:pStyle w:val="Ttulo3"/>
        <w:numPr>
          <w:ilvl w:val="0"/>
          <w:numId w:val="5"/>
        </w:numPr>
        <w:ind w:left="426"/>
        <w:rPr>
          <w:rFonts w:ascii="Times New Roman" w:hAnsi="Times New Roman"/>
          <w:color w:val="auto"/>
          <w:lang w:val="es-MX"/>
        </w:rPr>
      </w:pPr>
      <w:bookmarkStart w:id="34" w:name="_Toc142920548"/>
      <w:r>
        <w:rPr>
          <w:rFonts w:ascii="Times New Roman" w:hAnsi="Times New Roman"/>
          <w:color w:val="auto"/>
          <w:lang w:val="es-MX"/>
        </w:rPr>
        <w:t>Deuda Pública</w:t>
      </w:r>
      <w:bookmarkEnd w:id="34"/>
    </w:p>
    <w:p w14:paraId="4ED89AE0" w14:textId="77777777" w:rsidR="00C40522" w:rsidRDefault="00C40522" w:rsidP="00C40522">
      <w:pPr>
        <w:rPr>
          <w:lang w:val="es-MX"/>
        </w:rPr>
      </w:pPr>
    </w:p>
    <w:p w14:paraId="66BA5293" w14:textId="09F3C99F" w:rsidR="00C40522" w:rsidRDefault="00C40522" w:rsidP="00C40522">
      <w:pPr>
        <w:jc w:val="both"/>
        <w:rPr>
          <w:lang w:val="es-MX"/>
        </w:rPr>
      </w:pPr>
      <w:r>
        <w:rPr>
          <w:lang w:val="es-MX"/>
        </w:rPr>
        <w:t xml:space="preserve">Durante el período observado de 2009 a 2023, el saldo muestra un comportamiento creciente a una tasa promedio anual de 8.4%; no obstante, vale resaltar que hubo repuntes de endeudamiento durante </w:t>
      </w:r>
      <w:r w:rsidR="00AC7C4A">
        <w:rPr>
          <w:lang w:val="es-MX"/>
        </w:rPr>
        <w:t>dicho</w:t>
      </w:r>
      <w:r>
        <w:rPr>
          <w:lang w:val="es-MX"/>
        </w:rPr>
        <w:t xml:space="preserve"> período, tal es el caso de 2010 que creció 13.2%</w:t>
      </w:r>
      <w:r w:rsidR="00AC7C4A">
        <w:rPr>
          <w:lang w:val="es-MX"/>
        </w:rPr>
        <w:t xml:space="preserve"> respecto del año anterior</w:t>
      </w:r>
      <w:r>
        <w:rPr>
          <w:lang w:val="es-MX"/>
        </w:rPr>
        <w:t>; en 2018 fue del 10.2%</w:t>
      </w:r>
      <w:r w:rsidR="00AC7C4A">
        <w:rPr>
          <w:lang w:val="es-MX"/>
        </w:rPr>
        <w:t>,</w:t>
      </w:r>
      <w:r>
        <w:rPr>
          <w:lang w:val="es-MX"/>
        </w:rPr>
        <w:t xml:space="preserve"> y en 2020 que ha sido el más alto al haber llegado a un crecimiento respecto de 2019 del 20.3%. El porcentaje de la deuda</w:t>
      </w:r>
      <w:r w:rsidR="00AC7C4A">
        <w:rPr>
          <w:lang w:val="es-MX"/>
        </w:rPr>
        <w:t xml:space="preserve"> pública</w:t>
      </w:r>
      <w:r>
        <w:rPr>
          <w:lang w:val="es-MX"/>
        </w:rPr>
        <w:t>, con respecto al PIB, tuvo un incremento debido al cambio del año base de las Cuentas Nacionales y por el aumento de la deuda pública derivad</w:t>
      </w:r>
      <w:r w:rsidR="00AC7C4A">
        <w:rPr>
          <w:lang w:val="es-MX"/>
        </w:rPr>
        <w:t>a</w:t>
      </w:r>
      <w:r>
        <w:rPr>
          <w:lang w:val="es-MX"/>
        </w:rPr>
        <w:t xml:space="preserve"> de la pandemia del Covid-19. Al 30 de junio</w:t>
      </w:r>
      <w:r w:rsidR="00AC7C4A">
        <w:rPr>
          <w:lang w:val="es-MX"/>
        </w:rPr>
        <w:t xml:space="preserve"> de 2023,</w:t>
      </w:r>
      <w:r>
        <w:rPr>
          <w:lang w:val="es-MX"/>
        </w:rPr>
        <w:t xml:space="preserve"> el saldo de la deuda pública asciende a Q.219,660.6 millones, equivalentes al 27.8% con respecto al PIB. La situación de la deuda pública de Guatemala está </w:t>
      </w:r>
      <w:r w:rsidRPr="00E5644C">
        <w:rPr>
          <w:lang w:val="es-MX"/>
        </w:rPr>
        <w:t xml:space="preserve">por debajo del riesgo global de sobreendeudamiento para economías de </w:t>
      </w:r>
      <w:r>
        <w:rPr>
          <w:lang w:val="es-MX"/>
        </w:rPr>
        <w:t xml:space="preserve">ingresos medios, </w:t>
      </w:r>
      <w:r w:rsidR="00AC7C4A">
        <w:rPr>
          <w:lang w:val="es-MX"/>
        </w:rPr>
        <w:t xml:space="preserve">ya que </w:t>
      </w:r>
      <w:r>
        <w:rPr>
          <w:lang w:val="es-MX"/>
        </w:rPr>
        <w:t>según el Fondo Monetario Internacional y el Banco Mundial, el parámetro establecido es del 40.0%.</w:t>
      </w:r>
    </w:p>
    <w:p w14:paraId="14FEC206" w14:textId="77777777" w:rsidR="00C40522" w:rsidRPr="00A254DF" w:rsidRDefault="00C40522" w:rsidP="00C40522">
      <w:pPr>
        <w:rPr>
          <w:lang w:val="es-MX"/>
        </w:rPr>
      </w:pPr>
    </w:p>
    <w:p w14:paraId="0C6613E2" w14:textId="77777777" w:rsidR="00C40522" w:rsidRDefault="00C40522" w:rsidP="00C40522">
      <w:pPr>
        <w:rPr>
          <w:b/>
          <w:sz w:val="14"/>
          <w:szCs w:val="22"/>
          <w:lang w:val="es-MX"/>
        </w:rPr>
      </w:pPr>
    </w:p>
    <w:p w14:paraId="43158551" w14:textId="77777777" w:rsidR="00C40522" w:rsidRPr="00B92CAB" w:rsidRDefault="00C40522" w:rsidP="00C40522">
      <w:pPr>
        <w:rPr>
          <w:b/>
          <w:sz w:val="14"/>
          <w:szCs w:val="22"/>
          <w:lang w:val="es-MX"/>
        </w:rPr>
      </w:pPr>
    </w:p>
    <w:p w14:paraId="2BA84174" w14:textId="77777777" w:rsidR="00C40522" w:rsidRPr="00046E3F" w:rsidRDefault="00C40522" w:rsidP="00C40522">
      <w:pPr>
        <w:jc w:val="both"/>
        <w:rPr>
          <w:sz w:val="18"/>
          <w:lang w:val="es-MX"/>
        </w:rPr>
      </w:pPr>
    </w:p>
    <w:p w14:paraId="70E3CE7D" w14:textId="77777777" w:rsidR="00C40522" w:rsidRDefault="00C40522" w:rsidP="00C40522">
      <w:pPr>
        <w:jc w:val="center"/>
        <w:rPr>
          <w:b/>
          <w:sz w:val="22"/>
          <w:lang w:val="es-MX"/>
        </w:rPr>
      </w:pPr>
    </w:p>
    <w:p w14:paraId="6E7578F5" w14:textId="77777777" w:rsidR="00C40522" w:rsidRPr="00D529CF" w:rsidRDefault="00C40522" w:rsidP="00C40522">
      <w:pPr>
        <w:jc w:val="center"/>
        <w:rPr>
          <w:b/>
          <w:sz w:val="36"/>
          <w:lang w:val="es-MX"/>
        </w:rPr>
      </w:pPr>
    </w:p>
    <w:p w14:paraId="2BAE5068" w14:textId="77777777" w:rsidR="00C40522" w:rsidRPr="00D11334" w:rsidRDefault="00C40522" w:rsidP="00C40522">
      <w:pPr>
        <w:jc w:val="center"/>
        <w:rPr>
          <w:b/>
          <w:lang w:val="es-MX"/>
        </w:rPr>
      </w:pPr>
      <w:r w:rsidRPr="00D11334">
        <w:rPr>
          <w:b/>
          <w:lang w:val="es-MX"/>
        </w:rPr>
        <w:t>Gráfica 1</w:t>
      </w:r>
      <w:r>
        <w:rPr>
          <w:b/>
          <w:lang w:val="es-MX"/>
        </w:rPr>
        <w:t>4</w:t>
      </w:r>
    </w:p>
    <w:p w14:paraId="594F73EE" w14:textId="77777777" w:rsidR="00C40522" w:rsidRPr="00D11334" w:rsidRDefault="00C40522" w:rsidP="00C40522">
      <w:pPr>
        <w:jc w:val="center"/>
        <w:rPr>
          <w:b/>
          <w:szCs w:val="22"/>
          <w:lang w:val="es-MX"/>
        </w:rPr>
      </w:pPr>
      <w:r w:rsidRPr="00D11334">
        <w:rPr>
          <w:b/>
          <w:szCs w:val="22"/>
          <w:lang w:val="es-MX"/>
        </w:rPr>
        <w:t>Comportamiento del Saldo de la Deuda Pública*</w:t>
      </w:r>
    </w:p>
    <w:p w14:paraId="581F5C9B" w14:textId="77777777" w:rsidR="00C40522" w:rsidRPr="00D11334" w:rsidRDefault="00C40522" w:rsidP="00C40522">
      <w:pPr>
        <w:jc w:val="center"/>
        <w:rPr>
          <w:b/>
          <w:szCs w:val="22"/>
          <w:lang w:val="es-MX"/>
        </w:rPr>
      </w:pPr>
      <w:r w:rsidRPr="00D11334">
        <w:rPr>
          <w:b/>
          <w:szCs w:val="22"/>
          <w:lang w:val="es-MX"/>
        </w:rPr>
        <w:t xml:space="preserve">Período 2009 </w:t>
      </w:r>
      <w:r>
        <w:rPr>
          <w:b/>
          <w:szCs w:val="22"/>
          <w:lang w:val="es-MX"/>
        </w:rPr>
        <w:t>-</w:t>
      </w:r>
      <w:r w:rsidRPr="00D11334">
        <w:rPr>
          <w:b/>
          <w:szCs w:val="22"/>
          <w:lang w:val="es-MX"/>
        </w:rPr>
        <w:t xml:space="preserve"> 202</w:t>
      </w:r>
      <w:r>
        <w:rPr>
          <w:b/>
          <w:szCs w:val="22"/>
          <w:lang w:val="es-MX"/>
        </w:rPr>
        <w:t>3*</w:t>
      </w:r>
    </w:p>
    <w:p w14:paraId="46309CC5" w14:textId="77777777" w:rsidR="00C40522" w:rsidRPr="00D11334" w:rsidRDefault="00C40522" w:rsidP="00C40522">
      <w:pPr>
        <w:jc w:val="center"/>
        <w:rPr>
          <w:b/>
          <w:szCs w:val="22"/>
          <w:lang w:val="es-MX"/>
        </w:rPr>
      </w:pPr>
      <w:r w:rsidRPr="00D11334">
        <w:rPr>
          <w:b/>
          <w:szCs w:val="22"/>
          <w:lang w:val="es-MX"/>
        </w:rPr>
        <w:t>(Cifras en Millones de Quetzales y Porcentajes del PIB)</w:t>
      </w:r>
    </w:p>
    <w:p w14:paraId="51FB1213" w14:textId="77777777" w:rsidR="00C40522" w:rsidRDefault="00C40522" w:rsidP="00C40522">
      <w:pPr>
        <w:jc w:val="both"/>
        <w:rPr>
          <w:lang w:val="es-MX"/>
        </w:rPr>
      </w:pPr>
      <w:r>
        <w:rPr>
          <w:noProof/>
        </w:rPr>
        <w:drawing>
          <wp:inline distT="0" distB="0" distL="0" distR="0" wp14:anchorId="13EE777B" wp14:editId="5891154A">
            <wp:extent cx="5946775" cy="3928262"/>
            <wp:effectExtent l="0" t="0" r="15875" b="15240"/>
            <wp:docPr id="30" name="Gráfico 30">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7F13AF2" w14:textId="30E9A89E" w:rsidR="00C40522" w:rsidRDefault="00C40522" w:rsidP="00C40522">
      <w:pPr>
        <w:jc w:val="both"/>
        <w:rPr>
          <w:sz w:val="18"/>
          <w:lang w:val="es-MX"/>
        </w:rPr>
      </w:pPr>
      <w:r w:rsidRPr="00046E3F">
        <w:rPr>
          <w:sz w:val="18"/>
          <w:lang w:val="es-MX"/>
        </w:rPr>
        <w:t>* De 2009 a 20</w:t>
      </w:r>
      <w:r>
        <w:rPr>
          <w:sz w:val="18"/>
          <w:lang w:val="es-MX"/>
        </w:rPr>
        <w:t>22</w:t>
      </w:r>
      <w:r w:rsidRPr="00046E3F">
        <w:rPr>
          <w:sz w:val="18"/>
          <w:lang w:val="es-MX"/>
        </w:rPr>
        <w:t xml:space="preserve"> corresponde al saldo de la </w:t>
      </w:r>
      <w:r w:rsidR="00AC7C4A">
        <w:rPr>
          <w:sz w:val="18"/>
          <w:lang w:val="es-MX"/>
        </w:rPr>
        <w:t>d</w:t>
      </w:r>
      <w:r w:rsidRPr="00046E3F">
        <w:rPr>
          <w:sz w:val="18"/>
          <w:lang w:val="es-MX"/>
        </w:rPr>
        <w:t xml:space="preserve">euda </w:t>
      </w:r>
      <w:r w:rsidR="00AC7C4A">
        <w:rPr>
          <w:sz w:val="18"/>
          <w:lang w:val="es-MX"/>
        </w:rPr>
        <w:t>p</w:t>
      </w:r>
      <w:r w:rsidRPr="00046E3F">
        <w:rPr>
          <w:sz w:val="18"/>
          <w:lang w:val="es-MX"/>
        </w:rPr>
        <w:t>ública al final del año; y en 20</w:t>
      </w:r>
      <w:r>
        <w:rPr>
          <w:sz w:val="18"/>
          <w:lang w:val="es-MX"/>
        </w:rPr>
        <w:t>23</w:t>
      </w:r>
      <w:r w:rsidRPr="00046E3F">
        <w:rPr>
          <w:sz w:val="18"/>
          <w:lang w:val="es-MX"/>
        </w:rPr>
        <w:t xml:space="preserve"> corresponde al saldo a </w:t>
      </w:r>
      <w:r>
        <w:rPr>
          <w:sz w:val="18"/>
          <w:lang w:val="es-MX"/>
        </w:rPr>
        <w:t>junio</w:t>
      </w:r>
      <w:r w:rsidRPr="00046E3F">
        <w:rPr>
          <w:sz w:val="18"/>
          <w:lang w:val="es-MX"/>
        </w:rPr>
        <w:t>.</w:t>
      </w:r>
    </w:p>
    <w:p w14:paraId="6C6F19CC" w14:textId="77777777" w:rsidR="00C40522" w:rsidRPr="00046E3F" w:rsidRDefault="00C40522" w:rsidP="00C40522">
      <w:pPr>
        <w:jc w:val="both"/>
        <w:rPr>
          <w:sz w:val="18"/>
          <w:lang w:val="es-MX"/>
        </w:rPr>
      </w:pPr>
      <w:r w:rsidRPr="00046E3F">
        <w:rPr>
          <w:sz w:val="18"/>
          <w:lang w:val="es-MX"/>
        </w:rPr>
        <w:t xml:space="preserve">   Fuente: Ministerio de Finanzas Públicas.</w:t>
      </w:r>
    </w:p>
    <w:p w14:paraId="7D3D96AD" w14:textId="2B3B0028" w:rsidR="00C40522" w:rsidRDefault="00C40522" w:rsidP="00C40522">
      <w:pPr>
        <w:jc w:val="both"/>
        <w:rPr>
          <w:sz w:val="20"/>
          <w:lang w:val="es-MX"/>
        </w:rPr>
      </w:pPr>
    </w:p>
    <w:p w14:paraId="1181C8DD" w14:textId="3B0380F4" w:rsidR="00E70E03" w:rsidRDefault="00E70E03" w:rsidP="00C40522">
      <w:pPr>
        <w:jc w:val="both"/>
        <w:rPr>
          <w:sz w:val="20"/>
          <w:lang w:val="es-MX"/>
        </w:rPr>
      </w:pPr>
    </w:p>
    <w:p w14:paraId="1076F31A" w14:textId="3E58D37C" w:rsidR="00E70E03" w:rsidRDefault="00E70E03" w:rsidP="00C40522">
      <w:pPr>
        <w:jc w:val="both"/>
        <w:rPr>
          <w:sz w:val="20"/>
          <w:lang w:val="es-MX"/>
        </w:rPr>
      </w:pPr>
    </w:p>
    <w:p w14:paraId="70B607DF" w14:textId="77777777" w:rsidR="00E70E03" w:rsidRPr="00D529CF" w:rsidRDefault="00E70E03" w:rsidP="00C40522">
      <w:pPr>
        <w:jc w:val="both"/>
        <w:rPr>
          <w:sz w:val="20"/>
          <w:lang w:val="es-MX"/>
        </w:rPr>
      </w:pPr>
    </w:p>
    <w:p w14:paraId="7C803837" w14:textId="1FC3ABEC" w:rsidR="00BC362A" w:rsidRDefault="00BC362A">
      <w:pPr>
        <w:rPr>
          <w:sz w:val="22"/>
          <w:lang w:val="es-MX"/>
        </w:rPr>
      </w:pPr>
      <w:r>
        <w:rPr>
          <w:sz w:val="22"/>
          <w:lang w:val="es-MX"/>
        </w:rPr>
        <w:br w:type="page"/>
      </w:r>
    </w:p>
    <w:p w14:paraId="5DF98F4A" w14:textId="77777777" w:rsidR="002474C2" w:rsidRPr="00F32249" w:rsidRDefault="002474C2" w:rsidP="00A840E5">
      <w:pPr>
        <w:pStyle w:val="Ttulo3"/>
        <w:numPr>
          <w:ilvl w:val="0"/>
          <w:numId w:val="5"/>
        </w:numPr>
        <w:ind w:left="426"/>
        <w:rPr>
          <w:rFonts w:ascii="Times New Roman" w:hAnsi="Times New Roman"/>
          <w:color w:val="auto"/>
          <w:lang w:val="es-MX"/>
        </w:rPr>
      </w:pPr>
      <w:bookmarkStart w:id="35" w:name="_Toc114732543"/>
      <w:bookmarkStart w:id="36" w:name="_Toc142920549"/>
      <w:r w:rsidRPr="00F32249">
        <w:rPr>
          <w:rFonts w:ascii="Times New Roman" w:hAnsi="Times New Roman"/>
          <w:color w:val="auto"/>
          <w:lang w:val="es-MX"/>
        </w:rPr>
        <w:t>Situación Financiera</w:t>
      </w:r>
      <w:bookmarkEnd w:id="35"/>
      <w:bookmarkEnd w:id="36"/>
    </w:p>
    <w:p w14:paraId="49FAE6B8" w14:textId="77777777" w:rsidR="002474C2" w:rsidRPr="00F32249" w:rsidRDefault="002474C2" w:rsidP="002474C2">
      <w:pPr>
        <w:rPr>
          <w:sz w:val="22"/>
          <w:lang w:val="es-MX"/>
        </w:rPr>
      </w:pPr>
    </w:p>
    <w:p w14:paraId="3971FCB5" w14:textId="77777777" w:rsidR="002474C2" w:rsidRPr="00F32249" w:rsidRDefault="002474C2" w:rsidP="002474C2">
      <w:pPr>
        <w:jc w:val="center"/>
        <w:rPr>
          <w:b/>
          <w:szCs w:val="20"/>
          <w:lang w:val="es-MX"/>
        </w:rPr>
      </w:pPr>
      <w:r w:rsidRPr="00F32249">
        <w:rPr>
          <w:b/>
          <w:szCs w:val="20"/>
          <w:lang w:val="es-MX"/>
        </w:rPr>
        <w:t>Cuadro 16</w:t>
      </w:r>
    </w:p>
    <w:p w14:paraId="64F879C1" w14:textId="77777777" w:rsidR="002474C2" w:rsidRPr="00F32249" w:rsidRDefault="002474C2" w:rsidP="002474C2">
      <w:pPr>
        <w:jc w:val="center"/>
        <w:rPr>
          <w:b/>
          <w:szCs w:val="20"/>
          <w:lang w:val="es-MX"/>
        </w:rPr>
      </w:pPr>
      <w:r w:rsidRPr="00F32249">
        <w:rPr>
          <w:b/>
          <w:szCs w:val="20"/>
          <w:lang w:val="es-MX"/>
        </w:rPr>
        <w:t>Situación Financiera de la Administración Central</w:t>
      </w:r>
    </w:p>
    <w:p w14:paraId="2B63BE53" w14:textId="77777777" w:rsidR="002474C2" w:rsidRPr="00F32249" w:rsidRDefault="002474C2" w:rsidP="002474C2">
      <w:pPr>
        <w:jc w:val="center"/>
        <w:rPr>
          <w:b/>
          <w:szCs w:val="20"/>
          <w:lang w:val="es-MX"/>
        </w:rPr>
      </w:pPr>
      <w:r w:rsidRPr="00F32249">
        <w:rPr>
          <w:b/>
          <w:szCs w:val="20"/>
          <w:lang w:val="es-MX"/>
        </w:rPr>
        <w:t>Al 30 de junio de 202</w:t>
      </w:r>
      <w:r>
        <w:rPr>
          <w:b/>
          <w:szCs w:val="20"/>
          <w:lang w:val="es-MX"/>
        </w:rPr>
        <w:t xml:space="preserve">2 y </w:t>
      </w:r>
      <w:r w:rsidRPr="00F32249">
        <w:rPr>
          <w:b/>
          <w:szCs w:val="20"/>
          <w:lang w:val="es-MX"/>
        </w:rPr>
        <w:t>202</w:t>
      </w:r>
      <w:r>
        <w:rPr>
          <w:b/>
          <w:szCs w:val="20"/>
          <w:lang w:val="es-MX"/>
        </w:rPr>
        <w:t>3*</w:t>
      </w:r>
    </w:p>
    <w:p w14:paraId="2C894E7F" w14:textId="77777777" w:rsidR="002474C2" w:rsidRPr="00F32249" w:rsidRDefault="002474C2" w:rsidP="002474C2">
      <w:pPr>
        <w:jc w:val="center"/>
        <w:rPr>
          <w:szCs w:val="20"/>
          <w:lang w:val="es-MX"/>
        </w:rPr>
      </w:pPr>
      <w:r w:rsidRPr="00F32249">
        <w:rPr>
          <w:b/>
          <w:szCs w:val="20"/>
          <w:lang w:val="es-MX"/>
        </w:rPr>
        <w:t>(Cifras en Millones de Quetzales)</w:t>
      </w:r>
    </w:p>
    <w:tbl>
      <w:tblPr>
        <w:tblW w:w="0" w:type="auto"/>
        <w:jc w:val="center"/>
        <w:tblCellMar>
          <w:left w:w="70" w:type="dxa"/>
          <w:right w:w="70" w:type="dxa"/>
        </w:tblCellMar>
        <w:tblLook w:val="04A0" w:firstRow="1" w:lastRow="0" w:firstColumn="1" w:lastColumn="0" w:noHBand="0" w:noVBand="1"/>
      </w:tblPr>
      <w:tblGrid>
        <w:gridCol w:w="4243"/>
        <w:gridCol w:w="1134"/>
        <w:gridCol w:w="1134"/>
        <w:gridCol w:w="1276"/>
        <w:gridCol w:w="1134"/>
      </w:tblGrid>
      <w:tr w:rsidR="002474C2" w:rsidRPr="006F529B" w14:paraId="05CCFBB0" w14:textId="77777777" w:rsidTr="00BC362A">
        <w:trPr>
          <w:trHeight w:val="255"/>
          <w:jc w:val="center"/>
        </w:trPr>
        <w:tc>
          <w:tcPr>
            <w:tcW w:w="4243" w:type="dxa"/>
            <w:vMerge w:val="restart"/>
            <w:tcBorders>
              <w:top w:val="single" w:sz="8" w:space="0" w:color="auto"/>
              <w:left w:val="single" w:sz="8" w:space="0" w:color="auto"/>
              <w:bottom w:val="single" w:sz="4" w:space="0" w:color="000000"/>
              <w:right w:val="nil"/>
            </w:tcBorders>
            <w:shd w:val="clear" w:color="auto" w:fill="00B0F0"/>
            <w:vAlign w:val="center"/>
            <w:hideMark/>
          </w:tcPr>
          <w:p w14:paraId="2A951789" w14:textId="77777777" w:rsidR="002474C2" w:rsidRPr="0055170C" w:rsidRDefault="002474C2" w:rsidP="00D56E1A">
            <w:pPr>
              <w:jc w:val="center"/>
              <w:rPr>
                <w:rFonts w:ascii="CG Times" w:hAnsi="CG Times"/>
                <w:b/>
                <w:bCs/>
                <w:sz w:val="22"/>
                <w:szCs w:val="20"/>
                <w:lang w:val="es-GT" w:eastAsia="es-GT"/>
              </w:rPr>
            </w:pPr>
            <w:r w:rsidRPr="0055170C">
              <w:rPr>
                <w:rFonts w:ascii="CG Times" w:hAnsi="CG Times"/>
                <w:b/>
                <w:bCs/>
                <w:sz w:val="22"/>
                <w:szCs w:val="20"/>
                <w:lang w:val="es-GT" w:eastAsia="es-GT"/>
              </w:rPr>
              <w:t>Concepto</w:t>
            </w:r>
          </w:p>
        </w:tc>
        <w:tc>
          <w:tcPr>
            <w:tcW w:w="2268" w:type="dxa"/>
            <w:gridSpan w:val="2"/>
            <w:tcBorders>
              <w:top w:val="single" w:sz="8" w:space="0" w:color="auto"/>
              <w:left w:val="single" w:sz="4" w:space="0" w:color="auto"/>
              <w:bottom w:val="single" w:sz="4" w:space="0" w:color="auto"/>
              <w:right w:val="single" w:sz="4" w:space="0" w:color="000000"/>
            </w:tcBorders>
            <w:shd w:val="clear" w:color="auto" w:fill="00B0F0"/>
            <w:noWrap/>
            <w:vAlign w:val="center"/>
            <w:hideMark/>
          </w:tcPr>
          <w:p w14:paraId="34B49B7E" w14:textId="77777777" w:rsidR="002474C2" w:rsidRPr="0055170C" w:rsidRDefault="002474C2" w:rsidP="00D56E1A">
            <w:pPr>
              <w:jc w:val="center"/>
              <w:rPr>
                <w:rFonts w:ascii="CG Times" w:hAnsi="CG Times"/>
                <w:b/>
                <w:bCs/>
                <w:sz w:val="22"/>
                <w:szCs w:val="20"/>
                <w:lang w:val="es-GT" w:eastAsia="es-GT"/>
              </w:rPr>
            </w:pPr>
            <w:r w:rsidRPr="0055170C">
              <w:rPr>
                <w:rFonts w:ascii="CG Times" w:hAnsi="CG Times"/>
                <w:b/>
                <w:bCs/>
                <w:sz w:val="22"/>
                <w:szCs w:val="20"/>
                <w:lang w:val="es-GT" w:eastAsia="es-GT"/>
              </w:rPr>
              <w:t>Ejecución</w:t>
            </w:r>
          </w:p>
        </w:tc>
        <w:tc>
          <w:tcPr>
            <w:tcW w:w="2410" w:type="dxa"/>
            <w:gridSpan w:val="2"/>
            <w:tcBorders>
              <w:top w:val="single" w:sz="8" w:space="0" w:color="auto"/>
              <w:left w:val="nil"/>
              <w:bottom w:val="nil"/>
              <w:right w:val="single" w:sz="8" w:space="0" w:color="000000"/>
            </w:tcBorders>
            <w:shd w:val="clear" w:color="auto" w:fill="00B0F0"/>
            <w:noWrap/>
            <w:vAlign w:val="center"/>
            <w:hideMark/>
          </w:tcPr>
          <w:p w14:paraId="0FBDF782" w14:textId="77777777" w:rsidR="002474C2" w:rsidRPr="0055170C" w:rsidRDefault="002474C2" w:rsidP="00D56E1A">
            <w:pPr>
              <w:jc w:val="center"/>
              <w:rPr>
                <w:rFonts w:ascii="CG Times" w:hAnsi="CG Times"/>
                <w:b/>
                <w:bCs/>
                <w:sz w:val="22"/>
                <w:szCs w:val="20"/>
                <w:lang w:val="es-GT" w:eastAsia="es-GT"/>
              </w:rPr>
            </w:pPr>
            <w:r w:rsidRPr="0055170C">
              <w:rPr>
                <w:rFonts w:ascii="CG Times" w:hAnsi="CG Times"/>
                <w:b/>
                <w:bCs/>
                <w:sz w:val="22"/>
                <w:szCs w:val="20"/>
                <w:lang w:val="es-GT" w:eastAsia="es-GT"/>
              </w:rPr>
              <w:t>Diferencias</w:t>
            </w:r>
          </w:p>
        </w:tc>
      </w:tr>
      <w:tr w:rsidR="002474C2" w:rsidRPr="006F529B" w14:paraId="78B0400A" w14:textId="77777777" w:rsidTr="00BC362A">
        <w:trPr>
          <w:trHeight w:val="345"/>
          <w:jc w:val="center"/>
        </w:trPr>
        <w:tc>
          <w:tcPr>
            <w:tcW w:w="4243" w:type="dxa"/>
            <w:vMerge/>
            <w:tcBorders>
              <w:top w:val="single" w:sz="8" w:space="0" w:color="auto"/>
              <w:left w:val="single" w:sz="8" w:space="0" w:color="auto"/>
              <w:bottom w:val="single" w:sz="4" w:space="0" w:color="000000"/>
              <w:right w:val="nil"/>
            </w:tcBorders>
            <w:vAlign w:val="center"/>
            <w:hideMark/>
          </w:tcPr>
          <w:p w14:paraId="23E05107" w14:textId="77777777" w:rsidR="002474C2" w:rsidRPr="0055170C" w:rsidRDefault="002474C2" w:rsidP="00D56E1A">
            <w:pPr>
              <w:rPr>
                <w:rFonts w:ascii="CG Times" w:hAnsi="CG Times"/>
                <w:b/>
                <w:bCs/>
                <w:sz w:val="22"/>
                <w:szCs w:val="20"/>
                <w:lang w:val="es-GT" w:eastAsia="es-GT"/>
              </w:rPr>
            </w:pPr>
          </w:p>
        </w:tc>
        <w:tc>
          <w:tcPr>
            <w:tcW w:w="1134" w:type="dxa"/>
            <w:tcBorders>
              <w:top w:val="nil"/>
              <w:left w:val="single" w:sz="4" w:space="0" w:color="auto"/>
              <w:bottom w:val="single" w:sz="4" w:space="0" w:color="auto"/>
              <w:right w:val="single" w:sz="4" w:space="0" w:color="auto"/>
            </w:tcBorders>
            <w:shd w:val="clear" w:color="auto" w:fill="00B0F0"/>
            <w:noWrap/>
            <w:vAlign w:val="center"/>
            <w:hideMark/>
          </w:tcPr>
          <w:p w14:paraId="6F9134F5" w14:textId="77777777" w:rsidR="002474C2" w:rsidRPr="0055170C" w:rsidRDefault="002474C2" w:rsidP="00D56E1A">
            <w:pPr>
              <w:jc w:val="center"/>
              <w:rPr>
                <w:rFonts w:ascii="CG Times" w:hAnsi="CG Times"/>
                <w:b/>
                <w:bCs/>
                <w:sz w:val="22"/>
                <w:szCs w:val="20"/>
                <w:lang w:val="es-GT" w:eastAsia="es-GT"/>
              </w:rPr>
            </w:pPr>
            <w:r w:rsidRPr="0055170C">
              <w:rPr>
                <w:rFonts w:ascii="CG Times" w:hAnsi="CG Times"/>
                <w:b/>
                <w:bCs/>
                <w:sz w:val="22"/>
                <w:szCs w:val="20"/>
                <w:lang w:val="es-GT" w:eastAsia="es-GT"/>
              </w:rPr>
              <w:t>2022</w:t>
            </w:r>
          </w:p>
        </w:tc>
        <w:tc>
          <w:tcPr>
            <w:tcW w:w="1134" w:type="dxa"/>
            <w:tcBorders>
              <w:top w:val="nil"/>
              <w:left w:val="nil"/>
              <w:bottom w:val="single" w:sz="4" w:space="0" w:color="auto"/>
              <w:right w:val="single" w:sz="4" w:space="0" w:color="auto"/>
            </w:tcBorders>
            <w:shd w:val="clear" w:color="auto" w:fill="00B0F0"/>
            <w:noWrap/>
            <w:vAlign w:val="center"/>
            <w:hideMark/>
          </w:tcPr>
          <w:p w14:paraId="30A99CC8" w14:textId="77777777" w:rsidR="002474C2" w:rsidRPr="0055170C" w:rsidRDefault="002474C2" w:rsidP="00D56E1A">
            <w:pPr>
              <w:jc w:val="center"/>
              <w:rPr>
                <w:rFonts w:ascii="CG Times" w:hAnsi="CG Times"/>
                <w:b/>
                <w:bCs/>
                <w:sz w:val="22"/>
                <w:szCs w:val="20"/>
                <w:lang w:val="es-GT" w:eastAsia="es-GT"/>
              </w:rPr>
            </w:pPr>
            <w:r w:rsidRPr="0055170C">
              <w:rPr>
                <w:rFonts w:ascii="CG Times" w:hAnsi="CG Times"/>
                <w:b/>
                <w:bCs/>
                <w:sz w:val="22"/>
                <w:szCs w:val="20"/>
                <w:lang w:val="es-GT" w:eastAsia="es-GT"/>
              </w:rPr>
              <w:t>2023</w:t>
            </w:r>
          </w:p>
        </w:tc>
        <w:tc>
          <w:tcPr>
            <w:tcW w:w="1276" w:type="dxa"/>
            <w:tcBorders>
              <w:top w:val="single" w:sz="4" w:space="0" w:color="auto"/>
              <w:left w:val="nil"/>
              <w:bottom w:val="single" w:sz="4" w:space="0" w:color="auto"/>
              <w:right w:val="single" w:sz="4" w:space="0" w:color="auto"/>
            </w:tcBorders>
            <w:shd w:val="clear" w:color="auto" w:fill="00B0F0"/>
            <w:noWrap/>
            <w:vAlign w:val="center"/>
            <w:hideMark/>
          </w:tcPr>
          <w:p w14:paraId="75F06F35" w14:textId="77777777" w:rsidR="002474C2" w:rsidRPr="0055170C" w:rsidRDefault="002474C2" w:rsidP="00D56E1A">
            <w:pPr>
              <w:jc w:val="center"/>
              <w:rPr>
                <w:rFonts w:ascii="CG Times" w:hAnsi="CG Times"/>
                <w:b/>
                <w:bCs/>
                <w:sz w:val="22"/>
                <w:szCs w:val="20"/>
                <w:lang w:val="es-GT" w:eastAsia="es-GT"/>
              </w:rPr>
            </w:pPr>
            <w:r w:rsidRPr="0055170C">
              <w:rPr>
                <w:rFonts w:ascii="CG Times" w:hAnsi="CG Times"/>
                <w:b/>
                <w:bCs/>
                <w:sz w:val="22"/>
                <w:szCs w:val="20"/>
                <w:lang w:val="es-GT" w:eastAsia="es-GT"/>
              </w:rPr>
              <w:t>Absolutas</w:t>
            </w:r>
          </w:p>
        </w:tc>
        <w:tc>
          <w:tcPr>
            <w:tcW w:w="1134" w:type="dxa"/>
            <w:tcBorders>
              <w:top w:val="single" w:sz="4" w:space="0" w:color="auto"/>
              <w:left w:val="nil"/>
              <w:bottom w:val="single" w:sz="4" w:space="0" w:color="auto"/>
              <w:right w:val="single" w:sz="8" w:space="0" w:color="auto"/>
            </w:tcBorders>
            <w:shd w:val="clear" w:color="auto" w:fill="00B0F0"/>
            <w:noWrap/>
            <w:vAlign w:val="center"/>
            <w:hideMark/>
          </w:tcPr>
          <w:p w14:paraId="23E73A31" w14:textId="77777777" w:rsidR="002474C2" w:rsidRPr="0055170C" w:rsidRDefault="002474C2" w:rsidP="00D56E1A">
            <w:pPr>
              <w:jc w:val="center"/>
              <w:rPr>
                <w:rFonts w:ascii="CG Times" w:hAnsi="CG Times"/>
                <w:b/>
                <w:bCs/>
                <w:sz w:val="22"/>
                <w:szCs w:val="20"/>
                <w:lang w:val="es-GT" w:eastAsia="es-GT"/>
              </w:rPr>
            </w:pPr>
            <w:r w:rsidRPr="0055170C">
              <w:rPr>
                <w:rFonts w:ascii="CG Times" w:hAnsi="CG Times"/>
                <w:b/>
                <w:bCs/>
                <w:sz w:val="22"/>
                <w:szCs w:val="20"/>
                <w:lang w:val="es-GT" w:eastAsia="es-GT"/>
              </w:rPr>
              <w:t>Relativas</w:t>
            </w:r>
          </w:p>
        </w:tc>
      </w:tr>
      <w:tr w:rsidR="002474C2" w:rsidRPr="006F529B" w14:paraId="79908A95"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1C95C276" w14:textId="77777777" w:rsidR="002474C2" w:rsidRPr="006F529B" w:rsidRDefault="002474C2" w:rsidP="00D56E1A">
            <w:pPr>
              <w:rPr>
                <w:rFonts w:ascii="CG Times" w:hAnsi="CG Times"/>
                <w:b/>
                <w:bCs/>
                <w:sz w:val="20"/>
                <w:szCs w:val="20"/>
                <w:lang w:val="es-GT" w:eastAsia="es-GT"/>
              </w:rPr>
            </w:pPr>
            <w:r w:rsidRPr="006F529B">
              <w:rPr>
                <w:rFonts w:ascii="CG Times" w:hAnsi="CG Times"/>
                <w:b/>
                <w:bCs/>
                <w:sz w:val="20"/>
                <w:szCs w:val="20"/>
                <w:lang w:val="es-GT" w:eastAsia="es-GT"/>
              </w:rPr>
              <w:t>Ingresos Totales</w:t>
            </w:r>
          </w:p>
        </w:tc>
        <w:tc>
          <w:tcPr>
            <w:tcW w:w="1134" w:type="dxa"/>
            <w:tcBorders>
              <w:top w:val="nil"/>
              <w:left w:val="single" w:sz="4" w:space="0" w:color="auto"/>
              <w:bottom w:val="nil"/>
              <w:right w:val="single" w:sz="4" w:space="0" w:color="auto"/>
            </w:tcBorders>
            <w:shd w:val="clear" w:color="000000" w:fill="FFFFFF"/>
            <w:noWrap/>
            <w:vAlign w:val="bottom"/>
            <w:hideMark/>
          </w:tcPr>
          <w:p w14:paraId="3851E20A"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44,656.8</w:t>
            </w:r>
          </w:p>
        </w:tc>
        <w:tc>
          <w:tcPr>
            <w:tcW w:w="1134" w:type="dxa"/>
            <w:tcBorders>
              <w:top w:val="nil"/>
              <w:left w:val="nil"/>
              <w:bottom w:val="nil"/>
              <w:right w:val="single" w:sz="4" w:space="0" w:color="auto"/>
            </w:tcBorders>
            <w:shd w:val="clear" w:color="000000" w:fill="FFFFFF"/>
            <w:noWrap/>
            <w:vAlign w:val="bottom"/>
            <w:hideMark/>
          </w:tcPr>
          <w:p w14:paraId="385963D0"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48,328.5</w:t>
            </w:r>
          </w:p>
        </w:tc>
        <w:tc>
          <w:tcPr>
            <w:tcW w:w="1276" w:type="dxa"/>
            <w:tcBorders>
              <w:top w:val="nil"/>
              <w:left w:val="nil"/>
              <w:bottom w:val="nil"/>
              <w:right w:val="single" w:sz="4" w:space="0" w:color="auto"/>
            </w:tcBorders>
            <w:shd w:val="clear" w:color="000000" w:fill="FFFFFF"/>
            <w:noWrap/>
            <w:vAlign w:val="bottom"/>
            <w:hideMark/>
          </w:tcPr>
          <w:p w14:paraId="5856F5A8"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3,671.7</w:t>
            </w:r>
          </w:p>
        </w:tc>
        <w:tc>
          <w:tcPr>
            <w:tcW w:w="1134" w:type="dxa"/>
            <w:tcBorders>
              <w:top w:val="nil"/>
              <w:left w:val="nil"/>
              <w:bottom w:val="nil"/>
              <w:right w:val="single" w:sz="8" w:space="0" w:color="auto"/>
            </w:tcBorders>
            <w:shd w:val="clear" w:color="000000" w:fill="FFFFFF"/>
            <w:noWrap/>
            <w:vAlign w:val="bottom"/>
            <w:hideMark/>
          </w:tcPr>
          <w:p w14:paraId="1B1B18BB"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8.2%</w:t>
            </w:r>
          </w:p>
        </w:tc>
      </w:tr>
      <w:tr w:rsidR="002474C2" w:rsidRPr="006F529B" w14:paraId="171E4E23"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39216F5D" w14:textId="77777777" w:rsidR="002474C2" w:rsidRPr="006F529B" w:rsidRDefault="002474C2" w:rsidP="00D56E1A">
            <w:pPr>
              <w:ind w:firstLineChars="100" w:firstLine="200"/>
              <w:rPr>
                <w:rFonts w:ascii="CG Times" w:hAnsi="CG Times"/>
                <w:sz w:val="20"/>
                <w:szCs w:val="20"/>
                <w:lang w:val="es-GT" w:eastAsia="es-GT"/>
              </w:rPr>
            </w:pPr>
            <w:r w:rsidRPr="006F529B">
              <w:rPr>
                <w:rFonts w:ascii="CG Times" w:hAnsi="CG Times"/>
                <w:sz w:val="20"/>
                <w:szCs w:val="20"/>
                <w:lang w:val="es-GT" w:eastAsia="es-GT"/>
              </w:rPr>
              <w:t>Ingresos Corrientes</w:t>
            </w:r>
          </w:p>
        </w:tc>
        <w:tc>
          <w:tcPr>
            <w:tcW w:w="1134" w:type="dxa"/>
            <w:tcBorders>
              <w:top w:val="nil"/>
              <w:left w:val="single" w:sz="4" w:space="0" w:color="auto"/>
              <w:bottom w:val="nil"/>
              <w:right w:val="single" w:sz="4" w:space="0" w:color="auto"/>
            </w:tcBorders>
            <w:shd w:val="clear" w:color="000000" w:fill="FFFFFF"/>
            <w:noWrap/>
            <w:vAlign w:val="bottom"/>
            <w:hideMark/>
          </w:tcPr>
          <w:p w14:paraId="52BA18B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44,603.0</w:t>
            </w:r>
          </w:p>
        </w:tc>
        <w:tc>
          <w:tcPr>
            <w:tcW w:w="1134" w:type="dxa"/>
            <w:tcBorders>
              <w:top w:val="nil"/>
              <w:left w:val="nil"/>
              <w:bottom w:val="nil"/>
              <w:right w:val="single" w:sz="4" w:space="0" w:color="auto"/>
            </w:tcBorders>
            <w:shd w:val="clear" w:color="000000" w:fill="FFFFFF"/>
            <w:noWrap/>
            <w:vAlign w:val="bottom"/>
            <w:hideMark/>
          </w:tcPr>
          <w:p w14:paraId="48537E86"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48,296.6</w:t>
            </w:r>
          </w:p>
        </w:tc>
        <w:tc>
          <w:tcPr>
            <w:tcW w:w="1276" w:type="dxa"/>
            <w:tcBorders>
              <w:top w:val="nil"/>
              <w:left w:val="nil"/>
              <w:bottom w:val="nil"/>
              <w:right w:val="single" w:sz="4" w:space="0" w:color="auto"/>
            </w:tcBorders>
            <w:shd w:val="clear" w:color="000000" w:fill="FFFFFF"/>
            <w:noWrap/>
            <w:vAlign w:val="bottom"/>
            <w:hideMark/>
          </w:tcPr>
          <w:p w14:paraId="4629A42F"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3,693.5</w:t>
            </w:r>
          </w:p>
        </w:tc>
        <w:tc>
          <w:tcPr>
            <w:tcW w:w="1134" w:type="dxa"/>
            <w:tcBorders>
              <w:top w:val="nil"/>
              <w:left w:val="nil"/>
              <w:bottom w:val="nil"/>
              <w:right w:val="single" w:sz="8" w:space="0" w:color="auto"/>
            </w:tcBorders>
            <w:shd w:val="clear" w:color="000000" w:fill="FFFFFF"/>
            <w:noWrap/>
            <w:vAlign w:val="bottom"/>
            <w:hideMark/>
          </w:tcPr>
          <w:p w14:paraId="468C802E"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8.3%</w:t>
            </w:r>
          </w:p>
        </w:tc>
      </w:tr>
      <w:tr w:rsidR="002474C2" w:rsidRPr="006F529B" w14:paraId="44CC1D6A"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00A85E00" w14:textId="77777777" w:rsidR="002474C2" w:rsidRPr="006F529B" w:rsidRDefault="002474C2" w:rsidP="00D56E1A">
            <w:pPr>
              <w:ind w:firstLineChars="200" w:firstLine="400"/>
              <w:rPr>
                <w:rFonts w:ascii="CG Times" w:hAnsi="CG Times"/>
                <w:sz w:val="20"/>
                <w:szCs w:val="20"/>
                <w:lang w:val="es-GT" w:eastAsia="es-GT"/>
              </w:rPr>
            </w:pPr>
            <w:r w:rsidRPr="006F529B">
              <w:rPr>
                <w:rFonts w:ascii="CG Times" w:hAnsi="CG Times"/>
                <w:sz w:val="20"/>
                <w:szCs w:val="20"/>
                <w:lang w:val="es-GT" w:eastAsia="es-GT"/>
              </w:rPr>
              <w:t>Ingresos Tributarios</w:t>
            </w:r>
          </w:p>
        </w:tc>
        <w:tc>
          <w:tcPr>
            <w:tcW w:w="1134" w:type="dxa"/>
            <w:tcBorders>
              <w:top w:val="nil"/>
              <w:left w:val="single" w:sz="4" w:space="0" w:color="auto"/>
              <w:bottom w:val="nil"/>
              <w:right w:val="single" w:sz="4" w:space="0" w:color="auto"/>
            </w:tcBorders>
            <w:shd w:val="clear" w:color="000000" w:fill="FFFFFF"/>
            <w:noWrap/>
            <w:vAlign w:val="bottom"/>
            <w:hideMark/>
          </w:tcPr>
          <w:p w14:paraId="562ACBD6"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42,287.0</w:t>
            </w:r>
          </w:p>
        </w:tc>
        <w:tc>
          <w:tcPr>
            <w:tcW w:w="1134" w:type="dxa"/>
            <w:tcBorders>
              <w:top w:val="nil"/>
              <w:left w:val="nil"/>
              <w:bottom w:val="nil"/>
              <w:right w:val="single" w:sz="4" w:space="0" w:color="auto"/>
            </w:tcBorders>
            <w:shd w:val="clear" w:color="000000" w:fill="FFFFFF"/>
            <w:noWrap/>
            <w:vAlign w:val="bottom"/>
            <w:hideMark/>
          </w:tcPr>
          <w:p w14:paraId="42DAC688"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46,247.5</w:t>
            </w:r>
          </w:p>
        </w:tc>
        <w:tc>
          <w:tcPr>
            <w:tcW w:w="1276" w:type="dxa"/>
            <w:tcBorders>
              <w:top w:val="nil"/>
              <w:left w:val="nil"/>
              <w:bottom w:val="nil"/>
              <w:right w:val="single" w:sz="4" w:space="0" w:color="auto"/>
            </w:tcBorders>
            <w:shd w:val="clear" w:color="000000" w:fill="FFFFFF"/>
            <w:noWrap/>
            <w:vAlign w:val="bottom"/>
            <w:hideMark/>
          </w:tcPr>
          <w:p w14:paraId="5DFF2306"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3,960.5</w:t>
            </w:r>
          </w:p>
        </w:tc>
        <w:tc>
          <w:tcPr>
            <w:tcW w:w="1134" w:type="dxa"/>
            <w:tcBorders>
              <w:top w:val="nil"/>
              <w:left w:val="nil"/>
              <w:bottom w:val="nil"/>
              <w:right w:val="single" w:sz="8" w:space="0" w:color="auto"/>
            </w:tcBorders>
            <w:shd w:val="clear" w:color="000000" w:fill="FFFFFF"/>
            <w:noWrap/>
            <w:vAlign w:val="bottom"/>
            <w:hideMark/>
          </w:tcPr>
          <w:p w14:paraId="1FEF924B"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9.4%</w:t>
            </w:r>
          </w:p>
        </w:tc>
      </w:tr>
      <w:tr w:rsidR="002474C2" w:rsidRPr="006F529B" w14:paraId="68195BD3"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65914100"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Impuestos Directos</w:t>
            </w:r>
          </w:p>
        </w:tc>
        <w:tc>
          <w:tcPr>
            <w:tcW w:w="1134" w:type="dxa"/>
            <w:tcBorders>
              <w:top w:val="nil"/>
              <w:left w:val="single" w:sz="4" w:space="0" w:color="auto"/>
              <w:bottom w:val="nil"/>
              <w:right w:val="single" w:sz="4" w:space="0" w:color="auto"/>
            </w:tcBorders>
            <w:shd w:val="clear" w:color="000000" w:fill="FFFFFF"/>
            <w:noWrap/>
            <w:vAlign w:val="bottom"/>
            <w:hideMark/>
          </w:tcPr>
          <w:p w14:paraId="10778082"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15,398.2</w:t>
            </w:r>
          </w:p>
        </w:tc>
        <w:tc>
          <w:tcPr>
            <w:tcW w:w="1134" w:type="dxa"/>
            <w:tcBorders>
              <w:top w:val="nil"/>
              <w:left w:val="nil"/>
              <w:bottom w:val="nil"/>
              <w:right w:val="single" w:sz="4" w:space="0" w:color="auto"/>
            </w:tcBorders>
            <w:shd w:val="clear" w:color="000000" w:fill="FFFFFF"/>
            <w:noWrap/>
            <w:vAlign w:val="bottom"/>
            <w:hideMark/>
          </w:tcPr>
          <w:p w14:paraId="5389B718"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17,339.5</w:t>
            </w:r>
          </w:p>
        </w:tc>
        <w:tc>
          <w:tcPr>
            <w:tcW w:w="1276" w:type="dxa"/>
            <w:tcBorders>
              <w:top w:val="nil"/>
              <w:left w:val="nil"/>
              <w:bottom w:val="nil"/>
              <w:right w:val="single" w:sz="4" w:space="0" w:color="auto"/>
            </w:tcBorders>
            <w:shd w:val="clear" w:color="000000" w:fill="FFFFFF"/>
            <w:noWrap/>
            <w:vAlign w:val="bottom"/>
            <w:hideMark/>
          </w:tcPr>
          <w:p w14:paraId="6541F293"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1,941.3</w:t>
            </w:r>
          </w:p>
        </w:tc>
        <w:tc>
          <w:tcPr>
            <w:tcW w:w="1134" w:type="dxa"/>
            <w:tcBorders>
              <w:top w:val="nil"/>
              <w:left w:val="nil"/>
              <w:bottom w:val="nil"/>
              <w:right w:val="single" w:sz="8" w:space="0" w:color="auto"/>
            </w:tcBorders>
            <w:shd w:val="clear" w:color="000000" w:fill="FFFFFF"/>
            <w:noWrap/>
            <w:vAlign w:val="bottom"/>
            <w:hideMark/>
          </w:tcPr>
          <w:p w14:paraId="2E03EFF5"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12.6%</w:t>
            </w:r>
          </w:p>
        </w:tc>
      </w:tr>
      <w:tr w:rsidR="002474C2" w:rsidRPr="006F529B" w14:paraId="733F61B3"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2FE494FB"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Impuestos Indirectos</w:t>
            </w:r>
          </w:p>
        </w:tc>
        <w:tc>
          <w:tcPr>
            <w:tcW w:w="1134" w:type="dxa"/>
            <w:tcBorders>
              <w:top w:val="nil"/>
              <w:left w:val="single" w:sz="4" w:space="0" w:color="auto"/>
              <w:bottom w:val="nil"/>
              <w:right w:val="single" w:sz="4" w:space="0" w:color="auto"/>
            </w:tcBorders>
            <w:shd w:val="clear" w:color="000000" w:fill="FFFFFF"/>
            <w:noWrap/>
            <w:vAlign w:val="bottom"/>
            <w:hideMark/>
          </w:tcPr>
          <w:p w14:paraId="6F34272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26,888.8</w:t>
            </w:r>
          </w:p>
        </w:tc>
        <w:tc>
          <w:tcPr>
            <w:tcW w:w="1134" w:type="dxa"/>
            <w:tcBorders>
              <w:top w:val="nil"/>
              <w:left w:val="nil"/>
              <w:bottom w:val="nil"/>
              <w:right w:val="single" w:sz="4" w:space="0" w:color="auto"/>
            </w:tcBorders>
            <w:shd w:val="clear" w:color="000000" w:fill="FFFFFF"/>
            <w:noWrap/>
            <w:vAlign w:val="bottom"/>
            <w:hideMark/>
          </w:tcPr>
          <w:p w14:paraId="3ECF6920"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28,908.1</w:t>
            </w:r>
          </w:p>
        </w:tc>
        <w:tc>
          <w:tcPr>
            <w:tcW w:w="1276" w:type="dxa"/>
            <w:tcBorders>
              <w:top w:val="nil"/>
              <w:left w:val="nil"/>
              <w:bottom w:val="nil"/>
              <w:right w:val="single" w:sz="4" w:space="0" w:color="auto"/>
            </w:tcBorders>
            <w:shd w:val="clear" w:color="000000" w:fill="FFFFFF"/>
            <w:noWrap/>
            <w:vAlign w:val="bottom"/>
            <w:hideMark/>
          </w:tcPr>
          <w:p w14:paraId="3600B5A3"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2,019.2</w:t>
            </w:r>
          </w:p>
        </w:tc>
        <w:tc>
          <w:tcPr>
            <w:tcW w:w="1134" w:type="dxa"/>
            <w:tcBorders>
              <w:top w:val="nil"/>
              <w:left w:val="nil"/>
              <w:bottom w:val="nil"/>
              <w:right w:val="single" w:sz="8" w:space="0" w:color="auto"/>
            </w:tcBorders>
            <w:shd w:val="clear" w:color="000000" w:fill="FFFFFF"/>
            <w:noWrap/>
            <w:vAlign w:val="bottom"/>
            <w:hideMark/>
          </w:tcPr>
          <w:p w14:paraId="5444ECDB"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7.5%</w:t>
            </w:r>
          </w:p>
        </w:tc>
      </w:tr>
      <w:tr w:rsidR="002474C2" w:rsidRPr="006F529B" w14:paraId="741DA434"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61940F8E" w14:textId="77777777" w:rsidR="002474C2" w:rsidRPr="006F529B" w:rsidRDefault="002474C2" w:rsidP="00D56E1A">
            <w:pPr>
              <w:ind w:firstLineChars="200" w:firstLine="400"/>
              <w:rPr>
                <w:rFonts w:ascii="CG Times" w:hAnsi="CG Times"/>
                <w:sz w:val="20"/>
                <w:szCs w:val="20"/>
                <w:lang w:val="es-GT" w:eastAsia="es-GT"/>
              </w:rPr>
            </w:pPr>
            <w:r w:rsidRPr="006F529B">
              <w:rPr>
                <w:rFonts w:ascii="CG Times" w:hAnsi="CG Times"/>
                <w:sz w:val="20"/>
                <w:szCs w:val="20"/>
                <w:lang w:val="es-GT" w:eastAsia="es-GT"/>
              </w:rPr>
              <w:t>No Tributarios y Transferencias</w:t>
            </w:r>
          </w:p>
        </w:tc>
        <w:tc>
          <w:tcPr>
            <w:tcW w:w="1134" w:type="dxa"/>
            <w:tcBorders>
              <w:top w:val="nil"/>
              <w:left w:val="single" w:sz="4" w:space="0" w:color="auto"/>
              <w:bottom w:val="nil"/>
              <w:right w:val="single" w:sz="4" w:space="0" w:color="auto"/>
            </w:tcBorders>
            <w:shd w:val="clear" w:color="000000" w:fill="FFFFFF"/>
            <w:noWrap/>
            <w:vAlign w:val="bottom"/>
            <w:hideMark/>
          </w:tcPr>
          <w:p w14:paraId="08259A6C"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2,316.0</w:t>
            </w:r>
          </w:p>
        </w:tc>
        <w:tc>
          <w:tcPr>
            <w:tcW w:w="1134" w:type="dxa"/>
            <w:tcBorders>
              <w:top w:val="nil"/>
              <w:left w:val="nil"/>
              <w:bottom w:val="nil"/>
              <w:right w:val="single" w:sz="4" w:space="0" w:color="auto"/>
            </w:tcBorders>
            <w:shd w:val="clear" w:color="000000" w:fill="FFFFFF"/>
            <w:noWrap/>
            <w:vAlign w:val="bottom"/>
            <w:hideMark/>
          </w:tcPr>
          <w:p w14:paraId="25A1E0ED"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2,049.0</w:t>
            </w:r>
          </w:p>
        </w:tc>
        <w:tc>
          <w:tcPr>
            <w:tcW w:w="1276" w:type="dxa"/>
            <w:tcBorders>
              <w:top w:val="nil"/>
              <w:left w:val="nil"/>
              <w:bottom w:val="nil"/>
              <w:right w:val="single" w:sz="4" w:space="0" w:color="auto"/>
            </w:tcBorders>
            <w:shd w:val="clear" w:color="000000" w:fill="FFFFFF"/>
            <w:noWrap/>
            <w:vAlign w:val="bottom"/>
            <w:hideMark/>
          </w:tcPr>
          <w:p w14:paraId="4E3EA6B5"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-267.0</w:t>
            </w:r>
          </w:p>
        </w:tc>
        <w:tc>
          <w:tcPr>
            <w:tcW w:w="1134" w:type="dxa"/>
            <w:tcBorders>
              <w:top w:val="nil"/>
              <w:left w:val="nil"/>
              <w:bottom w:val="nil"/>
              <w:right w:val="single" w:sz="8" w:space="0" w:color="auto"/>
            </w:tcBorders>
            <w:shd w:val="clear" w:color="000000" w:fill="FFFFFF"/>
            <w:noWrap/>
            <w:vAlign w:val="bottom"/>
            <w:hideMark/>
          </w:tcPr>
          <w:p w14:paraId="548E59F3"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-11.5%</w:t>
            </w:r>
          </w:p>
        </w:tc>
      </w:tr>
      <w:tr w:rsidR="002474C2" w:rsidRPr="006F529B" w14:paraId="1582F58F"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3031526E"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Contribuciones a la Seguridad Social</w:t>
            </w:r>
          </w:p>
        </w:tc>
        <w:tc>
          <w:tcPr>
            <w:tcW w:w="1134" w:type="dxa"/>
            <w:tcBorders>
              <w:top w:val="nil"/>
              <w:left w:val="single" w:sz="4" w:space="0" w:color="auto"/>
              <w:bottom w:val="nil"/>
              <w:right w:val="single" w:sz="4" w:space="0" w:color="auto"/>
            </w:tcBorders>
            <w:shd w:val="clear" w:color="000000" w:fill="FFFFFF"/>
            <w:noWrap/>
            <w:vAlign w:val="bottom"/>
            <w:hideMark/>
          </w:tcPr>
          <w:p w14:paraId="6F342365"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1,351.3</w:t>
            </w:r>
          </w:p>
        </w:tc>
        <w:tc>
          <w:tcPr>
            <w:tcW w:w="1134" w:type="dxa"/>
            <w:tcBorders>
              <w:top w:val="nil"/>
              <w:left w:val="nil"/>
              <w:bottom w:val="nil"/>
              <w:right w:val="single" w:sz="4" w:space="0" w:color="auto"/>
            </w:tcBorders>
            <w:shd w:val="clear" w:color="000000" w:fill="FFFFFF"/>
            <w:noWrap/>
            <w:vAlign w:val="bottom"/>
            <w:hideMark/>
          </w:tcPr>
          <w:p w14:paraId="3E3EC6F0"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1,025.6</w:t>
            </w:r>
          </w:p>
        </w:tc>
        <w:tc>
          <w:tcPr>
            <w:tcW w:w="1276" w:type="dxa"/>
            <w:tcBorders>
              <w:top w:val="nil"/>
              <w:left w:val="nil"/>
              <w:bottom w:val="nil"/>
              <w:right w:val="single" w:sz="4" w:space="0" w:color="auto"/>
            </w:tcBorders>
            <w:shd w:val="clear" w:color="000000" w:fill="FFFFFF"/>
            <w:noWrap/>
            <w:vAlign w:val="bottom"/>
            <w:hideMark/>
          </w:tcPr>
          <w:p w14:paraId="0962B8BC"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-325.7</w:t>
            </w:r>
          </w:p>
        </w:tc>
        <w:tc>
          <w:tcPr>
            <w:tcW w:w="1134" w:type="dxa"/>
            <w:tcBorders>
              <w:top w:val="nil"/>
              <w:left w:val="nil"/>
              <w:bottom w:val="nil"/>
              <w:right w:val="single" w:sz="8" w:space="0" w:color="auto"/>
            </w:tcBorders>
            <w:shd w:val="clear" w:color="000000" w:fill="FFFFFF"/>
            <w:noWrap/>
            <w:vAlign w:val="bottom"/>
            <w:hideMark/>
          </w:tcPr>
          <w:p w14:paraId="2B55CC14"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-24.1%</w:t>
            </w:r>
          </w:p>
        </w:tc>
      </w:tr>
      <w:tr w:rsidR="002474C2" w:rsidRPr="006F529B" w14:paraId="6A4948AD"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5C131DB4"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Donaciones</w:t>
            </w:r>
          </w:p>
        </w:tc>
        <w:tc>
          <w:tcPr>
            <w:tcW w:w="1134" w:type="dxa"/>
            <w:tcBorders>
              <w:top w:val="nil"/>
              <w:left w:val="single" w:sz="4" w:space="0" w:color="auto"/>
              <w:bottom w:val="nil"/>
              <w:right w:val="single" w:sz="4" w:space="0" w:color="auto"/>
            </w:tcBorders>
            <w:shd w:val="clear" w:color="000000" w:fill="FFFFFF"/>
            <w:noWrap/>
            <w:vAlign w:val="bottom"/>
            <w:hideMark/>
          </w:tcPr>
          <w:p w14:paraId="6467696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26.9</w:t>
            </w:r>
          </w:p>
        </w:tc>
        <w:tc>
          <w:tcPr>
            <w:tcW w:w="1134" w:type="dxa"/>
            <w:tcBorders>
              <w:top w:val="nil"/>
              <w:left w:val="nil"/>
              <w:bottom w:val="nil"/>
              <w:right w:val="single" w:sz="4" w:space="0" w:color="auto"/>
            </w:tcBorders>
            <w:shd w:val="clear" w:color="000000" w:fill="FFFFFF"/>
            <w:noWrap/>
            <w:vAlign w:val="bottom"/>
            <w:hideMark/>
          </w:tcPr>
          <w:p w14:paraId="6E43FE57"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17.0</w:t>
            </w:r>
          </w:p>
        </w:tc>
        <w:tc>
          <w:tcPr>
            <w:tcW w:w="1276" w:type="dxa"/>
            <w:tcBorders>
              <w:top w:val="nil"/>
              <w:left w:val="nil"/>
              <w:bottom w:val="nil"/>
              <w:right w:val="single" w:sz="4" w:space="0" w:color="auto"/>
            </w:tcBorders>
            <w:shd w:val="clear" w:color="000000" w:fill="FFFFFF"/>
            <w:noWrap/>
            <w:vAlign w:val="bottom"/>
            <w:hideMark/>
          </w:tcPr>
          <w:p w14:paraId="418152F4"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-9.8</w:t>
            </w:r>
          </w:p>
        </w:tc>
        <w:tc>
          <w:tcPr>
            <w:tcW w:w="1134" w:type="dxa"/>
            <w:tcBorders>
              <w:top w:val="nil"/>
              <w:left w:val="nil"/>
              <w:bottom w:val="nil"/>
              <w:right w:val="single" w:sz="8" w:space="0" w:color="auto"/>
            </w:tcBorders>
            <w:shd w:val="clear" w:color="000000" w:fill="FFFFFF"/>
            <w:noWrap/>
            <w:vAlign w:val="bottom"/>
            <w:hideMark/>
          </w:tcPr>
          <w:p w14:paraId="19584484"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-36.6%</w:t>
            </w:r>
          </w:p>
        </w:tc>
      </w:tr>
      <w:tr w:rsidR="002474C2" w:rsidRPr="006F529B" w14:paraId="55F8FE0A"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1876150D"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Otros</w:t>
            </w:r>
          </w:p>
        </w:tc>
        <w:tc>
          <w:tcPr>
            <w:tcW w:w="1134" w:type="dxa"/>
            <w:tcBorders>
              <w:top w:val="nil"/>
              <w:left w:val="single" w:sz="4" w:space="0" w:color="auto"/>
              <w:bottom w:val="nil"/>
              <w:right w:val="single" w:sz="4" w:space="0" w:color="auto"/>
            </w:tcBorders>
            <w:shd w:val="clear" w:color="000000" w:fill="FFFFFF"/>
            <w:noWrap/>
            <w:vAlign w:val="bottom"/>
            <w:hideMark/>
          </w:tcPr>
          <w:p w14:paraId="05126566"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937.9</w:t>
            </w:r>
          </w:p>
        </w:tc>
        <w:tc>
          <w:tcPr>
            <w:tcW w:w="1134" w:type="dxa"/>
            <w:tcBorders>
              <w:top w:val="nil"/>
              <w:left w:val="nil"/>
              <w:bottom w:val="nil"/>
              <w:right w:val="single" w:sz="4" w:space="0" w:color="auto"/>
            </w:tcBorders>
            <w:shd w:val="clear" w:color="000000" w:fill="FFFFFF"/>
            <w:noWrap/>
            <w:vAlign w:val="bottom"/>
            <w:hideMark/>
          </w:tcPr>
          <w:p w14:paraId="2DC8AD15"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1,006.4</w:t>
            </w:r>
          </w:p>
        </w:tc>
        <w:tc>
          <w:tcPr>
            <w:tcW w:w="1276" w:type="dxa"/>
            <w:tcBorders>
              <w:top w:val="nil"/>
              <w:left w:val="nil"/>
              <w:bottom w:val="nil"/>
              <w:right w:val="single" w:sz="4" w:space="0" w:color="auto"/>
            </w:tcBorders>
            <w:shd w:val="clear" w:color="000000" w:fill="FFFFFF"/>
            <w:noWrap/>
            <w:vAlign w:val="bottom"/>
            <w:hideMark/>
          </w:tcPr>
          <w:p w14:paraId="06A4CCDC"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68.5</w:t>
            </w:r>
          </w:p>
        </w:tc>
        <w:tc>
          <w:tcPr>
            <w:tcW w:w="1134" w:type="dxa"/>
            <w:tcBorders>
              <w:top w:val="nil"/>
              <w:left w:val="nil"/>
              <w:bottom w:val="nil"/>
              <w:right w:val="single" w:sz="8" w:space="0" w:color="auto"/>
            </w:tcBorders>
            <w:shd w:val="clear" w:color="000000" w:fill="FFFFFF"/>
            <w:noWrap/>
            <w:vAlign w:val="bottom"/>
            <w:hideMark/>
          </w:tcPr>
          <w:p w14:paraId="7B53B94F"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7.3%</w:t>
            </w:r>
          </w:p>
        </w:tc>
      </w:tr>
      <w:tr w:rsidR="002474C2" w:rsidRPr="006F529B" w14:paraId="4CA18B0B"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4C36A6AA" w14:textId="77777777" w:rsidR="002474C2" w:rsidRPr="006F529B" w:rsidRDefault="002474C2" w:rsidP="00D56E1A">
            <w:pPr>
              <w:ind w:firstLineChars="100" w:firstLine="200"/>
              <w:rPr>
                <w:rFonts w:ascii="CG Times" w:hAnsi="CG Times"/>
                <w:sz w:val="20"/>
                <w:szCs w:val="20"/>
                <w:lang w:val="es-GT" w:eastAsia="es-GT"/>
              </w:rPr>
            </w:pPr>
            <w:r w:rsidRPr="006F529B">
              <w:rPr>
                <w:rFonts w:ascii="CG Times" w:hAnsi="CG Times"/>
                <w:sz w:val="20"/>
                <w:szCs w:val="20"/>
                <w:lang w:val="es-GT" w:eastAsia="es-GT"/>
              </w:rPr>
              <w:t>Ingresos de Capital</w:t>
            </w:r>
          </w:p>
        </w:tc>
        <w:tc>
          <w:tcPr>
            <w:tcW w:w="1134" w:type="dxa"/>
            <w:tcBorders>
              <w:top w:val="nil"/>
              <w:left w:val="single" w:sz="4" w:space="0" w:color="auto"/>
              <w:bottom w:val="nil"/>
              <w:right w:val="single" w:sz="4" w:space="0" w:color="auto"/>
            </w:tcBorders>
            <w:shd w:val="clear" w:color="000000" w:fill="FFFFFF"/>
            <w:noWrap/>
            <w:vAlign w:val="bottom"/>
            <w:hideMark/>
          </w:tcPr>
          <w:p w14:paraId="67A4AA36"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53.8</w:t>
            </w:r>
          </w:p>
        </w:tc>
        <w:tc>
          <w:tcPr>
            <w:tcW w:w="1134" w:type="dxa"/>
            <w:tcBorders>
              <w:top w:val="nil"/>
              <w:left w:val="nil"/>
              <w:bottom w:val="nil"/>
              <w:right w:val="single" w:sz="4" w:space="0" w:color="auto"/>
            </w:tcBorders>
            <w:shd w:val="clear" w:color="000000" w:fill="FFFFFF"/>
            <w:noWrap/>
            <w:vAlign w:val="bottom"/>
            <w:hideMark/>
          </w:tcPr>
          <w:p w14:paraId="3322CD62"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32.0</w:t>
            </w:r>
          </w:p>
        </w:tc>
        <w:tc>
          <w:tcPr>
            <w:tcW w:w="1276" w:type="dxa"/>
            <w:tcBorders>
              <w:top w:val="nil"/>
              <w:left w:val="nil"/>
              <w:bottom w:val="nil"/>
              <w:right w:val="single" w:sz="4" w:space="0" w:color="auto"/>
            </w:tcBorders>
            <w:shd w:val="clear" w:color="000000" w:fill="FFFFFF"/>
            <w:noWrap/>
            <w:vAlign w:val="bottom"/>
            <w:hideMark/>
          </w:tcPr>
          <w:p w14:paraId="592DF46E"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-21.8</w:t>
            </w:r>
          </w:p>
        </w:tc>
        <w:tc>
          <w:tcPr>
            <w:tcW w:w="1134" w:type="dxa"/>
            <w:tcBorders>
              <w:top w:val="nil"/>
              <w:left w:val="nil"/>
              <w:bottom w:val="nil"/>
              <w:right w:val="single" w:sz="8" w:space="0" w:color="auto"/>
            </w:tcBorders>
            <w:shd w:val="clear" w:color="000000" w:fill="FFFFFF"/>
            <w:noWrap/>
            <w:vAlign w:val="bottom"/>
            <w:hideMark/>
          </w:tcPr>
          <w:p w14:paraId="5306F2E8"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-40.6%</w:t>
            </w:r>
          </w:p>
        </w:tc>
      </w:tr>
      <w:tr w:rsidR="002474C2" w:rsidRPr="006F529B" w14:paraId="1276C94D"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6C5FF9E3" w14:textId="77777777" w:rsidR="002474C2" w:rsidRPr="006F529B" w:rsidRDefault="002474C2" w:rsidP="00D56E1A">
            <w:pPr>
              <w:rPr>
                <w:rFonts w:ascii="CG Times" w:hAnsi="CG Times"/>
                <w:b/>
                <w:bCs/>
                <w:sz w:val="20"/>
                <w:szCs w:val="20"/>
                <w:lang w:val="es-GT" w:eastAsia="es-GT"/>
              </w:rPr>
            </w:pPr>
            <w:r w:rsidRPr="006F529B">
              <w:rPr>
                <w:rFonts w:ascii="CG Times" w:hAnsi="CG Times"/>
                <w:b/>
                <w:bCs/>
                <w:sz w:val="20"/>
                <w:szCs w:val="20"/>
                <w:lang w:val="es-GT" w:eastAsia="es-GT"/>
              </w:rPr>
              <w:t>Gastos Totales</w:t>
            </w:r>
          </w:p>
        </w:tc>
        <w:tc>
          <w:tcPr>
            <w:tcW w:w="1134" w:type="dxa"/>
            <w:tcBorders>
              <w:top w:val="nil"/>
              <w:left w:val="single" w:sz="4" w:space="0" w:color="auto"/>
              <w:bottom w:val="nil"/>
              <w:right w:val="single" w:sz="4" w:space="0" w:color="auto"/>
            </w:tcBorders>
            <w:shd w:val="clear" w:color="000000" w:fill="FFFFFF"/>
            <w:noWrap/>
            <w:vAlign w:val="bottom"/>
            <w:hideMark/>
          </w:tcPr>
          <w:p w14:paraId="390271F3"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46,088.0</w:t>
            </w:r>
          </w:p>
        </w:tc>
        <w:tc>
          <w:tcPr>
            <w:tcW w:w="1134" w:type="dxa"/>
            <w:tcBorders>
              <w:top w:val="nil"/>
              <w:left w:val="nil"/>
              <w:bottom w:val="nil"/>
              <w:right w:val="single" w:sz="4" w:space="0" w:color="auto"/>
            </w:tcBorders>
            <w:shd w:val="clear" w:color="000000" w:fill="FFFFFF"/>
            <w:noWrap/>
            <w:vAlign w:val="bottom"/>
            <w:hideMark/>
          </w:tcPr>
          <w:p w14:paraId="2DDA541D"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53,450.8</w:t>
            </w:r>
          </w:p>
        </w:tc>
        <w:tc>
          <w:tcPr>
            <w:tcW w:w="1276" w:type="dxa"/>
            <w:tcBorders>
              <w:top w:val="nil"/>
              <w:left w:val="nil"/>
              <w:bottom w:val="nil"/>
              <w:right w:val="single" w:sz="4" w:space="0" w:color="auto"/>
            </w:tcBorders>
            <w:shd w:val="clear" w:color="000000" w:fill="FFFFFF"/>
            <w:noWrap/>
            <w:vAlign w:val="bottom"/>
            <w:hideMark/>
          </w:tcPr>
          <w:p w14:paraId="2BD9B866"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7,362.8</w:t>
            </w:r>
          </w:p>
        </w:tc>
        <w:tc>
          <w:tcPr>
            <w:tcW w:w="1134" w:type="dxa"/>
            <w:tcBorders>
              <w:top w:val="nil"/>
              <w:left w:val="nil"/>
              <w:bottom w:val="nil"/>
              <w:right w:val="single" w:sz="8" w:space="0" w:color="auto"/>
            </w:tcBorders>
            <w:shd w:val="clear" w:color="000000" w:fill="FFFFFF"/>
            <w:noWrap/>
            <w:vAlign w:val="bottom"/>
            <w:hideMark/>
          </w:tcPr>
          <w:p w14:paraId="5A83EF0E"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16.0%</w:t>
            </w:r>
          </w:p>
        </w:tc>
      </w:tr>
      <w:tr w:rsidR="002474C2" w:rsidRPr="006F529B" w14:paraId="539C53BF"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721540F2" w14:textId="77777777" w:rsidR="002474C2" w:rsidRPr="006F529B" w:rsidRDefault="002474C2" w:rsidP="00D56E1A">
            <w:pPr>
              <w:ind w:firstLineChars="100" w:firstLine="200"/>
              <w:rPr>
                <w:rFonts w:ascii="CG Times" w:hAnsi="CG Times"/>
                <w:sz w:val="20"/>
                <w:szCs w:val="20"/>
                <w:lang w:val="es-GT" w:eastAsia="es-GT"/>
              </w:rPr>
            </w:pPr>
            <w:r w:rsidRPr="006F529B">
              <w:rPr>
                <w:rFonts w:ascii="CG Times" w:hAnsi="CG Times"/>
                <w:sz w:val="20"/>
                <w:szCs w:val="20"/>
                <w:lang w:val="es-GT" w:eastAsia="es-GT"/>
              </w:rPr>
              <w:t>Gastos Corrientes</w:t>
            </w:r>
          </w:p>
        </w:tc>
        <w:tc>
          <w:tcPr>
            <w:tcW w:w="1134" w:type="dxa"/>
            <w:tcBorders>
              <w:top w:val="nil"/>
              <w:left w:val="single" w:sz="4" w:space="0" w:color="auto"/>
              <w:bottom w:val="nil"/>
              <w:right w:val="single" w:sz="4" w:space="0" w:color="auto"/>
            </w:tcBorders>
            <w:shd w:val="clear" w:color="000000" w:fill="FFFFFF"/>
            <w:noWrap/>
            <w:vAlign w:val="bottom"/>
            <w:hideMark/>
          </w:tcPr>
          <w:p w14:paraId="34698A09"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38,292.7</w:t>
            </w:r>
          </w:p>
        </w:tc>
        <w:tc>
          <w:tcPr>
            <w:tcW w:w="1134" w:type="dxa"/>
            <w:tcBorders>
              <w:top w:val="nil"/>
              <w:left w:val="nil"/>
              <w:bottom w:val="nil"/>
              <w:right w:val="single" w:sz="4" w:space="0" w:color="auto"/>
            </w:tcBorders>
            <w:shd w:val="clear" w:color="000000" w:fill="FFFFFF"/>
            <w:noWrap/>
            <w:vAlign w:val="bottom"/>
            <w:hideMark/>
          </w:tcPr>
          <w:p w14:paraId="4FE15A81"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44,104.8</w:t>
            </w:r>
          </w:p>
        </w:tc>
        <w:tc>
          <w:tcPr>
            <w:tcW w:w="1276" w:type="dxa"/>
            <w:tcBorders>
              <w:top w:val="nil"/>
              <w:left w:val="nil"/>
              <w:bottom w:val="nil"/>
              <w:right w:val="single" w:sz="4" w:space="0" w:color="auto"/>
            </w:tcBorders>
            <w:shd w:val="clear" w:color="000000" w:fill="FFFFFF"/>
            <w:noWrap/>
            <w:vAlign w:val="bottom"/>
            <w:hideMark/>
          </w:tcPr>
          <w:p w14:paraId="1359DB89"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5,812.0</w:t>
            </w:r>
          </w:p>
        </w:tc>
        <w:tc>
          <w:tcPr>
            <w:tcW w:w="1134" w:type="dxa"/>
            <w:tcBorders>
              <w:top w:val="nil"/>
              <w:left w:val="nil"/>
              <w:bottom w:val="nil"/>
              <w:right w:val="single" w:sz="8" w:space="0" w:color="auto"/>
            </w:tcBorders>
            <w:shd w:val="clear" w:color="000000" w:fill="FFFFFF"/>
            <w:noWrap/>
            <w:vAlign w:val="bottom"/>
            <w:hideMark/>
          </w:tcPr>
          <w:p w14:paraId="7947D3FC"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15.2%</w:t>
            </w:r>
          </w:p>
        </w:tc>
      </w:tr>
      <w:tr w:rsidR="002474C2" w:rsidRPr="006F529B" w14:paraId="48B30594"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2F45A120" w14:textId="77777777" w:rsidR="002474C2" w:rsidRPr="006F529B" w:rsidRDefault="002474C2" w:rsidP="00D56E1A">
            <w:pPr>
              <w:ind w:firstLineChars="200" w:firstLine="400"/>
              <w:rPr>
                <w:rFonts w:ascii="CG Times" w:hAnsi="CG Times"/>
                <w:sz w:val="20"/>
                <w:szCs w:val="20"/>
                <w:lang w:val="es-GT" w:eastAsia="es-GT"/>
              </w:rPr>
            </w:pPr>
            <w:r w:rsidRPr="006F529B">
              <w:rPr>
                <w:rFonts w:ascii="CG Times" w:hAnsi="CG Times"/>
                <w:sz w:val="20"/>
                <w:szCs w:val="20"/>
                <w:lang w:val="es-GT" w:eastAsia="es-GT"/>
              </w:rPr>
              <w:t>Intereses</w:t>
            </w:r>
          </w:p>
        </w:tc>
        <w:tc>
          <w:tcPr>
            <w:tcW w:w="1134" w:type="dxa"/>
            <w:tcBorders>
              <w:top w:val="nil"/>
              <w:left w:val="single" w:sz="4" w:space="0" w:color="auto"/>
              <w:bottom w:val="nil"/>
              <w:right w:val="single" w:sz="4" w:space="0" w:color="auto"/>
            </w:tcBorders>
            <w:shd w:val="clear" w:color="000000" w:fill="FFFFFF"/>
            <w:noWrap/>
            <w:vAlign w:val="bottom"/>
            <w:hideMark/>
          </w:tcPr>
          <w:p w14:paraId="1D432131"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5,877.9</w:t>
            </w:r>
          </w:p>
        </w:tc>
        <w:tc>
          <w:tcPr>
            <w:tcW w:w="1134" w:type="dxa"/>
            <w:tcBorders>
              <w:top w:val="nil"/>
              <w:left w:val="nil"/>
              <w:bottom w:val="nil"/>
              <w:right w:val="single" w:sz="4" w:space="0" w:color="auto"/>
            </w:tcBorders>
            <w:shd w:val="clear" w:color="000000" w:fill="FFFFFF"/>
            <w:noWrap/>
            <w:vAlign w:val="bottom"/>
            <w:hideMark/>
          </w:tcPr>
          <w:p w14:paraId="335D231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6,421.7</w:t>
            </w:r>
          </w:p>
        </w:tc>
        <w:tc>
          <w:tcPr>
            <w:tcW w:w="1276" w:type="dxa"/>
            <w:tcBorders>
              <w:top w:val="nil"/>
              <w:left w:val="nil"/>
              <w:bottom w:val="nil"/>
              <w:right w:val="single" w:sz="4" w:space="0" w:color="auto"/>
            </w:tcBorders>
            <w:shd w:val="clear" w:color="000000" w:fill="FFFFFF"/>
            <w:noWrap/>
            <w:vAlign w:val="bottom"/>
            <w:hideMark/>
          </w:tcPr>
          <w:p w14:paraId="17186F2B"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543.7</w:t>
            </w:r>
          </w:p>
        </w:tc>
        <w:tc>
          <w:tcPr>
            <w:tcW w:w="1134" w:type="dxa"/>
            <w:tcBorders>
              <w:top w:val="nil"/>
              <w:left w:val="nil"/>
              <w:bottom w:val="nil"/>
              <w:right w:val="single" w:sz="8" w:space="0" w:color="auto"/>
            </w:tcBorders>
            <w:shd w:val="clear" w:color="000000" w:fill="FFFFFF"/>
            <w:noWrap/>
            <w:vAlign w:val="bottom"/>
            <w:hideMark/>
          </w:tcPr>
          <w:p w14:paraId="1F6D8C7B"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9.3%</w:t>
            </w:r>
          </w:p>
        </w:tc>
      </w:tr>
      <w:tr w:rsidR="002474C2" w:rsidRPr="006F529B" w14:paraId="0422798B"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16E9CFC4" w14:textId="77777777" w:rsidR="002474C2" w:rsidRPr="006F529B" w:rsidRDefault="002474C2" w:rsidP="00D56E1A">
            <w:pPr>
              <w:ind w:firstLineChars="100" w:firstLine="200"/>
              <w:rPr>
                <w:rFonts w:ascii="CG Times" w:hAnsi="CG Times"/>
                <w:sz w:val="20"/>
                <w:szCs w:val="20"/>
                <w:lang w:val="es-GT" w:eastAsia="es-GT"/>
              </w:rPr>
            </w:pPr>
            <w:r w:rsidRPr="006F529B">
              <w:rPr>
                <w:rFonts w:ascii="CG Times" w:hAnsi="CG Times"/>
                <w:sz w:val="20"/>
                <w:szCs w:val="20"/>
                <w:lang w:val="es-GT" w:eastAsia="es-GT"/>
              </w:rPr>
              <w:t>Gastos de Capital</w:t>
            </w:r>
          </w:p>
        </w:tc>
        <w:tc>
          <w:tcPr>
            <w:tcW w:w="1134" w:type="dxa"/>
            <w:tcBorders>
              <w:top w:val="nil"/>
              <w:left w:val="single" w:sz="4" w:space="0" w:color="auto"/>
              <w:bottom w:val="nil"/>
              <w:right w:val="single" w:sz="4" w:space="0" w:color="auto"/>
            </w:tcBorders>
            <w:shd w:val="clear" w:color="000000" w:fill="FFFFFF"/>
            <w:noWrap/>
            <w:vAlign w:val="bottom"/>
            <w:hideMark/>
          </w:tcPr>
          <w:p w14:paraId="22D4533E"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7,795.2</w:t>
            </w:r>
          </w:p>
        </w:tc>
        <w:tc>
          <w:tcPr>
            <w:tcW w:w="1134" w:type="dxa"/>
            <w:tcBorders>
              <w:top w:val="nil"/>
              <w:left w:val="nil"/>
              <w:bottom w:val="nil"/>
              <w:right w:val="single" w:sz="4" w:space="0" w:color="auto"/>
            </w:tcBorders>
            <w:shd w:val="clear" w:color="000000" w:fill="FFFFFF"/>
            <w:noWrap/>
            <w:vAlign w:val="bottom"/>
            <w:hideMark/>
          </w:tcPr>
          <w:p w14:paraId="468A3E7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9,346.0</w:t>
            </w:r>
          </w:p>
        </w:tc>
        <w:tc>
          <w:tcPr>
            <w:tcW w:w="1276" w:type="dxa"/>
            <w:tcBorders>
              <w:top w:val="nil"/>
              <w:left w:val="nil"/>
              <w:bottom w:val="nil"/>
              <w:right w:val="single" w:sz="4" w:space="0" w:color="auto"/>
            </w:tcBorders>
            <w:shd w:val="clear" w:color="000000" w:fill="FFFFFF"/>
            <w:noWrap/>
            <w:vAlign w:val="bottom"/>
            <w:hideMark/>
          </w:tcPr>
          <w:p w14:paraId="408B96B4"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1,550.8</w:t>
            </w:r>
          </w:p>
        </w:tc>
        <w:tc>
          <w:tcPr>
            <w:tcW w:w="1134" w:type="dxa"/>
            <w:tcBorders>
              <w:top w:val="nil"/>
              <w:left w:val="nil"/>
              <w:bottom w:val="nil"/>
              <w:right w:val="single" w:sz="8" w:space="0" w:color="auto"/>
            </w:tcBorders>
            <w:shd w:val="clear" w:color="000000" w:fill="FFFFFF"/>
            <w:noWrap/>
            <w:vAlign w:val="bottom"/>
            <w:hideMark/>
          </w:tcPr>
          <w:p w14:paraId="46213CB3"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19.9%</w:t>
            </w:r>
          </w:p>
        </w:tc>
      </w:tr>
      <w:tr w:rsidR="002474C2" w:rsidRPr="006F529B" w14:paraId="0ABF4128"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399D8D28" w14:textId="77777777" w:rsidR="002474C2" w:rsidRPr="006F529B" w:rsidRDefault="002474C2" w:rsidP="00D56E1A">
            <w:pPr>
              <w:rPr>
                <w:rFonts w:ascii="CG Times" w:hAnsi="CG Times"/>
                <w:b/>
                <w:bCs/>
                <w:sz w:val="20"/>
                <w:szCs w:val="20"/>
                <w:lang w:val="es-GT" w:eastAsia="es-GT"/>
              </w:rPr>
            </w:pPr>
            <w:r w:rsidRPr="006F529B">
              <w:rPr>
                <w:rFonts w:ascii="CG Times" w:hAnsi="CG Times"/>
                <w:b/>
                <w:bCs/>
                <w:sz w:val="20"/>
                <w:szCs w:val="20"/>
                <w:lang w:val="es-GT" w:eastAsia="es-GT"/>
              </w:rPr>
              <w:t>Resultado en Cuenta Corriente</w:t>
            </w:r>
          </w:p>
        </w:tc>
        <w:tc>
          <w:tcPr>
            <w:tcW w:w="1134" w:type="dxa"/>
            <w:tcBorders>
              <w:top w:val="nil"/>
              <w:left w:val="single" w:sz="4" w:space="0" w:color="auto"/>
              <w:bottom w:val="nil"/>
              <w:right w:val="single" w:sz="4" w:space="0" w:color="auto"/>
            </w:tcBorders>
            <w:shd w:val="clear" w:color="000000" w:fill="FFFFFF"/>
            <w:noWrap/>
            <w:vAlign w:val="bottom"/>
            <w:hideMark/>
          </w:tcPr>
          <w:p w14:paraId="6C3D1231"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6,310.3</w:t>
            </w:r>
          </w:p>
        </w:tc>
        <w:tc>
          <w:tcPr>
            <w:tcW w:w="1134" w:type="dxa"/>
            <w:tcBorders>
              <w:top w:val="nil"/>
              <w:left w:val="nil"/>
              <w:bottom w:val="nil"/>
              <w:right w:val="single" w:sz="4" w:space="0" w:color="auto"/>
            </w:tcBorders>
            <w:shd w:val="clear" w:color="000000" w:fill="FFFFFF"/>
            <w:noWrap/>
            <w:vAlign w:val="bottom"/>
            <w:hideMark/>
          </w:tcPr>
          <w:p w14:paraId="7DEFD9C2"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4,191.8</w:t>
            </w:r>
          </w:p>
        </w:tc>
        <w:tc>
          <w:tcPr>
            <w:tcW w:w="1276" w:type="dxa"/>
            <w:tcBorders>
              <w:top w:val="nil"/>
              <w:left w:val="nil"/>
              <w:bottom w:val="nil"/>
              <w:right w:val="single" w:sz="4" w:space="0" w:color="auto"/>
            </w:tcBorders>
            <w:shd w:val="clear" w:color="000000" w:fill="FFFFFF"/>
            <w:noWrap/>
            <w:vAlign w:val="bottom"/>
            <w:hideMark/>
          </w:tcPr>
          <w:p w14:paraId="7581E055"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-2,118.5</w:t>
            </w:r>
          </w:p>
        </w:tc>
        <w:tc>
          <w:tcPr>
            <w:tcW w:w="1134" w:type="dxa"/>
            <w:tcBorders>
              <w:top w:val="nil"/>
              <w:left w:val="nil"/>
              <w:bottom w:val="nil"/>
              <w:right w:val="single" w:sz="8" w:space="0" w:color="auto"/>
            </w:tcBorders>
            <w:shd w:val="clear" w:color="000000" w:fill="FFFFFF"/>
            <w:noWrap/>
            <w:vAlign w:val="bottom"/>
            <w:hideMark/>
          </w:tcPr>
          <w:p w14:paraId="12881CA2"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-33.6%</w:t>
            </w:r>
          </w:p>
        </w:tc>
      </w:tr>
      <w:tr w:rsidR="002474C2" w:rsidRPr="006F529B" w14:paraId="004ABDC0"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663347E3" w14:textId="77777777" w:rsidR="002474C2" w:rsidRPr="006F529B" w:rsidRDefault="002474C2" w:rsidP="00D56E1A">
            <w:pPr>
              <w:rPr>
                <w:rFonts w:ascii="CG Times" w:hAnsi="CG Times"/>
                <w:b/>
                <w:bCs/>
                <w:sz w:val="20"/>
                <w:szCs w:val="20"/>
                <w:lang w:val="es-GT" w:eastAsia="es-GT"/>
              </w:rPr>
            </w:pPr>
            <w:r w:rsidRPr="006F529B">
              <w:rPr>
                <w:rFonts w:ascii="CG Times" w:hAnsi="CG Times"/>
                <w:b/>
                <w:bCs/>
                <w:sz w:val="20"/>
                <w:szCs w:val="20"/>
                <w:lang w:val="es-GT" w:eastAsia="es-GT"/>
              </w:rPr>
              <w:t>Resultado Primario</w:t>
            </w:r>
          </w:p>
        </w:tc>
        <w:tc>
          <w:tcPr>
            <w:tcW w:w="1134" w:type="dxa"/>
            <w:tcBorders>
              <w:top w:val="nil"/>
              <w:left w:val="single" w:sz="4" w:space="0" w:color="auto"/>
              <w:bottom w:val="nil"/>
              <w:right w:val="single" w:sz="4" w:space="0" w:color="auto"/>
            </w:tcBorders>
            <w:shd w:val="clear" w:color="000000" w:fill="FFFFFF"/>
            <w:noWrap/>
            <w:vAlign w:val="bottom"/>
            <w:hideMark/>
          </w:tcPr>
          <w:p w14:paraId="5859BDAF"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4,446.8</w:t>
            </w:r>
          </w:p>
        </w:tc>
        <w:tc>
          <w:tcPr>
            <w:tcW w:w="1134" w:type="dxa"/>
            <w:tcBorders>
              <w:top w:val="nil"/>
              <w:left w:val="nil"/>
              <w:bottom w:val="nil"/>
              <w:right w:val="single" w:sz="4" w:space="0" w:color="auto"/>
            </w:tcBorders>
            <w:shd w:val="clear" w:color="000000" w:fill="FFFFFF"/>
            <w:noWrap/>
            <w:vAlign w:val="bottom"/>
            <w:hideMark/>
          </w:tcPr>
          <w:p w14:paraId="05CEC3D6"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1,299.4</w:t>
            </w:r>
          </w:p>
        </w:tc>
        <w:tc>
          <w:tcPr>
            <w:tcW w:w="1276" w:type="dxa"/>
            <w:tcBorders>
              <w:top w:val="nil"/>
              <w:left w:val="nil"/>
              <w:bottom w:val="nil"/>
              <w:right w:val="single" w:sz="4" w:space="0" w:color="auto"/>
            </w:tcBorders>
            <w:shd w:val="clear" w:color="000000" w:fill="FFFFFF"/>
            <w:noWrap/>
            <w:vAlign w:val="bottom"/>
            <w:hideMark/>
          </w:tcPr>
          <w:p w14:paraId="683B9360"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-3,147.4</w:t>
            </w:r>
          </w:p>
        </w:tc>
        <w:tc>
          <w:tcPr>
            <w:tcW w:w="1134" w:type="dxa"/>
            <w:tcBorders>
              <w:top w:val="nil"/>
              <w:left w:val="nil"/>
              <w:bottom w:val="nil"/>
              <w:right w:val="single" w:sz="8" w:space="0" w:color="auto"/>
            </w:tcBorders>
            <w:shd w:val="clear" w:color="000000" w:fill="FFFFFF"/>
            <w:noWrap/>
            <w:vAlign w:val="bottom"/>
            <w:hideMark/>
          </w:tcPr>
          <w:p w14:paraId="5091B146"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-70.8%</w:t>
            </w:r>
          </w:p>
        </w:tc>
      </w:tr>
      <w:tr w:rsidR="002474C2" w:rsidRPr="006F529B" w14:paraId="1D397E6F" w14:textId="77777777" w:rsidTr="00D56E1A">
        <w:trPr>
          <w:trHeight w:val="270"/>
          <w:jc w:val="center"/>
        </w:trPr>
        <w:tc>
          <w:tcPr>
            <w:tcW w:w="4243" w:type="dxa"/>
            <w:tcBorders>
              <w:top w:val="nil"/>
              <w:left w:val="single" w:sz="8" w:space="0" w:color="auto"/>
              <w:bottom w:val="single" w:sz="8" w:space="0" w:color="auto"/>
              <w:right w:val="nil"/>
            </w:tcBorders>
            <w:shd w:val="clear" w:color="000000" w:fill="FFFFFF"/>
            <w:noWrap/>
            <w:vAlign w:val="bottom"/>
            <w:hideMark/>
          </w:tcPr>
          <w:p w14:paraId="4E5E10C4" w14:textId="77777777" w:rsidR="002474C2" w:rsidRPr="006F529B" w:rsidRDefault="002474C2" w:rsidP="00D56E1A">
            <w:pPr>
              <w:rPr>
                <w:rFonts w:ascii="CG Times" w:hAnsi="CG Times"/>
                <w:b/>
                <w:bCs/>
                <w:sz w:val="20"/>
                <w:szCs w:val="20"/>
                <w:lang w:val="es-GT" w:eastAsia="es-GT"/>
              </w:rPr>
            </w:pPr>
            <w:r w:rsidRPr="006F529B">
              <w:rPr>
                <w:rFonts w:ascii="CG Times" w:hAnsi="CG Times"/>
                <w:b/>
                <w:bCs/>
                <w:sz w:val="20"/>
                <w:szCs w:val="20"/>
                <w:lang w:val="es-GT" w:eastAsia="es-GT"/>
              </w:rPr>
              <w:t>Resultado Presupuesta</w:t>
            </w:r>
            <w:r>
              <w:rPr>
                <w:rFonts w:ascii="CG Times" w:hAnsi="CG Times"/>
                <w:b/>
                <w:bCs/>
                <w:sz w:val="20"/>
                <w:szCs w:val="20"/>
                <w:lang w:val="es-GT" w:eastAsia="es-GT"/>
              </w:rPr>
              <w:t>rio</w:t>
            </w:r>
          </w:p>
        </w:tc>
        <w:tc>
          <w:tcPr>
            <w:tcW w:w="1134" w:type="dxa"/>
            <w:tcBorders>
              <w:top w:val="nil"/>
              <w:left w:val="single" w:sz="4" w:space="0" w:color="auto"/>
              <w:bottom w:val="single" w:sz="8" w:space="0" w:color="auto"/>
              <w:right w:val="single" w:sz="4" w:space="0" w:color="auto"/>
            </w:tcBorders>
            <w:shd w:val="clear" w:color="000000" w:fill="FFFFFF"/>
            <w:noWrap/>
            <w:vAlign w:val="bottom"/>
            <w:hideMark/>
          </w:tcPr>
          <w:p w14:paraId="09B61AE1"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-1,431.1</w:t>
            </w:r>
          </w:p>
        </w:tc>
        <w:tc>
          <w:tcPr>
            <w:tcW w:w="1134" w:type="dxa"/>
            <w:tcBorders>
              <w:top w:val="nil"/>
              <w:left w:val="nil"/>
              <w:bottom w:val="single" w:sz="8" w:space="0" w:color="auto"/>
              <w:right w:val="single" w:sz="4" w:space="0" w:color="auto"/>
            </w:tcBorders>
            <w:shd w:val="clear" w:color="000000" w:fill="FFFFFF"/>
            <w:noWrap/>
            <w:vAlign w:val="bottom"/>
            <w:hideMark/>
          </w:tcPr>
          <w:p w14:paraId="2A31EC47"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-5,122.2</w:t>
            </w:r>
          </w:p>
        </w:tc>
        <w:tc>
          <w:tcPr>
            <w:tcW w:w="1276" w:type="dxa"/>
            <w:tcBorders>
              <w:top w:val="nil"/>
              <w:left w:val="nil"/>
              <w:bottom w:val="single" w:sz="8" w:space="0" w:color="auto"/>
              <w:right w:val="single" w:sz="4" w:space="0" w:color="auto"/>
            </w:tcBorders>
            <w:shd w:val="clear" w:color="000000" w:fill="FFFFFF"/>
            <w:noWrap/>
            <w:vAlign w:val="bottom"/>
            <w:hideMark/>
          </w:tcPr>
          <w:p w14:paraId="58421EA8"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-3,691.1</w:t>
            </w:r>
          </w:p>
        </w:tc>
        <w:tc>
          <w:tcPr>
            <w:tcW w:w="1134" w:type="dxa"/>
            <w:tcBorders>
              <w:top w:val="nil"/>
              <w:left w:val="nil"/>
              <w:bottom w:val="single" w:sz="8" w:space="0" w:color="auto"/>
              <w:right w:val="single" w:sz="8" w:space="0" w:color="auto"/>
            </w:tcBorders>
            <w:shd w:val="clear" w:color="000000" w:fill="FFFFFF"/>
            <w:noWrap/>
            <w:vAlign w:val="bottom"/>
            <w:hideMark/>
          </w:tcPr>
          <w:p w14:paraId="7B9EFC14"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257.9%</w:t>
            </w:r>
          </w:p>
        </w:tc>
      </w:tr>
      <w:tr w:rsidR="002474C2" w:rsidRPr="006F529B" w14:paraId="7D66CEFE"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41B422D8" w14:textId="77777777" w:rsidR="002474C2" w:rsidRPr="006F529B" w:rsidRDefault="002474C2" w:rsidP="00D56E1A">
            <w:pPr>
              <w:rPr>
                <w:rFonts w:ascii="CG Times" w:hAnsi="CG Times"/>
                <w:b/>
                <w:bCs/>
                <w:sz w:val="20"/>
                <w:szCs w:val="20"/>
                <w:lang w:val="es-GT" w:eastAsia="es-GT"/>
              </w:rPr>
            </w:pPr>
            <w:r w:rsidRPr="006F529B">
              <w:rPr>
                <w:rFonts w:ascii="CG Times" w:hAnsi="CG Times"/>
                <w:b/>
                <w:bCs/>
                <w:sz w:val="20"/>
                <w:szCs w:val="20"/>
                <w:lang w:val="es-GT" w:eastAsia="es-GT"/>
              </w:rPr>
              <w:t>Financiamiento Total</w:t>
            </w:r>
          </w:p>
        </w:tc>
        <w:tc>
          <w:tcPr>
            <w:tcW w:w="1134" w:type="dxa"/>
            <w:tcBorders>
              <w:top w:val="nil"/>
              <w:left w:val="single" w:sz="4" w:space="0" w:color="auto"/>
              <w:bottom w:val="nil"/>
              <w:right w:val="single" w:sz="4" w:space="0" w:color="auto"/>
            </w:tcBorders>
            <w:shd w:val="clear" w:color="000000" w:fill="FFFFFF"/>
            <w:noWrap/>
            <w:vAlign w:val="bottom"/>
            <w:hideMark/>
          </w:tcPr>
          <w:p w14:paraId="36A98CFD"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1,431.1</w:t>
            </w:r>
          </w:p>
        </w:tc>
        <w:tc>
          <w:tcPr>
            <w:tcW w:w="1134" w:type="dxa"/>
            <w:tcBorders>
              <w:top w:val="nil"/>
              <w:left w:val="nil"/>
              <w:bottom w:val="nil"/>
              <w:right w:val="single" w:sz="4" w:space="0" w:color="auto"/>
            </w:tcBorders>
            <w:shd w:val="clear" w:color="000000" w:fill="FFFFFF"/>
            <w:noWrap/>
            <w:vAlign w:val="bottom"/>
            <w:hideMark/>
          </w:tcPr>
          <w:p w14:paraId="21929B8E"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5,122.2</w:t>
            </w:r>
          </w:p>
        </w:tc>
        <w:tc>
          <w:tcPr>
            <w:tcW w:w="1276" w:type="dxa"/>
            <w:tcBorders>
              <w:top w:val="nil"/>
              <w:left w:val="nil"/>
              <w:bottom w:val="nil"/>
              <w:right w:val="single" w:sz="4" w:space="0" w:color="auto"/>
            </w:tcBorders>
            <w:shd w:val="clear" w:color="000000" w:fill="FFFFFF"/>
            <w:noWrap/>
            <w:vAlign w:val="bottom"/>
            <w:hideMark/>
          </w:tcPr>
          <w:p w14:paraId="106661AB"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3,691.1</w:t>
            </w:r>
          </w:p>
        </w:tc>
        <w:tc>
          <w:tcPr>
            <w:tcW w:w="1134" w:type="dxa"/>
            <w:tcBorders>
              <w:top w:val="nil"/>
              <w:left w:val="nil"/>
              <w:bottom w:val="nil"/>
              <w:right w:val="single" w:sz="8" w:space="0" w:color="auto"/>
            </w:tcBorders>
            <w:shd w:val="clear" w:color="000000" w:fill="FFFFFF"/>
            <w:noWrap/>
            <w:vAlign w:val="bottom"/>
            <w:hideMark/>
          </w:tcPr>
          <w:p w14:paraId="42BD90BF"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257.9%</w:t>
            </w:r>
          </w:p>
        </w:tc>
      </w:tr>
      <w:tr w:rsidR="002474C2" w:rsidRPr="006F529B" w14:paraId="40A8C273"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6C1FDDC8" w14:textId="77777777" w:rsidR="002474C2" w:rsidRPr="006F529B" w:rsidRDefault="002474C2" w:rsidP="00D56E1A">
            <w:pPr>
              <w:ind w:firstLineChars="100" w:firstLine="201"/>
              <w:rPr>
                <w:rFonts w:ascii="CG Times" w:hAnsi="CG Times"/>
                <w:b/>
                <w:bCs/>
                <w:sz w:val="20"/>
                <w:szCs w:val="20"/>
                <w:lang w:val="es-GT" w:eastAsia="es-GT"/>
              </w:rPr>
            </w:pPr>
            <w:r w:rsidRPr="006F529B">
              <w:rPr>
                <w:rFonts w:ascii="CG Times" w:hAnsi="CG Times"/>
                <w:b/>
                <w:bCs/>
                <w:sz w:val="20"/>
                <w:szCs w:val="20"/>
                <w:lang w:val="es-GT" w:eastAsia="es-GT"/>
              </w:rPr>
              <w:t>Financiamiento Externo Neto</w:t>
            </w:r>
          </w:p>
        </w:tc>
        <w:tc>
          <w:tcPr>
            <w:tcW w:w="1134" w:type="dxa"/>
            <w:tcBorders>
              <w:top w:val="nil"/>
              <w:left w:val="single" w:sz="4" w:space="0" w:color="auto"/>
              <w:bottom w:val="nil"/>
              <w:right w:val="single" w:sz="4" w:space="0" w:color="auto"/>
            </w:tcBorders>
            <w:shd w:val="clear" w:color="000000" w:fill="FFFFFF"/>
            <w:noWrap/>
            <w:vAlign w:val="bottom"/>
            <w:hideMark/>
          </w:tcPr>
          <w:p w14:paraId="1D8C3712"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-6,566.9</w:t>
            </w:r>
          </w:p>
        </w:tc>
        <w:tc>
          <w:tcPr>
            <w:tcW w:w="1134" w:type="dxa"/>
            <w:tcBorders>
              <w:top w:val="nil"/>
              <w:left w:val="nil"/>
              <w:bottom w:val="nil"/>
              <w:right w:val="single" w:sz="4" w:space="0" w:color="auto"/>
            </w:tcBorders>
            <w:shd w:val="clear" w:color="000000" w:fill="FFFFFF"/>
            <w:noWrap/>
            <w:vAlign w:val="bottom"/>
            <w:hideMark/>
          </w:tcPr>
          <w:p w14:paraId="2729794B"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6,982.8</w:t>
            </w:r>
          </w:p>
        </w:tc>
        <w:tc>
          <w:tcPr>
            <w:tcW w:w="1276" w:type="dxa"/>
            <w:tcBorders>
              <w:top w:val="nil"/>
              <w:left w:val="nil"/>
              <w:bottom w:val="nil"/>
              <w:right w:val="single" w:sz="4" w:space="0" w:color="auto"/>
            </w:tcBorders>
            <w:shd w:val="clear" w:color="000000" w:fill="FFFFFF"/>
            <w:noWrap/>
            <w:vAlign w:val="bottom"/>
            <w:hideMark/>
          </w:tcPr>
          <w:p w14:paraId="7D1EFE38"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13,549.7</w:t>
            </w:r>
          </w:p>
        </w:tc>
        <w:tc>
          <w:tcPr>
            <w:tcW w:w="1134" w:type="dxa"/>
            <w:tcBorders>
              <w:top w:val="nil"/>
              <w:left w:val="nil"/>
              <w:bottom w:val="nil"/>
              <w:right w:val="single" w:sz="8" w:space="0" w:color="auto"/>
            </w:tcBorders>
            <w:shd w:val="clear" w:color="000000" w:fill="FFFFFF"/>
            <w:noWrap/>
            <w:vAlign w:val="bottom"/>
            <w:hideMark/>
          </w:tcPr>
          <w:p w14:paraId="290BB197"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-206.3%</w:t>
            </w:r>
          </w:p>
        </w:tc>
      </w:tr>
      <w:tr w:rsidR="002474C2" w:rsidRPr="006F529B" w14:paraId="0E5F7DB1"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25389264" w14:textId="77777777" w:rsidR="002474C2" w:rsidRPr="006F529B" w:rsidRDefault="002474C2" w:rsidP="00D56E1A">
            <w:pPr>
              <w:ind w:firstLineChars="200" w:firstLine="400"/>
              <w:rPr>
                <w:rFonts w:ascii="CG Times" w:hAnsi="CG Times"/>
                <w:sz w:val="20"/>
                <w:szCs w:val="20"/>
                <w:lang w:val="es-GT" w:eastAsia="es-GT"/>
              </w:rPr>
            </w:pPr>
            <w:r w:rsidRPr="006F529B">
              <w:rPr>
                <w:rFonts w:ascii="CG Times" w:hAnsi="CG Times"/>
                <w:sz w:val="20"/>
                <w:szCs w:val="20"/>
                <w:lang w:val="es-GT" w:eastAsia="es-GT"/>
              </w:rPr>
              <w:t>Préstamos</w:t>
            </w:r>
          </w:p>
        </w:tc>
        <w:tc>
          <w:tcPr>
            <w:tcW w:w="1134" w:type="dxa"/>
            <w:tcBorders>
              <w:top w:val="nil"/>
              <w:left w:val="single" w:sz="4" w:space="0" w:color="auto"/>
              <w:bottom w:val="nil"/>
              <w:right w:val="single" w:sz="4" w:space="0" w:color="auto"/>
            </w:tcBorders>
            <w:shd w:val="clear" w:color="000000" w:fill="FFFFFF"/>
            <w:noWrap/>
            <w:vAlign w:val="bottom"/>
            <w:hideMark/>
          </w:tcPr>
          <w:p w14:paraId="0654CD4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-1,086.3</w:t>
            </w:r>
          </w:p>
        </w:tc>
        <w:tc>
          <w:tcPr>
            <w:tcW w:w="1134" w:type="dxa"/>
            <w:tcBorders>
              <w:top w:val="nil"/>
              <w:left w:val="nil"/>
              <w:bottom w:val="nil"/>
              <w:right w:val="single" w:sz="4" w:space="0" w:color="auto"/>
            </w:tcBorders>
            <w:shd w:val="clear" w:color="000000" w:fill="FFFFFF"/>
            <w:noWrap/>
            <w:vAlign w:val="bottom"/>
            <w:hideMark/>
          </w:tcPr>
          <w:p w14:paraId="7E5443E1"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-850.4</w:t>
            </w:r>
          </w:p>
        </w:tc>
        <w:tc>
          <w:tcPr>
            <w:tcW w:w="1276" w:type="dxa"/>
            <w:tcBorders>
              <w:top w:val="nil"/>
              <w:left w:val="nil"/>
              <w:bottom w:val="nil"/>
              <w:right w:val="single" w:sz="4" w:space="0" w:color="auto"/>
            </w:tcBorders>
            <w:shd w:val="clear" w:color="000000" w:fill="FFFFFF"/>
            <w:noWrap/>
            <w:vAlign w:val="bottom"/>
            <w:hideMark/>
          </w:tcPr>
          <w:p w14:paraId="01BD1131"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235.9</w:t>
            </w:r>
          </w:p>
        </w:tc>
        <w:tc>
          <w:tcPr>
            <w:tcW w:w="1134" w:type="dxa"/>
            <w:tcBorders>
              <w:top w:val="nil"/>
              <w:left w:val="nil"/>
              <w:bottom w:val="nil"/>
              <w:right w:val="single" w:sz="8" w:space="0" w:color="auto"/>
            </w:tcBorders>
            <w:shd w:val="clear" w:color="000000" w:fill="FFFFFF"/>
            <w:noWrap/>
            <w:vAlign w:val="bottom"/>
            <w:hideMark/>
          </w:tcPr>
          <w:p w14:paraId="4D49416B"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-21.7%</w:t>
            </w:r>
          </w:p>
        </w:tc>
      </w:tr>
      <w:tr w:rsidR="002474C2" w:rsidRPr="006F529B" w14:paraId="18B9C449"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0065B54A"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 xml:space="preserve">Desembolsos  </w:t>
            </w:r>
          </w:p>
        </w:tc>
        <w:tc>
          <w:tcPr>
            <w:tcW w:w="1134" w:type="dxa"/>
            <w:tcBorders>
              <w:top w:val="nil"/>
              <w:left w:val="single" w:sz="4" w:space="0" w:color="auto"/>
              <w:bottom w:val="nil"/>
              <w:right w:val="single" w:sz="4" w:space="0" w:color="auto"/>
            </w:tcBorders>
            <w:shd w:val="clear" w:color="000000" w:fill="FFFFFF"/>
            <w:noWrap/>
            <w:vAlign w:val="bottom"/>
            <w:hideMark/>
          </w:tcPr>
          <w:p w14:paraId="58E87E05"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344.5</w:t>
            </w:r>
          </w:p>
        </w:tc>
        <w:tc>
          <w:tcPr>
            <w:tcW w:w="1134" w:type="dxa"/>
            <w:tcBorders>
              <w:top w:val="nil"/>
              <w:left w:val="nil"/>
              <w:bottom w:val="nil"/>
              <w:right w:val="single" w:sz="4" w:space="0" w:color="auto"/>
            </w:tcBorders>
            <w:shd w:val="clear" w:color="000000" w:fill="FFFFFF"/>
            <w:noWrap/>
            <w:vAlign w:val="bottom"/>
            <w:hideMark/>
          </w:tcPr>
          <w:p w14:paraId="6A37711D"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507.6</w:t>
            </w:r>
          </w:p>
        </w:tc>
        <w:tc>
          <w:tcPr>
            <w:tcW w:w="1276" w:type="dxa"/>
            <w:tcBorders>
              <w:top w:val="nil"/>
              <w:left w:val="nil"/>
              <w:bottom w:val="nil"/>
              <w:right w:val="single" w:sz="4" w:space="0" w:color="auto"/>
            </w:tcBorders>
            <w:shd w:val="clear" w:color="000000" w:fill="FFFFFF"/>
            <w:noWrap/>
            <w:vAlign w:val="bottom"/>
            <w:hideMark/>
          </w:tcPr>
          <w:p w14:paraId="6BFB51F4"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163.2</w:t>
            </w:r>
          </w:p>
        </w:tc>
        <w:tc>
          <w:tcPr>
            <w:tcW w:w="1134" w:type="dxa"/>
            <w:tcBorders>
              <w:top w:val="nil"/>
              <w:left w:val="nil"/>
              <w:bottom w:val="nil"/>
              <w:right w:val="single" w:sz="8" w:space="0" w:color="auto"/>
            </w:tcBorders>
            <w:shd w:val="clear" w:color="000000" w:fill="FFFFFF"/>
            <w:noWrap/>
            <w:vAlign w:val="bottom"/>
            <w:hideMark/>
          </w:tcPr>
          <w:p w14:paraId="2383F77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47.4%</w:t>
            </w:r>
          </w:p>
        </w:tc>
      </w:tr>
      <w:tr w:rsidR="002474C2" w:rsidRPr="006F529B" w14:paraId="0D119DD8"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29ABEA81"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Amortizaciones</w:t>
            </w:r>
          </w:p>
        </w:tc>
        <w:tc>
          <w:tcPr>
            <w:tcW w:w="1134" w:type="dxa"/>
            <w:tcBorders>
              <w:top w:val="nil"/>
              <w:left w:val="single" w:sz="4" w:space="0" w:color="auto"/>
              <w:bottom w:val="nil"/>
              <w:right w:val="single" w:sz="4" w:space="0" w:color="auto"/>
            </w:tcBorders>
            <w:shd w:val="clear" w:color="000000" w:fill="FFFFFF"/>
            <w:noWrap/>
            <w:vAlign w:val="bottom"/>
            <w:hideMark/>
          </w:tcPr>
          <w:p w14:paraId="4350235D"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1,430.8</w:t>
            </w:r>
          </w:p>
        </w:tc>
        <w:tc>
          <w:tcPr>
            <w:tcW w:w="1134" w:type="dxa"/>
            <w:tcBorders>
              <w:top w:val="nil"/>
              <w:left w:val="nil"/>
              <w:bottom w:val="nil"/>
              <w:right w:val="single" w:sz="4" w:space="0" w:color="auto"/>
            </w:tcBorders>
            <w:shd w:val="clear" w:color="000000" w:fill="FFFFFF"/>
            <w:noWrap/>
            <w:vAlign w:val="bottom"/>
            <w:hideMark/>
          </w:tcPr>
          <w:p w14:paraId="74699214"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1,358.1</w:t>
            </w:r>
          </w:p>
        </w:tc>
        <w:tc>
          <w:tcPr>
            <w:tcW w:w="1276" w:type="dxa"/>
            <w:tcBorders>
              <w:top w:val="nil"/>
              <w:left w:val="nil"/>
              <w:bottom w:val="nil"/>
              <w:right w:val="single" w:sz="4" w:space="0" w:color="auto"/>
            </w:tcBorders>
            <w:shd w:val="clear" w:color="000000" w:fill="FFFFFF"/>
            <w:noWrap/>
            <w:vAlign w:val="bottom"/>
            <w:hideMark/>
          </w:tcPr>
          <w:p w14:paraId="11160DAB"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-72.8</w:t>
            </w:r>
          </w:p>
        </w:tc>
        <w:tc>
          <w:tcPr>
            <w:tcW w:w="1134" w:type="dxa"/>
            <w:tcBorders>
              <w:top w:val="nil"/>
              <w:left w:val="nil"/>
              <w:bottom w:val="nil"/>
              <w:right w:val="single" w:sz="8" w:space="0" w:color="auto"/>
            </w:tcBorders>
            <w:shd w:val="clear" w:color="000000" w:fill="FFFFFF"/>
            <w:noWrap/>
            <w:vAlign w:val="bottom"/>
            <w:hideMark/>
          </w:tcPr>
          <w:p w14:paraId="16170B1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-5.1%</w:t>
            </w:r>
          </w:p>
        </w:tc>
      </w:tr>
      <w:tr w:rsidR="002474C2" w:rsidRPr="006F529B" w14:paraId="36FDEA92"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77E12030" w14:textId="77777777" w:rsidR="002474C2" w:rsidRPr="006F529B" w:rsidRDefault="002474C2" w:rsidP="00D56E1A">
            <w:pPr>
              <w:ind w:firstLineChars="200" w:firstLine="400"/>
              <w:rPr>
                <w:rFonts w:ascii="CG Times" w:hAnsi="CG Times"/>
                <w:sz w:val="20"/>
                <w:szCs w:val="20"/>
                <w:lang w:val="es-GT" w:eastAsia="es-GT"/>
              </w:rPr>
            </w:pPr>
            <w:r w:rsidRPr="006F529B">
              <w:rPr>
                <w:rFonts w:ascii="CG Times" w:hAnsi="CG Times"/>
                <w:sz w:val="20"/>
                <w:szCs w:val="20"/>
                <w:lang w:val="es-GT" w:eastAsia="es-GT"/>
              </w:rPr>
              <w:t>Negociación Neta de Bonos</w:t>
            </w:r>
          </w:p>
        </w:tc>
        <w:tc>
          <w:tcPr>
            <w:tcW w:w="1134" w:type="dxa"/>
            <w:tcBorders>
              <w:top w:val="nil"/>
              <w:left w:val="single" w:sz="4" w:space="0" w:color="auto"/>
              <w:bottom w:val="nil"/>
              <w:right w:val="single" w:sz="4" w:space="0" w:color="auto"/>
            </w:tcBorders>
            <w:shd w:val="clear" w:color="000000" w:fill="FFFFFF"/>
            <w:noWrap/>
            <w:vAlign w:val="bottom"/>
            <w:hideMark/>
          </w:tcPr>
          <w:p w14:paraId="129CBE89"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-5,480.6</w:t>
            </w:r>
          </w:p>
        </w:tc>
        <w:tc>
          <w:tcPr>
            <w:tcW w:w="1134" w:type="dxa"/>
            <w:tcBorders>
              <w:top w:val="nil"/>
              <w:left w:val="nil"/>
              <w:bottom w:val="nil"/>
              <w:right w:val="single" w:sz="4" w:space="0" w:color="auto"/>
            </w:tcBorders>
            <w:shd w:val="clear" w:color="000000" w:fill="FFFFFF"/>
            <w:noWrap/>
            <w:vAlign w:val="bottom"/>
            <w:hideMark/>
          </w:tcPr>
          <w:p w14:paraId="2246533B"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7,833.2</w:t>
            </w:r>
          </w:p>
        </w:tc>
        <w:tc>
          <w:tcPr>
            <w:tcW w:w="1276" w:type="dxa"/>
            <w:tcBorders>
              <w:top w:val="nil"/>
              <w:left w:val="nil"/>
              <w:bottom w:val="nil"/>
              <w:right w:val="single" w:sz="4" w:space="0" w:color="auto"/>
            </w:tcBorders>
            <w:shd w:val="clear" w:color="000000" w:fill="FFFFFF"/>
            <w:noWrap/>
            <w:vAlign w:val="bottom"/>
            <w:hideMark/>
          </w:tcPr>
          <w:p w14:paraId="7EF3C084"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13,313.8</w:t>
            </w:r>
          </w:p>
        </w:tc>
        <w:tc>
          <w:tcPr>
            <w:tcW w:w="1134" w:type="dxa"/>
            <w:tcBorders>
              <w:top w:val="nil"/>
              <w:left w:val="nil"/>
              <w:bottom w:val="nil"/>
              <w:right w:val="single" w:sz="8" w:space="0" w:color="auto"/>
            </w:tcBorders>
            <w:shd w:val="clear" w:color="000000" w:fill="FFFFFF"/>
            <w:noWrap/>
            <w:vAlign w:val="bottom"/>
            <w:hideMark/>
          </w:tcPr>
          <w:p w14:paraId="682D9019"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-242.9%</w:t>
            </w:r>
          </w:p>
        </w:tc>
      </w:tr>
      <w:tr w:rsidR="002474C2" w:rsidRPr="006F529B" w14:paraId="7E430AB0"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461CB490" w14:textId="77777777" w:rsidR="002474C2" w:rsidRPr="006F529B" w:rsidRDefault="002474C2" w:rsidP="00D56E1A">
            <w:pPr>
              <w:ind w:firstLineChars="100" w:firstLine="201"/>
              <w:rPr>
                <w:rFonts w:ascii="CG Times" w:hAnsi="CG Times"/>
                <w:b/>
                <w:bCs/>
                <w:sz w:val="20"/>
                <w:szCs w:val="20"/>
                <w:lang w:val="es-GT" w:eastAsia="es-GT"/>
              </w:rPr>
            </w:pPr>
            <w:r w:rsidRPr="006F529B">
              <w:rPr>
                <w:rFonts w:ascii="CG Times" w:hAnsi="CG Times"/>
                <w:b/>
                <w:bCs/>
                <w:sz w:val="20"/>
                <w:szCs w:val="20"/>
                <w:lang w:val="es-GT" w:eastAsia="es-GT"/>
              </w:rPr>
              <w:t>Financiamiento Interno Neto</w:t>
            </w:r>
          </w:p>
        </w:tc>
        <w:tc>
          <w:tcPr>
            <w:tcW w:w="1134" w:type="dxa"/>
            <w:tcBorders>
              <w:top w:val="nil"/>
              <w:left w:val="single" w:sz="4" w:space="0" w:color="auto"/>
              <w:bottom w:val="nil"/>
              <w:right w:val="single" w:sz="4" w:space="0" w:color="auto"/>
            </w:tcBorders>
            <w:shd w:val="clear" w:color="000000" w:fill="FFFFFF"/>
            <w:noWrap/>
            <w:vAlign w:val="bottom"/>
            <w:hideMark/>
          </w:tcPr>
          <w:p w14:paraId="5647C3C4"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7,998.0</w:t>
            </w:r>
          </w:p>
        </w:tc>
        <w:tc>
          <w:tcPr>
            <w:tcW w:w="1134" w:type="dxa"/>
            <w:tcBorders>
              <w:top w:val="nil"/>
              <w:left w:val="nil"/>
              <w:bottom w:val="nil"/>
              <w:right w:val="single" w:sz="4" w:space="0" w:color="auto"/>
            </w:tcBorders>
            <w:shd w:val="clear" w:color="000000" w:fill="FFFFFF"/>
            <w:noWrap/>
            <w:vAlign w:val="bottom"/>
            <w:hideMark/>
          </w:tcPr>
          <w:p w14:paraId="1A2E0CAC" w14:textId="77777777" w:rsidR="002474C2" w:rsidRPr="006F529B" w:rsidRDefault="002474C2" w:rsidP="00D56E1A">
            <w:pPr>
              <w:jc w:val="right"/>
              <w:rPr>
                <w:rFonts w:ascii="CG Times" w:hAnsi="CG Times"/>
                <w:b/>
                <w:bCs/>
                <w:sz w:val="20"/>
                <w:szCs w:val="20"/>
                <w:lang w:val="es-GT" w:eastAsia="es-GT"/>
              </w:rPr>
            </w:pPr>
            <w:r w:rsidRPr="006F529B">
              <w:rPr>
                <w:rFonts w:ascii="CG Times" w:hAnsi="CG Times"/>
                <w:b/>
                <w:bCs/>
                <w:sz w:val="20"/>
                <w:szCs w:val="20"/>
                <w:lang w:val="es-GT" w:eastAsia="es-GT"/>
              </w:rPr>
              <w:t>-1,860.6</w:t>
            </w:r>
          </w:p>
        </w:tc>
        <w:tc>
          <w:tcPr>
            <w:tcW w:w="1276" w:type="dxa"/>
            <w:tcBorders>
              <w:top w:val="nil"/>
              <w:left w:val="nil"/>
              <w:bottom w:val="nil"/>
              <w:right w:val="single" w:sz="4" w:space="0" w:color="auto"/>
            </w:tcBorders>
            <w:shd w:val="clear" w:color="000000" w:fill="FFFFFF"/>
            <w:noWrap/>
            <w:vAlign w:val="bottom"/>
            <w:hideMark/>
          </w:tcPr>
          <w:p w14:paraId="73A8ED7C" w14:textId="77777777" w:rsidR="002474C2" w:rsidRPr="009E0BEB" w:rsidRDefault="002474C2" w:rsidP="00D56E1A">
            <w:pPr>
              <w:jc w:val="right"/>
              <w:rPr>
                <w:rFonts w:ascii="CG Times" w:hAnsi="CG Times"/>
                <w:b/>
                <w:sz w:val="20"/>
                <w:szCs w:val="20"/>
                <w:lang w:val="es-GT" w:eastAsia="es-GT"/>
              </w:rPr>
            </w:pPr>
            <w:r w:rsidRPr="009E0BEB">
              <w:rPr>
                <w:rFonts w:ascii="CG Times" w:hAnsi="CG Times"/>
                <w:b/>
                <w:sz w:val="20"/>
                <w:szCs w:val="20"/>
                <w:lang w:val="es-GT" w:eastAsia="es-GT"/>
              </w:rPr>
              <w:t>-9,858.6</w:t>
            </w:r>
          </w:p>
        </w:tc>
        <w:tc>
          <w:tcPr>
            <w:tcW w:w="1134" w:type="dxa"/>
            <w:tcBorders>
              <w:top w:val="nil"/>
              <w:left w:val="nil"/>
              <w:bottom w:val="nil"/>
              <w:right w:val="single" w:sz="8" w:space="0" w:color="auto"/>
            </w:tcBorders>
            <w:shd w:val="clear" w:color="000000" w:fill="FFFFFF"/>
            <w:noWrap/>
            <w:vAlign w:val="bottom"/>
            <w:hideMark/>
          </w:tcPr>
          <w:p w14:paraId="32ABA76F" w14:textId="77777777" w:rsidR="002474C2" w:rsidRPr="009E0BEB" w:rsidRDefault="002474C2" w:rsidP="00D56E1A">
            <w:pPr>
              <w:jc w:val="right"/>
              <w:rPr>
                <w:rFonts w:ascii="CG Times" w:hAnsi="CG Times"/>
                <w:b/>
                <w:sz w:val="20"/>
                <w:szCs w:val="20"/>
                <w:lang w:val="es-GT" w:eastAsia="es-GT"/>
              </w:rPr>
            </w:pPr>
            <w:r w:rsidRPr="009E0BEB">
              <w:rPr>
                <w:rFonts w:ascii="CG Times" w:hAnsi="CG Times"/>
                <w:b/>
                <w:sz w:val="20"/>
                <w:szCs w:val="20"/>
                <w:lang w:val="es-GT" w:eastAsia="es-GT"/>
              </w:rPr>
              <w:t>-123.3%</w:t>
            </w:r>
          </w:p>
        </w:tc>
      </w:tr>
      <w:tr w:rsidR="002474C2" w:rsidRPr="006F529B" w14:paraId="3EC6BF98"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6CFDF912" w14:textId="77777777" w:rsidR="002474C2" w:rsidRPr="006F529B" w:rsidRDefault="002474C2" w:rsidP="00D56E1A">
            <w:pPr>
              <w:ind w:firstLineChars="200" w:firstLine="400"/>
              <w:rPr>
                <w:rFonts w:ascii="CG Times" w:hAnsi="CG Times"/>
                <w:sz w:val="20"/>
                <w:szCs w:val="20"/>
                <w:lang w:val="es-GT" w:eastAsia="es-GT"/>
              </w:rPr>
            </w:pPr>
            <w:r w:rsidRPr="006F529B">
              <w:rPr>
                <w:rFonts w:ascii="CG Times" w:hAnsi="CG Times"/>
                <w:sz w:val="20"/>
                <w:szCs w:val="20"/>
                <w:lang w:val="es-GT" w:eastAsia="es-GT"/>
              </w:rPr>
              <w:t xml:space="preserve">Negociación Neta </w:t>
            </w:r>
          </w:p>
        </w:tc>
        <w:tc>
          <w:tcPr>
            <w:tcW w:w="1134" w:type="dxa"/>
            <w:tcBorders>
              <w:top w:val="nil"/>
              <w:left w:val="single" w:sz="4" w:space="0" w:color="auto"/>
              <w:bottom w:val="nil"/>
              <w:right w:val="single" w:sz="4" w:space="0" w:color="auto"/>
            </w:tcBorders>
            <w:shd w:val="clear" w:color="000000" w:fill="FFFFFF"/>
            <w:noWrap/>
            <w:vAlign w:val="bottom"/>
            <w:hideMark/>
          </w:tcPr>
          <w:p w14:paraId="6649208C"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6,316.3</w:t>
            </w:r>
          </w:p>
        </w:tc>
        <w:tc>
          <w:tcPr>
            <w:tcW w:w="1134" w:type="dxa"/>
            <w:tcBorders>
              <w:top w:val="nil"/>
              <w:left w:val="nil"/>
              <w:bottom w:val="nil"/>
              <w:right w:val="single" w:sz="4" w:space="0" w:color="auto"/>
            </w:tcBorders>
            <w:shd w:val="clear" w:color="000000" w:fill="FFFFFF"/>
            <w:noWrap/>
            <w:vAlign w:val="bottom"/>
            <w:hideMark/>
          </w:tcPr>
          <w:p w14:paraId="1E728230"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-1,932.2</w:t>
            </w:r>
          </w:p>
        </w:tc>
        <w:tc>
          <w:tcPr>
            <w:tcW w:w="1276" w:type="dxa"/>
            <w:tcBorders>
              <w:top w:val="nil"/>
              <w:left w:val="nil"/>
              <w:bottom w:val="nil"/>
              <w:right w:val="single" w:sz="4" w:space="0" w:color="auto"/>
            </w:tcBorders>
            <w:shd w:val="clear" w:color="000000" w:fill="FFFFFF"/>
            <w:noWrap/>
            <w:vAlign w:val="bottom"/>
            <w:hideMark/>
          </w:tcPr>
          <w:p w14:paraId="29F9316C"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-8,248.5</w:t>
            </w:r>
          </w:p>
        </w:tc>
        <w:tc>
          <w:tcPr>
            <w:tcW w:w="1134" w:type="dxa"/>
            <w:tcBorders>
              <w:top w:val="nil"/>
              <w:left w:val="nil"/>
              <w:bottom w:val="nil"/>
              <w:right w:val="single" w:sz="8" w:space="0" w:color="auto"/>
            </w:tcBorders>
            <w:shd w:val="clear" w:color="000000" w:fill="FFFFFF"/>
            <w:noWrap/>
            <w:vAlign w:val="bottom"/>
            <w:hideMark/>
          </w:tcPr>
          <w:p w14:paraId="57E9C8BC"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-130.6%</w:t>
            </w:r>
          </w:p>
        </w:tc>
      </w:tr>
      <w:tr w:rsidR="002474C2" w:rsidRPr="006F529B" w14:paraId="1CC85DBB"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69B10840"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Negociación de Bonos</w:t>
            </w:r>
          </w:p>
        </w:tc>
        <w:tc>
          <w:tcPr>
            <w:tcW w:w="1134" w:type="dxa"/>
            <w:tcBorders>
              <w:top w:val="nil"/>
              <w:left w:val="single" w:sz="4" w:space="0" w:color="auto"/>
              <w:bottom w:val="nil"/>
              <w:right w:val="single" w:sz="4" w:space="0" w:color="auto"/>
            </w:tcBorders>
            <w:shd w:val="clear" w:color="000000" w:fill="FFFFFF"/>
            <w:noWrap/>
            <w:vAlign w:val="bottom"/>
            <w:hideMark/>
          </w:tcPr>
          <w:p w14:paraId="47967DE1"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6,672.9</w:t>
            </w:r>
          </w:p>
        </w:tc>
        <w:tc>
          <w:tcPr>
            <w:tcW w:w="1134" w:type="dxa"/>
            <w:tcBorders>
              <w:top w:val="nil"/>
              <w:left w:val="nil"/>
              <w:bottom w:val="nil"/>
              <w:right w:val="single" w:sz="4" w:space="0" w:color="auto"/>
            </w:tcBorders>
            <w:shd w:val="clear" w:color="000000" w:fill="FFFFFF"/>
            <w:noWrap/>
            <w:vAlign w:val="bottom"/>
            <w:hideMark/>
          </w:tcPr>
          <w:p w14:paraId="7367F987"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924.1</w:t>
            </w:r>
          </w:p>
        </w:tc>
        <w:tc>
          <w:tcPr>
            <w:tcW w:w="1276" w:type="dxa"/>
            <w:tcBorders>
              <w:top w:val="nil"/>
              <w:left w:val="nil"/>
              <w:bottom w:val="nil"/>
              <w:right w:val="single" w:sz="4" w:space="0" w:color="auto"/>
            </w:tcBorders>
            <w:shd w:val="clear" w:color="000000" w:fill="FFFFFF"/>
            <w:noWrap/>
            <w:vAlign w:val="bottom"/>
            <w:hideMark/>
          </w:tcPr>
          <w:p w14:paraId="76DC933F"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-5,748.9</w:t>
            </w:r>
          </w:p>
        </w:tc>
        <w:tc>
          <w:tcPr>
            <w:tcW w:w="1134" w:type="dxa"/>
            <w:tcBorders>
              <w:top w:val="nil"/>
              <w:left w:val="nil"/>
              <w:bottom w:val="nil"/>
              <w:right w:val="single" w:sz="8" w:space="0" w:color="auto"/>
            </w:tcBorders>
            <w:shd w:val="clear" w:color="000000" w:fill="FFFFFF"/>
            <w:noWrap/>
            <w:vAlign w:val="bottom"/>
            <w:hideMark/>
          </w:tcPr>
          <w:p w14:paraId="0709C49D"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-86.2%</w:t>
            </w:r>
          </w:p>
        </w:tc>
      </w:tr>
      <w:tr w:rsidR="002474C2" w:rsidRPr="006F529B" w14:paraId="71172070"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4DC0863B"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Amortizaciones</w:t>
            </w:r>
          </w:p>
        </w:tc>
        <w:tc>
          <w:tcPr>
            <w:tcW w:w="1134" w:type="dxa"/>
            <w:tcBorders>
              <w:top w:val="nil"/>
              <w:left w:val="single" w:sz="4" w:space="0" w:color="auto"/>
              <w:bottom w:val="nil"/>
              <w:right w:val="single" w:sz="4" w:space="0" w:color="auto"/>
            </w:tcBorders>
            <w:shd w:val="clear" w:color="000000" w:fill="FFFFFF"/>
            <w:noWrap/>
            <w:vAlign w:val="bottom"/>
            <w:hideMark/>
          </w:tcPr>
          <w:p w14:paraId="6DEA6138"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356.6</w:t>
            </w:r>
          </w:p>
        </w:tc>
        <w:tc>
          <w:tcPr>
            <w:tcW w:w="1134" w:type="dxa"/>
            <w:tcBorders>
              <w:top w:val="nil"/>
              <w:left w:val="nil"/>
              <w:bottom w:val="nil"/>
              <w:right w:val="single" w:sz="4" w:space="0" w:color="auto"/>
            </w:tcBorders>
            <w:shd w:val="clear" w:color="000000" w:fill="FFFFFF"/>
            <w:noWrap/>
            <w:vAlign w:val="bottom"/>
            <w:hideMark/>
          </w:tcPr>
          <w:p w14:paraId="53A08EBD"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2,856.3</w:t>
            </w:r>
          </w:p>
        </w:tc>
        <w:tc>
          <w:tcPr>
            <w:tcW w:w="1276" w:type="dxa"/>
            <w:tcBorders>
              <w:top w:val="nil"/>
              <w:left w:val="nil"/>
              <w:bottom w:val="nil"/>
              <w:right w:val="single" w:sz="4" w:space="0" w:color="auto"/>
            </w:tcBorders>
            <w:shd w:val="clear" w:color="000000" w:fill="FFFFFF"/>
            <w:noWrap/>
            <w:vAlign w:val="bottom"/>
            <w:hideMark/>
          </w:tcPr>
          <w:p w14:paraId="5190C9FE"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2,499.7</w:t>
            </w:r>
          </w:p>
        </w:tc>
        <w:tc>
          <w:tcPr>
            <w:tcW w:w="1134" w:type="dxa"/>
            <w:tcBorders>
              <w:top w:val="nil"/>
              <w:left w:val="nil"/>
              <w:bottom w:val="nil"/>
              <w:right w:val="single" w:sz="8" w:space="0" w:color="auto"/>
            </w:tcBorders>
            <w:shd w:val="clear" w:color="000000" w:fill="FFFFFF"/>
            <w:noWrap/>
            <w:vAlign w:val="bottom"/>
            <w:hideMark/>
          </w:tcPr>
          <w:p w14:paraId="3AA1ED3D"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701.0%</w:t>
            </w:r>
          </w:p>
        </w:tc>
      </w:tr>
      <w:tr w:rsidR="002474C2" w:rsidRPr="006F529B" w14:paraId="00FADAB6"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1F445C61" w14:textId="77777777" w:rsidR="002474C2" w:rsidRPr="006F529B" w:rsidRDefault="002474C2" w:rsidP="00D56E1A">
            <w:pPr>
              <w:ind w:firstLineChars="300" w:firstLine="600"/>
              <w:rPr>
                <w:rFonts w:ascii="CG Times" w:hAnsi="CG Times"/>
                <w:sz w:val="20"/>
                <w:szCs w:val="20"/>
                <w:lang w:val="es-GT" w:eastAsia="es-GT"/>
              </w:rPr>
            </w:pPr>
            <w:r w:rsidRPr="006F529B">
              <w:rPr>
                <w:rFonts w:ascii="CG Times" w:hAnsi="CG Times"/>
                <w:sz w:val="20"/>
                <w:szCs w:val="20"/>
                <w:lang w:val="es-GT" w:eastAsia="es-GT"/>
              </w:rPr>
              <w:t>Colocación Primas de Deuda Interna</w:t>
            </w:r>
          </w:p>
        </w:tc>
        <w:tc>
          <w:tcPr>
            <w:tcW w:w="1134" w:type="dxa"/>
            <w:tcBorders>
              <w:top w:val="nil"/>
              <w:left w:val="single" w:sz="4" w:space="0" w:color="auto"/>
              <w:bottom w:val="nil"/>
              <w:right w:val="single" w:sz="4" w:space="0" w:color="auto"/>
            </w:tcBorders>
            <w:shd w:val="clear" w:color="000000" w:fill="FFFFFF"/>
            <w:noWrap/>
            <w:vAlign w:val="bottom"/>
            <w:hideMark/>
          </w:tcPr>
          <w:p w14:paraId="1C98BA1A"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6.1</w:t>
            </w:r>
          </w:p>
        </w:tc>
        <w:tc>
          <w:tcPr>
            <w:tcW w:w="1134" w:type="dxa"/>
            <w:tcBorders>
              <w:top w:val="nil"/>
              <w:left w:val="nil"/>
              <w:bottom w:val="nil"/>
              <w:right w:val="single" w:sz="4" w:space="0" w:color="auto"/>
            </w:tcBorders>
            <w:shd w:val="clear" w:color="000000" w:fill="FFFFFF"/>
            <w:noWrap/>
            <w:vAlign w:val="bottom"/>
            <w:hideMark/>
          </w:tcPr>
          <w:p w14:paraId="2A282826" w14:textId="77777777" w:rsidR="002474C2" w:rsidRPr="006F529B" w:rsidRDefault="002474C2" w:rsidP="00D56E1A">
            <w:pPr>
              <w:rPr>
                <w:rFonts w:ascii="CG Times" w:hAnsi="CG Times"/>
                <w:sz w:val="20"/>
                <w:szCs w:val="20"/>
                <w:lang w:val="es-GT" w:eastAsia="es-GT"/>
              </w:rPr>
            </w:pPr>
            <w:r w:rsidRPr="006F529B">
              <w:rPr>
                <w:rFonts w:ascii="CG Times" w:hAnsi="CG Times"/>
                <w:sz w:val="20"/>
                <w:szCs w:val="20"/>
                <w:lang w:val="es-GT" w:eastAsia="es-GT"/>
              </w:rPr>
              <w:t> </w:t>
            </w:r>
          </w:p>
        </w:tc>
        <w:tc>
          <w:tcPr>
            <w:tcW w:w="1276" w:type="dxa"/>
            <w:tcBorders>
              <w:top w:val="nil"/>
              <w:left w:val="nil"/>
              <w:bottom w:val="nil"/>
              <w:right w:val="single" w:sz="4" w:space="0" w:color="auto"/>
            </w:tcBorders>
            <w:shd w:val="clear" w:color="000000" w:fill="FFFFFF"/>
            <w:noWrap/>
            <w:vAlign w:val="bottom"/>
            <w:hideMark/>
          </w:tcPr>
          <w:p w14:paraId="61991631"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-6.1</w:t>
            </w:r>
          </w:p>
        </w:tc>
        <w:tc>
          <w:tcPr>
            <w:tcW w:w="1134" w:type="dxa"/>
            <w:tcBorders>
              <w:top w:val="nil"/>
              <w:left w:val="nil"/>
              <w:bottom w:val="nil"/>
              <w:right w:val="single" w:sz="8" w:space="0" w:color="auto"/>
            </w:tcBorders>
            <w:shd w:val="clear" w:color="000000" w:fill="FFFFFF"/>
            <w:noWrap/>
            <w:vAlign w:val="bottom"/>
            <w:hideMark/>
          </w:tcPr>
          <w:p w14:paraId="48F52E37"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-100.0%</w:t>
            </w:r>
          </w:p>
        </w:tc>
      </w:tr>
      <w:tr w:rsidR="002474C2" w:rsidRPr="006F529B" w14:paraId="3DDD4340" w14:textId="77777777" w:rsidTr="00D56E1A">
        <w:trPr>
          <w:trHeight w:val="255"/>
          <w:jc w:val="center"/>
        </w:trPr>
        <w:tc>
          <w:tcPr>
            <w:tcW w:w="4243" w:type="dxa"/>
            <w:tcBorders>
              <w:top w:val="nil"/>
              <w:left w:val="single" w:sz="8" w:space="0" w:color="auto"/>
              <w:bottom w:val="nil"/>
              <w:right w:val="nil"/>
            </w:tcBorders>
            <w:shd w:val="clear" w:color="000000" w:fill="FFFFFF"/>
            <w:noWrap/>
            <w:vAlign w:val="bottom"/>
            <w:hideMark/>
          </w:tcPr>
          <w:p w14:paraId="32A52CB8" w14:textId="77777777" w:rsidR="002474C2" w:rsidRPr="006F529B" w:rsidRDefault="002474C2" w:rsidP="00D56E1A">
            <w:pPr>
              <w:ind w:firstLineChars="200" w:firstLine="400"/>
              <w:rPr>
                <w:rFonts w:ascii="CG Times" w:hAnsi="CG Times"/>
                <w:sz w:val="20"/>
                <w:szCs w:val="20"/>
                <w:lang w:val="es-GT" w:eastAsia="es-GT"/>
              </w:rPr>
            </w:pPr>
            <w:r w:rsidRPr="006F529B">
              <w:rPr>
                <w:rFonts w:ascii="CG Times" w:hAnsi="CG Times"/>
                <w:sz w:val="20"/>
                <w:szCs w:val="20"/>
                <w:lang w:val="es-GT" w:eastAsia="es-GT"/>
              </w:rPr>
              <w:t xml:space="preserve">Amortización </w:t>
            </w:r>
            <w:r>
              <w:rPr>
                <w:rFonts w:ascii="CG Times" w:hAnsi="CG Times"/>
                <w:sz w:val="20"/>
                <w:szCs w:val="20"/>
                <w:lang w:val="es-GT" w:eastAsia="es-GT"/>
              </w:rPr>
              <w:t>C</w:t>
            </w:r>
            <w:r w:rsidRPr="006F529B">
              <w:rPr>
                <w:rFonts w:ascii="CG Times" w:hAnsi="CG Times"/>
                <w:sz w:val="20"/>
                <w:szCs w:val="20"/>
                <w:lang w:val="es-GT" w:eastAsia="es-GT"/>
              </w:rPr>
              <w:t>osto</w:t>
            </w:r>
            <w:r>
              <w:rPr>
                <w:rFonts w:ascii="CG Times" w:hAnsi="CG Times"/>
                <w:sz w:val="20"/>
                <w:szCs w:val="20"/>
                <w:lang w:val="es-GT" w:eastAsia="es-GT"/>
              </w:rPr>
              <w:t xml:space="preserve"> de</w:t>
            </w:r>
            <w:r w:rsidRPr="006F529B">
              <w:rPr>
                <w:rFonts w:ascii="CG Times" w:hAnsi="CG Times"/>
                <w:sz w:val="20"/>
                <w:szCs w:val="20"/>
                <w:lang w:val="es-GT" w:eastAsia="es-GT"/>
              </w:rPr>
              <w:t xml:space="preserve"> Política Monetaria</w:t>
            </w:r>
          </w:p>
        </w:tc>
        <w:tc>
          <w:tcPr>
            <w:tcW w:w="1134" w:type="dxa"/>
            <w:tcBorders>
              <w:top w:val="nil"/>
              <w:left w:val="single" w:sz="4" w:space="0" w:color="auto"/>
              <w:bottom w:val="nil"/>
              <w:right w:val="single" w:sz="4" w:space="0" w:color="auto"/>
            </w:tcBorders>
            <w:shd w:val="clear" w:color="000000" w:fill="FFFFFF"/>
            <w:noWrap/>
            <w:vAlign w:val="bottom"/>
            <w:hideMark/>
          </w:tcPr>
          <w:p w14:paraId="05B155F5" w14:textId="77777777" w:rsidR="002474C2" w:rsidRPr="006F529B" w:rsidRDefault="002474C2" w:rsidP="00D56E1A">
            <w:pPr>
              <w:rPr>
                <w:rFonts w:ascii="CG Times" w:hAnsi="CG Times"/>
                <w:sz w:val="20"/>
                <w:szCs w:val="20"/>
                <w:lang w:val="es-GT" w:eastAsia="es-GT"/>
              </w:rPr>
            </w:pPr>
            <w:r w:rsidRPr="006F529B">
              <w:rPr>
                <w:rFonts w:ascii="CG Times" w:hAnsi="CG Times"/>
                <w:sz w:val="20"/>
                <w:szCs w:val="20"/>
                <w:lang w:val="es-GT" w:eastAsia="es-GT"/>
              </w:rPr>
              <w:t> </w:t>
            </w:r>
          </w:p>
        </w:tc>
        <w:tc>
          <w:tcPr>
            <w:tcW w:w="1134" w:type="dxa"/>
            <w:tcBorders>
              <w:top w:val="nil"/>
              <w:left w:val="nil"/>
              <w:bottom w:val="nil"/>
              <w:right w:val="single" w:sz="4" w:space="0" w:color="auto"/>
            </w:tcBorders>
            <w:shd w:val="clear" w:color="000000" w:fill="FFFFFF"/>
            <w:noWrap/>
            <w:vAlign w:val="bottom"/>
            <w:hideMark/>
          </w:tcPr>
          <w:p w14:paraId="7F3B3F13"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54.4</w:t>
            </w:r>
          </w:p>
        </w:tc>
        <w:tc>
          <w:tcPr>
            <w:tcW w:w="1276" w:type="dxa"/>
            <w:tcBorders>
              <w:top w:val="nil"/>
              <w:left w:val="nil"/>
              <w:bottom w:val="nil"/>
              <w:right w:val="single" w:sz="4" w:space="0" w:color="auto"/>
            </w:tcBorders>
            <w:shd w:val="clear" w:color="000000" w:fill="FFFFFF"/>
            <w:noWrap/>
            <w:vAlign w:val="bottom"/>
            <w:hideMark/>
          </w:tcPr>
          <w:p w14:paraId="1EEFC4C3" w14:textId="77777777" w:rsidR="002474C2" w:rsidRPr="006F529B" w:rsidRDefault="002474C2" w:rsidP="00D56E1A">
            <w:pPr>
              <w:jc w:val="right"/>
              <w:rPr>
                <w:rFonts w:ascii="CG Times" w:hAnsi="CG Times"/>
                <w:sz w:val="20"/>
                <w:szCs w:val="20"/>
                <w:lang w:val="es-GT" w:eastAsia="es-GT"/>
              </w:rPr>
            </w:pPr>
            <w:r w:rsidRPr="006F529B">
              <w:rPr>
                <w:rFonts w:ascii="CG Times" w:hAnsi="CG Times"/>
                <w:sz w:val="20"/>
                <w:szCs w:val="20"/>
                <w:lang w:val="es-GT" w:eastAsia="es-GT"/>
              </w:rPr>
              <w:t>54.4</w:t>
            </w:r>
          </w:p>
        </w:tc>
        <w:tc>
          <w:tcPr>
            <w:tcW w:w="1134" w:type="dxa"/>
            <w:tcBorders>
              <w:top w:val="nil"/>
              <w:left w:val="nil"/>
              <w:bottom w:val="nil"/>
              <w:right w:val="single" w:sz="8" w:space="0" w:color="auto"/>
            </w:tcBorders>
            <w:shd w:val="clear" w:color="000000" w:fill="FFFFFF"/>
            <w:noWrap/>
            <w:vAlign w:val="bottom"/>
            <w:hideMark/>
          </w:tcPr>
          <w:p w14:paraId="6F5C2AA7" w14:textId="77777777" w:rsidR="002474C2" w:rsidRPr="006F529B" w:rsidRDefault="002474C2" w:rsidP="00D56E1A">
            <w:pPr>
              <w:rPr>
                <w:rFonts w:ascii="CG Times" w:hAnsi="CG Times"/>
                <w:sz w:val="20"/>
                <w:szCs w:val="20"/>
                <w:lang w:val="es-GT" w:eastAsia="es-GT"/>
              </w:rPr>
            </w:pPr>
            <w:r w:rsidRPr="006F529B">
              <w:rPr>
                <w:rFonts w:ascii="CG Times" w:hAnsi="CG Times"/>
                <w:sz w:val="20"/>
                <w:szCs w:val="20"/>
                <w:lang w:val="es-GT" w:eastAsia="es-GT"/>
              </w:rPr>
              <w:t> </w:t>
            </w:r>
          </w:p>
        </w:tc>
      </w:tr>
      <w:tr w:rsidR="002474C2" w:rsidRPr="009E0BEB" w14:paraId="09096A97" w14:textId="77777777" w:rsidTr="00D56E1A">
        <w:trPr>
          <w:trHeight w:val="270"/>
          <w:jc w:val="center"/>
        </w:trPr>
        <w:tc>
          <w:tcPr>
            <w:tcW w:w="4243" w:type="dxa"/>
            <w:tcBorders>
              <w:top w:val="nil"/>
              <w:left w:val="single" w:sz="8" w:space="0" w:color="auto"/>
              <w:bottom w:val="single" w:sz="8" w:space="0" w:color="auto"/>
              <w:right w:val="nil"/>
            </w:tcBorders>
            <w:shd w:val="clear" w:color="000000" w:fill="FFFFFF"/>
            <w:noWrap/>
            <w:vAlign w:val="bottom"/>
            <w:hideMark/>
          </w:tcPr>
          <w:p w14:paraId="6C69CE61" w14:textId="77777777" w:rsidR="002474C2" w:rsidRPr="009E0BEB" w:rsidRDefault="002474C2" w:rsidP="00D56E1A">
            <w:pPr>
              <w:rPr>
                <w:rFonts w:ascii="CG Times" w:hAnsi="CG Times"/>
                <w:b/>
                <w:bCs/>
                <w:sz w:val="20"/>
                <w:szCs w:val="20"/>
                <w:lang w:val="es-GT" w:eastAsia="es-GT"/>
              </w:rPr>
            </w:pPr>
            <w:r w:rsidRPr="009E0BEB">
              <w:rPr>
                <w:rFonts w:ascii="CG Times" w:hAnsi="CG Times"/>
                <w:b/>
                <w:bCs/>
                <w:sz w:val="20"/>
                <w:szCs w:val="20"/>
                <w:lang w:val="es-GT" w:eastAsia="es-GT"/>
              </w:rPr>
              <w:t>Variación de Caja (+) disminución (-) aumento</w:t>
            </w:r>
          </w:p>
        </w:tc>
        <w:tc>
          <w:tcPr>
            <w:tcW w:w="1134" w:type="dxa"/>
            <w:tcBorders>
              <w:top w:val="nil"/>
              <w:left w:val="single" w:sz="4" w:space="0" w:color="auto"/>
              <w:bottom w:val="single" w:sz="8" w:space="0" w:color="auto"/>
              <w:right w:val="single" w:sz="4" w:space="0" w:color="auto"/>
            </w:tcBorders>
            <w:shd w:val="clear" w:color="000000" w:fill="FFFFFF"/>
            <w:noWrap/>
            <w:vAlign w:val="bottom"/>
            <w:hideMark/>
          </w:tcPr>
          <w:p w14:paraId="321F612A" w14:textId="77777777" w:rsidR="002474C2" w:rsidRPr="009E0BEB" w:rsidRDefault="002474C2" w:rsidP="00D56E1A">
            <w:pPr>
              <w:jc w:val="right"/>
              <w:rPr>
                <w:rFonts w:ascii="CG Times" w:hAnsi="CG Times"/>
                <w:b/>
                <w:bCs/>
                <w:sz w:val="20"/>
                <w:szCs w:val="20"/>
                <w:lang w:val="es-GT" w:eastAsia="es-GT"/>
              </w:rPr>
            </w:pPr>
            <w:r w:rsidRPr="009E0BEB">
              <w:rPr>
                <w:rFonts w:ascii="CG Times" w:hAnsi="CG Times"/>
                <w:b/>
                <w:bCs/>
                <w:sz w:val="20"/>
                <w:szCs w:val="20"/>
                <w:lang w:val="es-GT" w:eastAsia="es-GT"/>
              </w:rPr>
              <w:t>1,675.6</w:t>
            </w:r>
          </w:p>
        </w:tc>
        <w:tc>
          <w:tcPr>
            <w:tcW w:w="1134" w:type="dxa"/>
            <w:tcBorders>
              <w:top w:val="nil"/>
              <w:left w:val="nil"/>
              <w:bottom w:val="single" w:sz="8" w:space="0" w:color="auto"/>
              <w:right w:val="single" w:sz="4" w:space="0" w:color="auto"/>
            </w:tcBorders>
            <w:shd w:val="clear" w:color="000000" w:fill="FFFFFF"/>
            <w:noWrap/>
            <w:vAlign w:val="bottom"/>
            <w:hideMark/>
          </w:tcPr>
          <w:p w14:paraId="78DF60E5" w14:textId="77777777" w:rsidR="002474C2" w:rsidRPr="009E0BEB" w:rsidRDefault="002474C2" w:rsidP="00D56E1A">
            <w:pPr>
              <w:jc w:val="right"/>
              <w:rPr>
                <w:rFonts w:ascii="CG Times" w:hAnsi="CG Times"/>
                <w:b/>
                <w:bCs/>
                <w:sz w:val="20"/>
                <w:szCs w:val="20"/>
                <w:lang w:val="es-GT" w:eastAsia="es-GT"/>
              </w:rPr>
            </w:pPr>
            <w:r w:rsidRPr="009E0BEB">
              <w:rPr>
                <w:rFonts w:ascii="CG Times" w:hAnsi="CG Times"/>
                <w:b/>
                <w:bCs/>
                <w:sz w:val="20"/>
                <w:szCs w:val="20"/>
                <w:lang w:val="es-GT" w:eastAsia="es-GT"/>
              </w:rPr>
              <w:t>126.1</w:t>
            </w:r>
          </w:p>
        </w:tc>
        <w:tc>
          <w:tcPr>
            <w:tcW w:w="1276" w:type="dxa"/>
            <w:tcBorders>
              <w:top w:val="nil"/>
              <w:left w:val="nil"/>
              <w:bottom w:val="single" w:sz="8" w:space="0" w:color="auto"/>
              <w:right w:val="single" w:sz="4" w:space="0" w:color="auto"/>
            </w:tcBorders>
            <w:shd w:val="clear" w:color="000000" w:fill="FFFFFF"/>
            <w:noWrap/>
            <w:vAlign w:val="bottom"/>
            <w:hideMark/>
          </w:tcPr>
          <w:p w14:paraId="2C952CD3" w14:textId="77777777" w:rsidR="002474C2" w:rsidRPr="009E0BEB" w:rsidRDefault="002474C2" w:rsidP="00D56E1A">
            <w:pPr>
              <w:jc w:val="right"/>
              <w:rPr>
                <w:rFonts w:ascii="CG Times" w:hAnsi="CG Times"/>
                <w:b/>
                <w:sz w:val="20"/>
                <w:szCs w:val="20"/>
                <w:lang w:val="es-GT" w:eastAsia="es-GT"/>
              </w:rPr>
            </w:pPr>
            <w:r w:rsidRPr="009E0BEB">
              <w:rPr>
                <w:rFonts w:ascii="CG Times" w:hAnsi="CG Times"/>
                <w:b/>
                <w:sz w:val="20"/>
                <w:szCs w:val="20"/>
                <w:lang w:val="es-GT" w:eastAsia="es-GT"/>
              </w:rPr>
              <w:t>-1,549.5</w:t>
            </w:r>
          </w:p>
        </w:tc>
        <w:tc>
          <w:tcPr>
            <w:tcW w:w="1134" w:type="dxa"/>
            <w:tcBorders>
              <w:top w:val="nil"/>
              <w:left w:val="nil"/>
              <w:bottom w:val="single" w:sz="8" w:space="0" w:color="auto"/>
              <w:right w:val="single" w:sz="8" w:space="0" w:color="auto"/>
            </w:tcBorders>
            <w:shd w:val="clear" w:color="000000" w:fill="FFFFFF"/>
            <w:noWrap/>
            <w:vAlign w:val="bottom"/>
            <w:hideMark/>
          </w:tcPr>
          <w:p w14:paraId="71E56966" w14:textId="77777777" w:rsidR="002474C2" w:rsidRPr="009E0BEB" w:rsidRDefault="002474C2" w:rsidP="00D56E1A">
            <w:pPr>
              <w:jc w:val="right"/>
              <w:rPr>
                <w:rFonts w:ascii="CG Times" w:hAnsi="CG Times"/>
                <w:b/>
                <w:sz w:val="20"/>
                <w:szCs w:val="20"/>
                <w:lang w:val="es-GT" w:eastAsia="es-GT"/>
              </w:rPr>
            </w:pPr>
            <w:r w:rsidRPr="009E0BEB">
              <w:rPr>
                <w:rFonts w:ascii="CG Times" w:hAnsi="CG Times"/>
                <w:b/>
                <w:sz w:val="20"/>
                <w:szCs w:val="20"/>
                <w:lang w:val="es-GT" w:eastAsia="es-GT"/>
              </w:rPr>
              <w:t>-92.5%</w:t>
            </w:r>
          </w:p>
        </w:tc>
      </w:tr>
    </w:tbl>
    <w:p w14:paraId="494AD223" w14:textId="77777777" w:rsidR="002474C2" w:rsidRPr="009E0BEB" w:rsidRDefault="002474C2" w:rsidP="002474C2">
      <w:pPr>
        <w:jc w:val="both"/>
        <w:rPr>
          <w:sz w:val="16"/>
          <w:lang w:val="es-MX"/>
        </w:rPr>
      </w:pPr>
      <w:r w:rsidRPr="009E0BEB">
        <w:rPr>
          <w:sz w:val="18"/>
          <w:lang w:val="es-MX"/>
        </w:rPr>
        <w:t xml:space="preserve">  * Cifras preliminares</w:t>
      </w:r>
      <w:r w:rsidRPr="009E0BEB">
        <w:rPr>
          <w:sz w:val="16"/>
          <w:lang w:val="es-MX"/>
        </w:rPr>
        <w:t>.</w:t>
      </w:r>
    </w:p>
    <w:p w14:paraId="566C53CB" w14:textId="77777777" w:rsidR="002474C2" w:rsidRPr="00F32249" w:rsidRDefault="002474C2" w:rsidP="002474C2">
      <w:pPr>
        <w:jc w:val="both"/>
        <w:rPr>
          <w:sz w:val="18"/>
          <w:lang w:val="es-MX"/>
        </w:rPr>
      </w:pPr>
      <w:r w:rsidRPr="00F32249">
        <w:rPr>
          <w:sz w:val="18"/>
          <w:lang w:val="es-MX"/>
        </w:rPr>
        <w:t xml:space="preserve">      Fuente: Ministerio de Finanzas Públicas con base al SICOIN.</w:t>
      </w:r>
    </w:p>
    <w:p w14:paraId="7DFE9B45" w14:textId="53324593" w:rsidR="00D728A0" w:rsidRDefault="00D728A0" w:rsidP="0050393B">
      <w:pPr>
        <w:jc w:val="both"/>
        <w:rPr>
          <w:lang w:val="es-MX"/>
        </w:rPr>
      </w:pPr>
    </w:p>
    <w:p w14:paraId="50C044C8" w14:textId="77777777" w:rsidR="007D20DD" w:rsidRPr="00F32249" w:rsidRDefault="007D20DD" w:rsidP="007D20DD">
      <w:pPr>
        <w:jc w:val="both"/>
        <w:rPr>
          <w:lang w:val="es-MX"/>
        </w:rPr>
      </w:pPr>
      <w:r w:rsidRPr="00F32249">
        <w:rPr>
          <w:lang w:val="es-MX"/>
        </w:rPr>
        <w:t>Los ingresos totales al 30 de junio de 2023 ascendieron a Q.48,328.5 millones, mientras que al mismo período de 2022 se ubicaron en Q.44,656.8 millones, representando un incremento de Q.3,671.7 millones</w:t>
      </w:r>
      <w:r>
        <w:rPr>
          <w:lang w:val="es-MX"/>
        </w:rPr>
        <w:t xml:space="preserve">, equivalentes al </w:t>
      </w:r>
      <w:r w:rsidRPr="00F32249">
        <w:rPr>
          <w:lang w:val="es-MX"/>
        </w:rPr>
        <w:t>8.2%. Destacan los ingresos tributarios que a junio de 2023 ascienden a Q.46,247.5 millones, mientras que en 2022 ascendieron a Q.42,287.0 millones, con un incremento de Q.3,960.5 millones</w:t>
      </w:r>
      <w:r>
        <w:rPr>
          <w:lang w:val="es-MX"/>
        </w:rPr>
        <w:t xml:space="preserve">, equivalentes al </w:t>
      </w:r>
      <w:r w:rsidRPr="00F32249">
        <w:rPr>
          <w:lang w:val="es-MX"/>
        </w:rPr>
        <w:t xml:space="preserve">9.4%. Los gastos totales </w:t>
      </w:r>
      <w:r>
        <w:rPr>
          <w:lang w:val="es-MX"/>
        </w:rPr>
        <w:t xml:space="preserve">(sin incluir amortizaciones de la deuda pública), </w:t>
      </w:r>
      <w:r w:rsidRPr="00F32249">
        <w:rPr>
          <w:lang w:val="es-MX"/>
        </w:rPr>
        <w:t>a</w:t>
      </w:r>
      <w:r>
        <w:rPr>
          <w:lang w:val="es-MX"/>
        </w:rPr>
        <w:t xml:space="preserve">l mes de </w:t>
      </w:r>
      <w:r w:rsidRPr="00F32249">
        <w:rPr>
          <w:lang w:val="es-MX"/>
        </w:rPr>
        <w:t>junio de 2023 se ubicaron en Q.53,450.8 millones, mientras que a la misma fecha de 2022 ascendieron a Q.46,088.0 millones, con un incremento de Q.7,362.8 millones</w:t>
      </w:r>
      <w:r>
        <w:rPr>
          <w:lang w:val="es-MX"/>
        </w:rPr>
        <w:t xml:space="preserve">, equivalentes al </w:t>
      </w:r>
      <w:r w:rsidRPr="00F32249">
        <w:rPr>
          <w:lang w:val="es-MX"/>
        </w:rPr>
        <w:t>16.0%.</w:t>
      </w:r>
    </w:p>
    <w:p w14:paraId="75E08A9C" w14:textId="2CEE2465" w:rsidR="00171991" w:rsidRPr="009C7175" w:rsidRDefault="00C33C42" w:rsidP="004F2F0B">
      <w:pPr>
        <w:pStyle w:val="Ttulo1"/>
        <w:numPr>
          <w:ilvl w:val="0"/>
          <w:numId w:val="2"/>
        </w:numPr>
        <w:tabs>
          <w:tab w:val="num" w:pos="0"/>
        </w:tabs>
        <w:suppressAutoHyphens/>
        <w:ind w:left="709"/>
      </w:pPr>
      <w:bookmarkStart w:id="37" w:name="_Toc142920550"/>
      <w:r w:rsidRPr="009C7175">
        <w:t xml:space="preserve">Perspectivas de Cierre </w:t>
      </w:r>
      <w:r w:rsidR="00B20C2F" w:rsidRPr="009C7175">
        <w:t xml:space="preserve">del Ejercicio Fiscal </w:t>
      </w:r>
      <w:r w:rsidRPr="009C7175">
        <w:t>20</w:t>
      </w:r>
      <w:r w:rsidR="00DB0F04" w:rsidRPr="009C7175">
        <w:t>2</w:t>
      </w:r>
      <w:r w:rsidR="00A840E5">
        <w:t>3</w:t>
      </w:r>
      <w:bookmarkEnd w:id="37"/>
    </w:p>
    <w:p w14:paraId="42326820" w14:textId="77777777" w:rsidR="00171991" w:rsidRPr="00D728A0" w:rsidRDefault="00171991" w:rsidP="00171991">
      <w:pPr>
        <w:autoSpaceDE w:val="0"/>
        <w:autoSpaceDN w:val="0"/>
        <w:adjustRightInd w:val="0"/>
        <w:jc w:val="both"/>
        <w:rPr>
          <w:b/>
          <w:sz w:val="18"/>
          <w:highlight w:val="yellow"/>
        </w:rPr>
      </w:pPr>
    </w:p>
    <w:p w14:paraId="22D16B5E" w14:textId="77777777" w:rsidR="00EF23D0" w:rsidRPr="00A82540" w:rsidRDefault="00EF23D0" w:rsidP="00FC0361">
      <w:pPr>
        <w:pStyle w:val="Ttulo2"/>
        <w:numPr>
          <w:ilvl w:val="0"/>
          <w:numId w:val="6"/>
        </w:numPr>
        <w:ind w:left="426"/>
        <w:rPr>
          <w:rFonts w:ascii="Times New Roman" w:hAnsi="Times New Roman"/>
          <w:color w:val="auto"/>
          <w:sz w:val="24"/>
        </w:rPr>
      </w:pPr>
      <w:bookmarkStart w:id="38" w:name="_Toc142920551"/>
      <w:r w:rsidRPr="00A82540">
        <w:rPr>
          <w:rFonts w:ascii="Times New Roman" w:hAnsi="Times New Roman"/>
          <w:color w:val="auto"/>
          <w:sz w:val="24"/>
        </w:rPr>
        <w:t>E</w:t>
      </w:r>
      <w:r w:rsidR="00F34749" w:rsidRPr="00A82540">
        <w:rPr>
          <w:rFonts w:ascii="Times New Roman" w:hAnsi="Times New Roman"/>
          <w:color w:val="auto"/>
          <w:sz w:val="24"/>
        </w:rPr>
        <w:t>ntorno</w:t>
      </w:r>
      <w:r w:rsidRPr="00A82540">
        <w:rPr>
          <w:rFonts w:ascii="Times New Roman" w:hAnsi="Times New Roman"/>
          <w:color w:val="auto"/>
          <w:sz w:val="24"/>
        </w:rPr>
        <w:t xml:space="preserve"> Macroeconómico</w:t>
      </w:r>
      <w:bookmarkEnd w:id="38"/>
    </w:p>
    <w:p w14:paraId="5710C386" w14:textId="77777777" w:rsidR="00F34749" w:rsidRPr="00567E2D" w:rsidRDefault="00F34749" w:rsidP="00F34749">
      <w:pPr>
        <w:rPr>
          <w:sz w:val="18"/>
        </w:rPr>
      </w:pPr>
    </w:p>
    <w:p w14:paraId="3929C55F" w14:textId="77777777" w:rsidR="00742D4F" w:rsidRPr="0095501C" w:rsidRDefault="00742D4F" w:rsidP="00FC0361">
      <w:pPr>
        <w:pStyle w:val="Ttulo3"/>
        <w:numPr>
          <w:ilvl w:val="0"/>
          <w:numId w:val="8"/>
        </w:numPr>
        <w:ind w:left="426"/>
        <w:rPr>
          <w:rFonts w:ascii="Times New Roman" w:hAnsi="Times New Roman"/>
          <w:color w:val="auto"/>
        </w:rPr>
      </w:pPr>
      <w:bookmarkStart w:id="39" w:name="_Toc113540371"/>
      <w:bookmarkStart w:id="40" w:name="_Toc142920552"/>
      <w:r w:rsidRPr="0095501C">
        <w:rPr>
          <w:rFonts w:ascii="Times New Roman" w:hAnsi="Times New Roman"/>
          <w:color w:val="auto"/>
        </w:rPr>
        <w:t xml:space="preserve">Entorno </w:t>
      </w:r>
      <w:r w:rsidR="00670528" w:rsidRPr="0095501C">
        <w:rPr>
          <w:rFonts w:ascii="Times New Roman" w:hAnsi="Times New Roman"/>
          <w:color w:val="auto"/>
        </w:rPr>
        <w:t>M</w:t>
      </w:r>
      <w:r w:rsidRPr="0095501C">
        <w:rPr>
          <w:rFonts w:ascii="Times New Roman" w:hAnsi="Times New Roman"/>
          <w:color w:val="auto"/>
        </w:rPr>
        <w:t>acroeconómico Internacional</w:t>
      </w:r>
      <w:bookmarkEnd w:id="39"/>
      <w:bookmarkEnd w:id="40"/>
    </w:p>
    <w:p w14:paraId="12859140" w14:textId="160C2147" w:rsidR="00742D4F" w:rsidRDefault="00742D4F" w:rsidP="00742D4F">
      <w:pPr>
        <w:rPr>
          <w:sz w:val="22"/>
        </w:rPr>
      </w:pPr>
    </w:p>
    <w:p w14:paraId="252A049B" w14:textId="2BF8FB6F" w:rsidR="00B545DE" w:rsidRPr="00770DBE" w:rsidRDefault="00B545DE" w:rsidP="00B545DE">
      <w:pPr>
        <w:autoSpaceDE w:val="0"/>
        <w:autoSpaceDN w:val="0"/>
        <w:adjustRightInd w:val="0"/>
        <w:jc w:val="both"/>
      </w:pPr>
      <w:r w:rsidRPr="00770DBE">
        <w:t>El Fondo Monetario Internacional (FMI) indicó en sus perspectivas de</w:t>
      </w:r>
      <w:r w:rsidR="00AF7ADB">
        <w:t>l mes de</w:t>
      </w:r>
      <w:r w:rsidRPr="00770DBE">
        <w:t xml:space="preserve"> abril</w:t>
      </w:r>
      <w:r w:rsidR="00AF7ADB">
        <w:t xml:space="preserve"> de</w:t>
      </w:r>
      <w:r w:rsidRPr="00770DBE">
        <w:t xml:space="preserve"> 2023 que se espera un crecimiento interanual de 2.8%</w:t>
      </w:r>
      <w:r>
        <w:t>,</w:t>
      </w:r>
      <w:r w:rsidRPr="00770DBE">
        <w:t xml:space="preserve"> en contraste con el crecimiento de 3.4% observado en 2022, siendo este año el más bajo desde 2001, sin considerar la crisis financiera global y la crisis por la pandemia </w:t>
      </w:r>
      <w:r w:rsidR="00AF7ADB">
        <w:t xml:space="preserve">del </w:t>
      </w:r>
      <w:r w:rsidRPr="00770DBE">
        <w:t>C</w:t>
      </w:r>
      <w:r w:rsidR="00AF7ADB">
        <w:t>ovid</w:t>
      </w:r>
      <w:r w:rsidRPr="00770DBE">
        <w:t>-19</w:t>
      </w:r>
      <w:r w:rsidR="00AF7ADB">
        <w:t>;</w:t>
      </w:r>
      <w:r w:rsidRPr="00770DBE">
        <w:t xml:space="preserve"> además</w:t>
      </w:r>
      <w:r w:rsidR="00AF7ADB">
        <w:t>,</w:t>
      </w:r>
      <w:r w:rsidRPr="00770DBE">
        <w:t xml:space="preserve"> los países que representan alrededor de un tercio de la economía mundial registrarán durante dos trimestres consecutivos una contracción del PIB, debido a la desaceleración económica esperada por</w:t>
      </w:r>
      <w:r>
        <w:t xml:space="preserve"> la</w:t>
      </w:r>
      <w:r w:rsidRPr="00770DBE">
        <w:t xml:space="preserve"> postura restrictiva de la política monetaria de los bancos centrales.</w:t>
      </w:r>
    </w:p>
    <w:p w14:paraId="57FF7D22" w14:textId="77777777" w:rsidR="00B545DE" w:rsidRPr="00770DBE" w:rsidRDefault="00B545DE" w:rsidP="00B545DE">
      <w:pPr>
        <w:autoSpaceDE w:val="0"/>
        <w:autoSpaceDN w:val="0"/>
        <w:adjustRightInd w:val="0"/>
        <w:jc w:val="both"/>
      </w:pPr>
    </w:p>
    <w:p w14:paraId="7F705E7C" w14:textId="0EA6EE83" w:rsidR="00B545DE" w:rsidRPr="00770DBE" w:rsidRDefault="00B545DE" w:rsidP="00B545DE">
      <w:pPr>
        <w:autoSpaceDE w:val="0"/>
        <w:autoSpaceDN w:val="0"/>
        <w:adjustRightInd w:val="0"/>
        <w:jc w:val="both"/>
      </w:pPr>
      <w:r w:rsidRPr="00770DBE">
        <w:t xml:space="preserve">Con respecto a las </w:t>
      </w:r>
      <w:r w:rsidRPr="00770DBE">
        <w:rPr>
          <w:lang w:val="es-GT"/>
        </w:rPr>
        <w:t xml:space="preserve">economías avanzadas, </w:t>
      </w:r>
      <w:r>
        <w:rPr>
          <w:lang w:val="es-GT"/>
        </w:rPr>
        <w:t>se</w:t>
      </w:r>
      <w:r w:rsidRPr="00770DBE">
        <w:t xml:space="preserve"> espera una desaceleración profunda en el presente año al pasar de 2.7% en 2022 a 1.3% en 2023, concentrándose principalmente en </w:t>
      </w:r>
      <w:r>
        <w:t xml:space="preserve">los </w:t>
      </w:r>
      <w:r w:rsidRPr="00770DBE">
        <w:t>Estados Unidos</w:t>
      </w:r>
      <w:r>
        <w:t xml:space="preserve"> de América</w:t>
      </w:r>
      <w:r w:rsidRPr="00770DBE">
        <w:t xml:space="preserve"> y las economías europeas. En la zona del euro se espera un crecimiento de 0.8% y para </w:t>
      </w:r>
      <w:r>
        <w:t>Inglaterra</w:t>
      </w:r>
      <w:r w:rsidRPr="00770DBE">
        <w:t xml:space="preserve"> se proyecta una contracción de 0.3%. Asimismo, Alemania tendrá una contracción derivada principalmente </w:t>
      </w:r>
      <w:r w:rsidR="00AF7ADB">
        <w:t>de</w:t>
      </w:r>
      <w:r w:rsidRPr="00770DBE">
        <w:t xml:space="preserve"> la guerra </w:t>
      </w:r>
      <w:r w:rsidR="00AF7ADB">
        <w:t xml:space="preserve">entre </w:t>
      </w:r>
      <w:r w:rsidRPr="00770DBE">
        <w:t>Rusia</w:t>
      </w:r>
      <w:r w:rsidR="00AF7ADB">
        <w:t xml:space="preserve"> y </w:t>
      </w:r>
      <w:r w:rsidRPr="00770DBE">
        <w:t>Ucrania</w:t>
      </w:r>
      <w:r w:rsidR="00AF7ADB">
        <w:t>,</w:t>
      </w:r>
      <w:r w:rsidRPr="00770DBE">
        <w:t xml:space="preserve"> ya que es de las economías más expuestas a los recortes en el suministro de</w:t>
      </w:r>
      <w:r w:rsidR="00AF7ADB">
        <w:t>l</w:t>
      </w:r>
      <w:r w:rsidRPr="00770DBE">
        <w:t xml:space="preserve"> gas ruso.</w:t>
      </w:r>
    </w:p>
    <w:p w14:paraId="14E5B2C9" w14:textId="77777777" w:rsidR="00B545DE" w:rsidRDefault="00B545DE" w:rsidP="00B545DE">
      <w:pPr>
        <w:autoSpaceDE w:val="0"/>
        <w:autoSpaceDN w:val="0"/>
        <w:adjustRightInd w:val="0"/>
        <w:jc w:val="both"/>
        <w:rPr>
          <w:lang w:eastAsia="en-US"/>
        </w:rPr>
      </w:pPr>
    </w:p>
    <w:p w14:paraId="761AF91E" w14:textId="7A3264C1" w:rsidR="0074726A" w:rsidRDefault="0074726A" w:rsidP="00B545DE">
      <w:pPr>
        <w:keepNext/>
        <w:jc w:val="center"/>
        <w:rPr>
          <w:b/>
          <w:szCs w:val="22"/>
          <w:lang w:val="es-GT" w:eastAsia="en-US"/>
        </w:rPr>
      </w:pPr>
      <w:r>
        <w:rPr>
          <w:b/>
          <w:szCs w:val="22"/>
          <w:lang w:val="es-GT" w:eastAsia="en-US"/>
        </w:rPr>
        <w:t>Cuadro 17</w:t>
      </w:r>
    </w:p>
    <w:p w14:paraId="4B0886AF" w14:textId="561B7316" w:rsidR="00B545DE" w:rsidRPr="00770DBE" w:rsidRDefault="00B545DE" w:rsidP="00B545DE">
      <w:pPr>
        <w:keepNext/>
        <w:jc w:val="center"/>
        <w:rPr>
          <w:b/>
          <w:i/>
          <w:iCs/>
          <w:szCs w:val="22"/>
          <w:lang w:val="es-GT" w:eastAsia="en-US"/>
        </w:rPr>
      </w:pPr>
      <w:r w:rsidRPr="00563268">
        <w:rPr>
          <w:b/>
          <w:bCs/>
          <w:szCs w:val="22"/>
          <w:lang w:val="es-GT" w:eastAsia="en-US"/>
        </w:rPr>
        <w:t>Panorama</w:t>
      </w:r>
      <w:r w:rsidRPr="00770DBE">
        <w:rPr>
          <w:b/>
          <w:bCs/>
          <w:szCs w:val="22"/>
          <w:lang w:val="es-GT" w:eastAsia="en-US"/>
        </w:rPr>
        <w:t xml:space="preserve"> del </w:t>
      </w:r>
      <w:r>
        <w:rPr>
          <w:b/>
          <w:bCs/>
          <w:szCs w:val="22"/>
          <w:lang w:val="es-GT" w:eastAsia="en-US"/>
        </w:rPr>
        <w:t>C</w:t>
      </w:r>
      <w:r w:rsidRPr="00770DBE">
        <w:rPr>
          <w:b/>
          <w:bCs/>
          <w:szCs w:val="22"/>
          <w:lang w:val="es-GT" w:eastAsia="en-US"/>
        </w:rPr>
        <w:t xml:space="preserve">recimiento de la </w:t>
      </w:r>
      <w:r>
        <w:rPr>
          <w:b/>
          <w:bCs/>
          <w:szCs w:val="22"/>
          <w:lang w:val="es-GT" w:eastAsia="en-US"/>
        </w:rPr>
        <w:t>E</w:t>
      </w:r>
      <w:r w:rsidRPr="00770DBE">
        <w:rPr>
          <w:b/>
          <w:bCs/>
          <w:szCs w:val="22"/>
          <w:lang w:val="es-GT" w:eastAsia="en-US"/>
        </w:rPr>
        <w:t xml:space="preserve">conomía </w:t>
      </w:r>
      <w:r>
        <w:rPr>
          <w:b/>
          <w:bCs/>
          <w:szCs w:val="22"/>
          <w:lang w:val="es-GT" w:eastAsia="en-US"/>
        </w:rPr>
        <w:t>M</w:t>
      </w:r>
      <w:r w:rsidRPr="00770DBE">
        <w:rPr>
          <w:b/>
          <w:bCs/>
          <w:szCs w:val="22"/>
          <w:lang w:val="es-GT" w:eastAsia="en-US"/>
        </w:rPr>
        <w:t>undial 2022</w:t>
      </w:r>
      <w:r>
        <w:rPr>
          <w:b/>
          <w:bCs/>
          <w:szCs w:val="22"/>
          <w:lang w:val="es-GT" w:eastAsia="en-US"/>
        </w:rPr>
        <w:t xml:space="preserve"> - </w:t>
      </w:r>
      <w:r w:rsidRPr="00770DBE">
        <w:rPr>
          <w:b/>
          <w:bCs/>
          <w:szCs w:val="22"/>
          <w:lang w:val="es-GT" w:eastAsia="en-US"/>
        </w:rPr>
        <w:t>2024</w:t>
      </w:r>
    </w:p>
    <w:p w14:paraId="2123D439" w14:textId="7A06C99F" w:rsidR="00B545DE" w:rsidRPr="00AF7ADB" w:rsidRDefault="00B545DE" w:rsidP="00B545DE">
      <w:pPr>
        <w:keepNext/>
        <w:jc w:val="center"/>
        <w:rPr>
          <w:b/>
          <w:bCs/>
          <w:szCs w:val="18"/>
          <w:lang w:val="es-GT" w:eastAsia="en-US"/>
        </w:rPr>
      </w:pPr>
      <w:r w:rsidRPr="00AF7ADB">
        <w:rPr>
          <w:b/>
          <w:bCs/>
          <w:szCs w:val="18"/>
          <w:lang w:val="es-GT" w:eastAsia="en-US"/>
        </w:rPr>
        <w:t>(</w:t>
      </w:r>
      <w:r w:rsidR="0074726A">
        <w:rPr>
          <w:b/>
          <w:bCs/>
          <w:szCs w:val="18"/>
          <w:lang w:val="es-GT" w:eastAsia="en-US"/>
        </w:rPr>
        <w:t xml:space="preserve">Variación </w:t>
      </w:r>
      <w:r w:rsidRPr="00AF7ADB">
        <w:rPr>
          <w:b/>
          <w:bCs/>
          <w:szCs w:val="18"/>
          <w:lang w:val="es-GT" w:eastAsia="en-US"/>
        </w:rPr>
        <w:t>Porcent</w:t>
      </w:r>
      <w:r w:rsidR="0074726A">
        <w:rPr>
          <w:b/>
          <w:bCs/>
          <w:szCs w:val="18"/>
          <w:lang w:val="es-GT" w:eastAsia="en-US"/>
        </w:rPr>
        <w:t>ual</w:t>
      </w:r>
      <w:r w:rsidR="0029595B">
        <w:rPr>
          <w:b/>
          <w:bCs/>
          <w:szCs w:val="18"/>
          <w:lang w:val="es-GT" w:eastAsia="en-US"/>
        </w:rPr>
        <w:t>)</w:t>
      </w:r>
    </w:p>
    <w:tbl>
      <w:tblPr>
        <w:tblW w:w="9067" w:type="dxa"/>
        <w:jc w:val="center"/>
        <w:tblCellMar>
          <w:left w:w="70" w:type="dxa"/>
          <w:right w:w="70" w:type="dxa"/>
        </w:tblCellMar>
        <w:tblLook w:val="04A0" w:firstRow="1" w:lastRow="0" w:firstColumn="1" w:lastColumn="0" w:noHBand="0" w:noVBand="1"/>
      </w:tblPr>
      <w:tblGrid>
        <w:gridCol w:w="5665"/>
        <w:gridCol w:w="1134"/>
        <w:gridCol w:w="1134"/>
        <w:gridCol w:w="1134"/>
      </w:tblGrid>
      <w:tr w:rsidR="00B545DE" w:rsidRPr="00B545DE" w14:paraId="29CF75A8" w14:textId="77777777" w:rsidTr="00AF7ADB">
        <w:trPr>
          <w:trHeight w:val="376"/>
          <w:jc w:val="center"/>
        </w:trPr>
        <w:tc>
          <w:tcPr>
            <w:tcW w:w="5665" w:type="dxa"/>
            <w:tcBorders>
              <w:top w:val="single" w:sz="4" w:space="0" w:color="auto"/>
              <w:left w:val="single" w:sz="4" w:space="0" w:color="auto"/>
              <w:bottom w:val="single" w:sz="8" w:space="0" w:color="auto"/>
              <w:right w:val="single" w:sz="4" w:space="0" w:color="auto"/>
            </w:tcBorders>
            <w:shd w:val="clear" w:color="auto" w:fill="00B0F0"/>
            <w:noWrap/>
            <w:vAlign w:val="center"/>
            <w:hideMark/>
          </w:tcPr>
          <w:p w14:paraId="769150B7" w14:textId="23596B04" w:rsidR="00B545DE" w:rsidRPr="00B545DE" w:rsidRDefault="00B545DE" w:rsidP="003B6260">
            <w:pPr>
              <w:jc w:val="center"/>
              <w:rPr>
                <w:b/>
                <w:color w:val="000000"/>
                <w:sz w:val="22"/>
                <w:szCs w:val="22"/>
                <w:lang w:val="es-GT" w:eastAsia="es-GT"/>
              </w:rPr>
            </w:pPr>
            <w:r w:rsidRPr="00B545DE">
              <w:rPr>
                <w:b/>
                <w:color w:val="000000"/>
                <w:sz w:val="22"/>
                <w:szCs w:val="22"/>
                <w:lang w:val="es-GT" w:eastAsia="es-GT"/>
              </w:rPr>
              <w:t>Descripción</w:t>
            </w:r>
          </w:p>
        </w:tc>
        <w:tc>
          <w:tcPr>
            <w:tcW w:w="1134" w:type="dxa"/>
            <w:tcBorders>
              <w:top w:val="single" w:sz="4" w:space="0" w:color="auto"/>
              <w:left w:val="single" w:sz="4" w:space="0" w:color="auto"/>
              <w:bottom w:val="single" w:sz="8" w:space="0" w:color="auto"/>
              <w:right w:val="single" w:sz="4" w:space="0" w:color="auto"/>
            </w:tcBorders>
            <w:shd w:val="clear" w:color="auto" w:fill="00B0F0"/>
            <w:noWrap/>
            <w:vAlign w:val="center"/>
            <w:hideMark/>
          </w:tcPr>
          <w:p w14:paraId="3FD27DA8" w14:textId="77777777" w:rsidR="00B545DE" w:rsidRPr="00B545DE" w:rsidRDefault="00B545DE" w:rsidP="003B6260">
            <w:pPr>
              <w:jc w:val="center"/>
              <w:rPr>
                <w:b/>
                <w:bCs/>
                <w:color w:val="000000"/>
                <w:sz w:val="22"/>
                <w:szCs w:val="22"/>
                <w:lang w:val="es-GT" w:eastAsia="es-GT"/>
              </w:rPr>
            </w:pPr>
            <w:r w:rsidRPr="00B545DE">
              <w:rPr>
                <w:b/>
                <w:bCs/>
                <w:color w:val="000000"/>
                <w:sz w:val="22"/>
                <w:szCs w:val="22"/>
                <w:lang w:val="es-GT" w:eastAsia="es-GT"/>
              </w:rPr>
              <w:t>2022</w:t>
            </w:r>
          </w:p>
        </w:tc>
        <w:tc>
          <w:tcPr>
            <w:tcW w:w="1134" w:type="dxa"/>
            <w:tcBorders>
              <w:top w:val="single" w:sz="4" w:space="0" w:color="auto"/>
              <w:left w:val="single" w:sz="4" w:space="0" w:color="auto"/>
              <w:bottom w:val="single" w:sz="8" w:space="0" w:color="auto"/>
              <w:right w:val="single" w:sz="4" w:space="0" w:color="auto"/>
            </w:tcBorders>
            <w:shd w:val="clear" w:color="auto" w:fill="00B0F0"/>
            <w:noWrap/>
            <w:vAlign w:val="center"/>
            <w:hideMark/>
          </w:tcPr>
          <w:p w14:paraId="092B7592" w14:textId="77777777" w:rsidR="00B545DE" w:rsidRPr="00B545DE" w:rsidRDefault="00B545DE" w:rsidP="003B6260">
            <w:pPr>
              <w:jc w:val="center"/>
              <w:rPr>
                <w:b/>
                <w:bCs/>
                <w:color w:val="000000"/>
                <w:sz w:val="22"/>
                <w:szCs w:val="22"/>
                <w:lang w:val="es-GT" w:eastAsia="es-GT"/>
              </w:rPr>
            </w:pPr>
            <w:r w:rsidRPr="00B545DE">
              <w:rPr>
                <w:b/>
                <w:bCs/>
                <w:color w:val="000000"/>
                <w:sz w:val="22"/>
                <w:szCs w:val="22"/>
                <w:lang w:val="es-GT" w:eastAsia="es-GT"/>
              </w:rPr>
              <w:t>2023</w:t>
            </w:r>
          </w:p>
        </w:tc>
        <w:tc>
          <w:tcPr>
            <w:tcW w:w="1134" w:type="dxa"/>
            <w:tcBorders>
              <w:top w:val="single" w:sz="4" w:space="0" w:color="auto"/>
              <w:left w:val="single" w:sz="4" w:space="0" w:color="auto"/>
              <w:bottom w:val="single" w:sz="8" w:space="0" w:color="auto"/>
              <w:right w:val="single" w:sz="4" w:space="0" w:color="auto"/>
            </w:tcBorders>
            <w:shd w:val="clear" w:color="auto" w:fill="00B0F0"/>
            <w:noWrap/>
            <w:vAlign w:val="center"/>
            <w:hideMark/>
          </w:tcPr>
          <w:p w14:paraId="634A05DA" w14:textId="77777777" w:rsidR="00B545DE" w:rsidRPr="00B545DE" w:rsidRDefault="00B545DE" w:rsidP="003B6260">
            <w:pPr>
              <w:jc w:val="center"/>
              <w:rPr>
                <w:b/>
                <w:bCs/>
                <w:color w:val="000000"/>
                <w:sz w:val="22"/>
                <w:szCs w:val="22"/>
                <w:lang w:val="es-GT" w:eastAsia="es-GT"/>
              </w:rPr>
            </w:pPr>
            <w:r w:rsidRPr="00B545DE">
              <w:rPr>
                <w:b/>
                <w:bCs/>
                <w:color w:val="000000"/>
                <w:sz w:val="22"/>
                <w:szCs w:val="22"/>
                <w:lang w:val="es-GT" w:eastAsia="es-GT"/>
              </w:rPr>
              <w:t>2024</w:t>
            </w:r>
          </w:p>
        </w:tc>
      </w:tr>
      <w:tr w:rsidR="00B545DE" w:rsidRPr="00B545DE" w14:paraId="712D81DA"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vAlign w:val="bottom"/>
            <w:hideMark/>
          </w:tcPr>
          <w:p w14:paraId="16E1725E" w14:textId="77777777" w:rsidR="00B545DE" w:rsidRPr="00B545DE" w:rsidRDefault="00B545DE" w:rsidP="00B545DE">
            <w:pPr>
              <w:rPr>
                <w:b/>
                <w:bCs/>
                <w:color w:val="000000"/>
                <w:sz w:val="22"/>
                <w:szCs w:val="22"/>
                <w:lang w:val="es-GT" w:eastAsia="es-GT"/>
              </w:rPr>
            </w:pPr>
            <w:r w:rsidRPr="00B545DE">
              <w:rPr>
                <w:b/>
                <w:bCs/>
                <w:color w:val="000000"/>
                <w:sz w:val="22"/>
                <w:szCs w:val="22"/>
                <w:lang w:val="es-GT" w:eastAsia="es-GT"/>
              </w:rPr>
              <w:t>Mundo</w:t>
            </w:r>
          </w:p>
        </w:tc>
        <w:tc>
          <w:tcPr>
            <w:tcW w:w="1134" w:type="dxa"/>
            <w:tcBorders>
              <w:top w:val="nil"/>
              <w:left w:val="single" w:sz="4" w:space="0" w:color="auto"/>
              <w:bottom w:val="nil"/>
              <w:right w:val="single" w:sz="4" w:space="0" w:color="auto"/>
            </w:tcBorders>
            <w:shd w:val="clear" w:color="auto" w:fill="auto"/>
            <w:noWrap/>
            <w:vAlign w:val="center"/>
            <w:hideMark/>
          </w:tcPr>
          <w:p w14:paraId="61ED4CCC"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3.4</w:t>
            </w:r>
          </w:p>
        </w:tc>
        <w:tc>
          <w:tcPr>
            <w:tcW w:w="1134" w:type="dxa"/>
            <w:tcBorders>
              <w:top w:val="nil"/>
              <w:left w:val="single" w:sz="4" w:space="0" w:color="auto"/>
              <w:bottom w:val="nil"/>
              <w:right w:val="single" w:sz="4" w:space="0" w:color="auto"/>
            </w:tcBorders>
            <w:shd w:val="clear" w:color="auto" w:fill="auto"/>
            <w:noWrap/>
            <w:vAlign w:val="center"/>
            <w:hideMark/>
          </w:tcPr>
          <w:p w14:paraId="67A82757"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2.8</w:t>
            </w:r>
          </w:p>
        </w:tc>
        <w:tc>
          <w:tcPr>
            <w:tcW w:w="1134" w:type="dxa"/>
            <w:tcBorders>
              <w:top w:val="nil"/>
              <w:left w:val="single" w:sz="4" w:space="0" w:color="auto"/>
              <w:bottom w:val="nil"/>
              <w:right w:val="single" w:sz="4" w:space="0" w:color="auto"/>
            </w:tcBorders>
            <w:shd w:val="clear" w:color="auto" w:fill="auto"/>
            <w:noWrap/>
            <w:vAlign w:val="center"/>
            <w:hideMark/>
          </w:tcPr>
          <w:p w14:paraId="38FA30C3"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3.0</w:t>
            </w:r>
          </w:p>
        </w:tc>
      </w:tr>
      <w:tr w:rsidR="00B545DE" w:rsidRPr="00B545DE" w14:paraId="65EA7215"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79DB804D" w14:textId="77777777" w:rsidR="00B545DE" w:rsidRPr="003B6260" w:rsidRDefault="00B545DE" w:rsidP="00B545DE">
            <w:pPr>
              <w:ind w:firstLineChars="100" w:firstLine="221"/>
              <w:rPr>
                <w:b/>
                <w:color w:val="000000"/>
                <w:sz w:val="22"/>
                <w:szCs w:val="22"/>
                <w:lang w:val="es-GT" w:eastAsia="es-GT"/>
              </w:rPr>
            </w:pPr>
            <w:r w:rsidRPr="003B6260">
              <w:rPr>
                <w:b/>
                <w:color w:val="000000"/>
                <w:sz w:val="22"/>
                <w:szCs w:val="22"/>
                <w:lang w:val="es-GT" w:eastAsia="es-GT"/>
              </w:rPr>
              <w:t>Economías Avanzadas</w:t>
            </w:r>
          </w:p>
        </w:tc>
        <w:tc>
          <w:tcPr>
            <w:tcW w:w="1134" w:type="dxa"/>
            <w:tcBorders>
              <w:top w:val="nil"/>
              <w:left w:val="single" w:sz="4" w:space="0" w:color="auto"/>
              <w:bottom w:val="nil"/>
              <w:right w:val="single" w:sz="4" w:space="0" w:color="auto"/>
            </w:tcBorders>
            <w:noWrap/>
            <w:vAlign w:val="center"/>
            <w:hideMark/>
          </w:tcPr>
          <w:p w14:paraId="74D610C4" w14:textId="77777777" w:rsidR="00B545DE" w:rsidRPr="003B6260" w:rsidRDefault="00B545DE" w:rsidP="00B545DE">
            <w:pPr>
              <w:jc w:val="center"/>
              <w:rPr>
                <w:b/>
                <w:color w:val="000000"/>
                <w:sz w:val="22"/>
                <w:szCs w:val="22"/>
                <w:lang w:val="es-GT" w:eastAsia="es-GT"/>
              </w:rPr>
            </w:pPr>
            <w:r w:rsidRPr="003B6260">
              <w:rPr>
                <w:b/>
                <w:color w:val="000000"/>
                <w:sz w:val="22"/>
                <w:szCs w:val="22"/>
                <w:lang w:val="es-GT" w:eastAsia="es-GT"/>
              </w:rPr>
              <w:t>2.7</w:t>
            </w:r>
          </w:p>
        </w:tc>
        <w:tc>
          <w:tcPr>
            <w:tcW w:w="1134" w:type="dxa"/>
            <w:tcBorders>
              <w:top w:val="nil"/>
              <w:left w:val="single" w:sz="4" w:space="0" w:color="auto"/>
              <w:bottom w:val="nil"/>
              <w:right w:val="single" w:sz="4" w:space="0" w:color="auto"/>
            </w:tcBorders>
            <w:noWrap/>
            <w:vAlign w:val="center"/>
            <w:hideMark/>
          </w:tcPr>
          <w:p w14:paraId="534E26B7" w14:textId="77777777" w:rsidR="00B545DE" w:rsidRPr="003B6260" w:rsidRDefault="00B545DE" w:rsidP="00B545DE">
            <w:pPr>
              <w:jc w:val="center"/>
              <w:rPr>
                <w:b/>
                <w:color w:val="000000"/>
                <w:sz w:val="22"/>
                <w:szCs w:val="22"/>
                <w:lang w:val="es-GT" w:eastAsia="es-GT"/>
              </w:rPr>
            </w:pPr>
            <w:r w:rsidRPr="003B6260">
              <w:rPr>
                <w:b/>
                <w:color w:val="000000"/>
                <w:sz w:val="22"/>
                <w:szCs w:val="22"/>
                <w:lang w:val="es-GT" w:eastAsia="es-GT"/>
              </w:rPr>
              <w:t>1.3</w:t>
            </w:r>
          </w:p>
        </w:tc>
        <w:tc>
          <w:tcPr>
            <w:tcW w:w="1134" w:type="dxa"/>
            <w:tcBorders>
              <w:top w:val="nil"/>
              <w:left w:val="single" w:sz="4" w:space="0" w:color="auto"/>
              <w:bottom w:val="nil"/>
              <w:right w:val="single" w:sz="4" w:space="0" w:color="auto"/>
            </w:tcBorders>
            <w:noWrap/>
            <w:vAlign w:val="center"/>
            <w:hideMark/>
          </w:tcPr>
          <w:p w14:paraId="78300987" w14:textId="77777777" w:rsidR="00B545DE" w:rsidRPr="003B6260" w:rsidRDefault="00B545DE" w:rsidP="00B545DE">
            <w:pPr>
              <w:jc w:val="center"/>
              <w:rPr>
                <w:b/>
                <w:color w:val="000000"/>
                <w:sz w:val="22"/>
                <w:szCs w:val="22"/>
                <w:lang w:val="es-GT" w:eastAsia="es-GT"/>
              </w:rPr>
            </w:pPr>
            <w:r w:rsidRPr="003B6260">
              <w:rPr>
                <w:b/>
                <w:color w:val="000000"/>
                <w:sz w:val="22"/>
                <w:szCs w:val="22"/>
                <w:lang w:val="es-GT" w:eastAsia="es-GT"/>
              </w:rPr>
              <w:t>1.4</w:t>
            </w:r>
          </w:p>
        </w:tc>
      </w:tr>
      <w:tr w:rsidR="00B545DE" w:rsidRPr="00B545DE" w14:paraId="0DC6F068"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6E277B26"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Estados Unidos</w:t>
            </w:r>
          </w:p>
        </w:tc>
        <w:tc>
          <w:tcPr>
            <w:tcW w:w="1134" w:type="dxa"/>
            <w:tcBorders>
              <w:top w:val="nil"/>
              <w:left w:val="single" w:sz="4" w:space="0" w:color="auto"/>
              <w:bottom w:val="nil"/>
              <w:right w:val="single" w:sz="4" w:space="0" w:color="auto"/>
            </w:tcBorders>
            <w:noWrap/>
            <w:vAlign w:val="center"/>
            <w:hideMark/>
          </w:tcPr>
          <w:p w14:paraId="7BAC53BE"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2.1</w:t>
            </w:r>
          </w:p>
        </w:tc>
        <w:tc>
          <w:tcPr>
            <w:tcW w:w="1134" w:type="dxa"/>
            <w:tcBorders>
              <w:top w:val="nil"/>
              <w:left w:val="single" w:sz="4" w:space="0" w:color="auto"/>
              <w:bottom w:val="nil"/>
              <w:right w:val="single" w:sz="4" w:space="0" w:color="auto"/>
            </w:tcBorders>
            <w:noWrap/>
            <w:vAlign w:val="center"/>
            <w:hideMark/>
          </w:tcPr>
          <w:p w14:paraId="1D159271"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1.6</w:t>
            </w:r>
          </w:p>
        </w:tc>
        <w:tc>
          <w:tcPr>
            <w:tcW w:w="1134" w:type="dxa"/>
            <w:tcBorders>
              <w:top w:val="nil"/>
              <w:left w:val="single" w:sz="4" w:space="0" w:color="auto"/>
              <w:bottom w:val="nil"/>
              <w:right w:val="single" w:sz="4" w:space="0" w:color="auto"/>
            </w:tcBorders>
            <w:noWrap/>
            <w:vAlign w:val="center"/>
            <w:hideMark/>
          </w:tcPr>
          <w:p w14:paraId="5F9FBA9D"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1.1</w:t>
            </w:r>
          </w:p>
        </w:tc>
      </w:tr>
      <w:tr w:rsidR="00B545DE" w:rsidRPr="00B545DE" w14:paraId="57F8AE77"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24017151"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Zona Europea</w:t>
            </w:r>
          </w:p>
        </w:tc>
        <w:tc>
          <w:tcPr>
            <w:tcW w:w="1134" w:type="dxa"/>
            <w:tcBorders>
              <w:top w:val="nil"/>
              <w:left w:val="single" w:sz="4" w:space="0" w:color="auto"/>
              <w:bottom w:val="nil"/>
              <w:right w:val="single" w:sz="4" w:space="0" w:color="auto"/>
            </w:tcBorders>
            <w:noWrap/>
            <w:vAlign w:val="center"/>
            <w:hideMark/>
          </w:tcPr>
          <w:p w14:paraId="6664F85B"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3.5</w:t>
            </w:r>
          </w:p>
        </w:tc>
        <w:tc>
          <w:tcPr>
            <w:tcW w:w="1134" w:type="dxa"/>
            <w:tcBorders>
              <w:top w:val="nil"/>
              <w:left w:val="single" w:sz="4" w:space="0" w:color="auto"/>
              <w:bottom w:val="nil"/>
              <w:right w:val="single" w:sz="4" w:space="0" w:color="auto"/>
            </w:tcBorders>
            <w:noWrap/>
            <w:vAlign w:val="center"/>
            <w:hideMark/>
          </w:tcPr>
          <w:p w14:paraId="4A98A349"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0.8</w:t>
            </w:r>
          </w:p>
        </w:tc>
        <w:tc>
          <w:tcPr>
            <w:tcW w:w="1134" w:type="dxa"/>
            <w:tcBorders>
              <w:top w:val="nil"/>
              <w:left w:val="single" w:sz="4" w:space="0" w:color="auto"/>
              <w:bottom w:val="nil"/>
              <w:right w:val="single" w:sz="4" w:space="0" w:color="auto"/>
            </w:tcBorders>
            <w:noWrap/>
            <w:vAlign w:val="center"/>
            <w:hideMark/>
          </w:tcPr>
          <w:p w14:paraId="5CBCF465"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1.4</w:t>
            </w:r>
          </w:p>
        </w:tc>
      </w:tr>
      <w:tr w:rsidR="00B545DE" w:rsidRPr="00B545DE" w14:paraId="116F9068"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7A49FB05" w14:textId="77777777" w:rsidR="00B545DE" w:rsidRPr="00B545DE" w:rsidRDefault="00B545DE" w:rsidP="00B545DE">
            <w:pPr>
              <w:ind w:firstLineChars="200" w:firstLine="440"/>
              <w:rPr>
                <w:color w:val="000000"/>
                <w:sz w:val="22"/>
                <w:szCs w:val="22"/>
                <w:lang w:val="es-GT" w:eastAsia="es-GT"/>
              </w:rPr>
            </w:pPr>
            <w:r w:rsidRPr="00B545DE">
              <w:rPr>
                <w:color w:val="000000"/>
                <w:sz w:val="22"/>
                <w:szCs w:val="22"/>
                <w:lang w:val="es-GT" w:eastAsia="es-GT"/>
              </w:rPr>
              <w:t>Alemania</w:t>
            </w:r>
          </w:p>
        </w:tc>
        <w:tc>
          <w:tcPr>
            <w:tcW w:w="1134" w:type="dxa"/>
            <w:tcBorders>
              <w:top w:val="nil"/>
              <w:left w:val="single" w:sz="4" w:space="0" w:color="auto"/>
              <w:bottom w:val="nil"/>
              <w:right w:val="single" w:sz="4" w:space="0" w:color="auto"/>
            </w:tcBorders>
            <w:noWrap/>
            <w:vAlign w:val="center"/>
            <w:hideMark/>
          </w:tcPr>
          <w:p w14:paraId="032FEF53"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1.8</w:t>
            </w:r>
          </w:p>
        </w:tc>
        <w:tc>
          <w:tcPr>
            <w:tcW w:w="1134" w:type="dxa"/>
            <w:tcBorders>
              <w:top w:val="nil"/>
              <w:left w:val="single" w:sz="4" w:space="0" w:color="auto"/>
              <w:bottom w:val="nil"/>
              <w:right w:val="single" w:sz="4" w:space="0" w:color="auto"/>
            </w:tcBorders>
            <w:noWrap/>
            <w:vAlign w:val="center"/>
            <w:hideMark/>
          </w:tcPr>
          <w:p w14:paraId="60FCE40B"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-0.1</w:t>
            </w:r>
          </w:p>
        </w:tc>
        <w:tc>
          <w:tcPr>
            <w:tcW w:w="1134" w:type="dxa"/>
            <w:tcBorders>
              <w:top w:val="nil"/>
              <w:left w:val="single" w:sz="4" w:space="0" w:color="auto"/>
              <w:bottom w:val="nil"/>
              <w:right w:val="single" w:sz="4" w:space="0" w:color="auto"/>
            </w:tcBorders>
            <w:noWrap/>
            <w:vAlign w:val="center"/>
            <w:hideMark/>
          </w:tcPr>
          <w:p w14:paraId="60C5703C"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1.1</w:t>
            </w:r>
          </w:p>
        </w:tc>
      </w:tr>
      <w:tr w:rsidR="00B545DE" w:rsidRPr="00B545DE" w14:paraId="15D12724"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00039AC3" w14:textId="77777777" w:rsidR="00B545DE" w:rsidRPr="00B545DE" w:rsidRDefault="00B545DE" w:rsidP="00B545DE">
            <w:pPr>
              <w:ind w:firstLineChars="200" w:firstLine="440"/>
              <w:rPr>
                <w:color w:val="000000"/>
                <w:sz w:val="22"/>
                <w:szCs w:val="22"/>
                <w:lang w:val="es-GT" w:eastAsia="es-GT"/>
              </w:rPr>
            </w:pPr>
            <w:r w:rsidRPr="00B545DE">
              <w:rPr>
                <w:color w:val="000000"/>
                <w:sz w:val="22"/>
                <w:szCs w:val="22"/>
                <w:lang w:val="es-GT" w:eastAsia="es-GT"/>
              </w:rPr>
              <w:t>Francia</w:t>
            </w:r>
          </w:p>
        </w:tc>
        <w:tc>
          <w:tcPr>
            <w:tcW w:w="1134" w:type="dxa"/>
            <w:tcBorders>
              <w:top w:val="nil"/>
              <w:left w:val="single" w:sz="4" w:space="0" w:color="auto"/>
              <w:bottom w:val="nil"/>
              <w:right w:val="single" w:sz="4" w:space="0" w:color="auto"/>
            </w:tcBorders>
            <w:noWrap/>
            <w:vAlign w:val="center"/>
            <w:hideMark/>
          </w:tcPr>
          <w:p w14:paraId="2554C810"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2.6</w:t>
            </w:r>
          </w:p>
        </w:tc>
        <w:tc>
          <w:tcPr>
            <w:tcW w:w="1134" w:type="dxa"/>
            <w:tcBorders>
              <w:top w:val="nil"/>
              <w:left w:val="single" w:sz="4" w:space="0" w:color="auto"/>
              <w:bottom w:val="nil"/>
              <w:right w:val="single" w:sz="4" w:space="0" w:color="auto"/>
            </w:tcBorders>
            <w:noWrap/>
            <w:vAlign w:val="center"/>
            <w:hideMark/>
          </w:tcPr>
          <w:p w14:paraId="408BE182"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0.7</w:t>
            </w:r>
          </w:p>
        </w:tc>
        <w:tc>
          <w:tcPr>
            <w:tcW w:w="1134" w:type="dxa"/>
            <w:tcBorders>
              <w:top w:val="nil"/>
              <w:left w:val="single" w:sz="4" w:space="0" w:color="auto"/>
              <w:bottom w:val="nil"/>
              <w:right w:val="single" w:sz="4" w:space="0" w:color="auto"/>
            </w:tcBorders>
            <w:noWrap/>
            <w:vAlign w:val="center"/>
            <w:hideMark/>
          </w:tcPr>
          <w:p w14:paraId="51571BC5"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1.3</w:t>
            </w:r>
          </w:p>
        </w:tc>
      </w:tr>
      <w:tr w:rsidR="00B545DE" w:rsidRPr="00B545DE" w14:paraId="3208F15D"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13D74A00" w14:textId="77777777" w:rsidR="00B545DE" w:rsidRPr="00B545DE" w:rsidRDefault="00B545DE" w:rsidP="00B545DE">
            <w:pPr>
              <w:ind w:firstLineChars="200" w:firstLine="440"/>
              <w:rPr>
                <w:color w:val="000000"/>
                <w:sz w:val="22"/>
                <w:szCs w:val="22"/>
                <w:lang w:val="es-GT" w:eastAsia="es-GT"/>
              </w:rPr>
            </w:pPr>
            <w:r w:rsidRPr="00B545DE">
              <w:rPr>
                <w:color w:val="000000"/>
                <w:sz w:val="22"/>
                <w:szCs w:val="22"/>
                <w:lang w:val="es-GT" w:eastAsia="es-GT"/>
              </w:rPr>
              <w:t>Italia</w:t>
            </w:r>
          </w:p>
        </w:tc>
        <w:tc>
          <w:tcPr>
            <w:tcW w:w="1134" w:type="dxa"/>
            <w:tcBorders>
              <w:top w:val="nil"/>
              <w:left w:val="single" w:sz="4" w:space="0" w:color="auto"/>
              <w:bottom w:val="nil"/>
              <w:right w:val="single" w:sz="4" w:space="0" w:color="auto"/>
            </w:tcBorders>
            <w:noWrap/>
            <w:vAlign w:val="center"/>
            <w:hideMark/>
          </w:tcPr>
          <w:p w14:paraId="453EA523"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3.7</w:t>
            </w:r>
          </w:p>
        </w:tc>
        <w:tc>
          <w:tcPr>
            <w:tcW w:w="1134" w:type="dxa"/>
            <w:tcBorders>
              <w:top w:val="nil"/>
              <w:left w:val="single" w:sz="4" w:space="0" w:color="auto"/>
              <w:bottom w:val="nil"/>
              <w:right w:val="single" w:sz="4" w:space="0" w:color="auto"/>
            </w:tcBorders>
            <w:noWrap/>
            <w:vAlign w:val="center"/>
            <w:hideMark/>
          </w:tcPr>
          <w:p w14:paraId="0F51FFF7"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0.7</w:t>
            </w:r>
          </w:p>
        </w:tc>
        <w:tc>
          <w:tcPr>
            <w:tcW w:w="1134" w:type="dxa"/>
            <w:tcBorders>
              <w:top w:val="nil"/>
              <w:left w:val="single" w:sz="4" w:space="0" w:color="auto"/>
              <w:bottom w:val="nil"/>
              <w:right w:val="single" w:sz="4" w:space="0" w:color="auto"/>
            </w:tcBorders>
            <w:noWrap/>
            <w:vAlign w:val="center"/>
            <w:hideMark/>
          </w:tcPr>
          <w:p w14:paraId="57D56ECF"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0.8</w:t>
            </w:r>
          </w:p>
        </w:tc>
      </w:tr>
      <w:tr w:rsidR="00B545DE" w:rsidRPr="00B545DE" w14:paraId="69C751E5"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1C20416C" w14:textId="77777777" w:rsidR="00B545DE" w:rsidRPr="00B545DE" w:rsidRDefault="00B545DE" w:rsidP="00B545DE">
            <w:pPr>
              <w:ind w:firstLineChars="200" w:firstLine="440"/>
              <w:rPr>
                <w:color w:val="000000"/>
                <w:sz w:val="22"/>
                <w:szCs w:val="22"/>
                <w:lang w:val="es-GT" w:eastAsia="es-GT"/>
              </w:rPr>
            </w:pPr>
            <w:r w:rsidRPr="00B545DE">
              <w:rPr>
                <w:color w:val="000000"/>
                <w:sz w:val="22"/>
                <w:szCs w:val="22"/>
                <w:lang w:val="es-GT" w:eastAsia="es-GT"/>
              </w:rPr>
              <w:t>España</w:t>
            </w:r>
          </w:p>
        </w:tc>
        <w:tc>
          <w:tcPr>
            <w:tcW w:w="1134" w:type="dxa"/>
            <w:tcBorders>
              <w:top w:val="nil"/>
              <w:left w:val="single" w:sz="4" w:space="0" w:color="auto"/>
              <w:bottom w:val="nil"/>
              <w:right w:val="single" w:sz="4" w:space="0" w:color="auto"/>
            </w:tcBorders>
            <w:noWrap/>
            <w:vAlign w:val="center"/>
            <w:hideMark/>
          </w:tcPr>
          <w:p w14:paraId="1C7A8E66"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5.5</w:t>
            </w:r>
          </w:p>
        </w:tc>
        <w:tc>
          <w:tcPr>
            <w:tcW w:w="1134" w:type="dxa"/>
            <w:tcBorders>
              <w:top w:val="nil"/>
              <w:left w:val="single" w:sz="4" w:space="0" w:color="auto"/>
              <w:bottom w:val="nil"/>
              <w:right w:val="single" w:sz="4" w:space="0" w:color="auto"/>
            </w:tcBorders>
            <w:noWrap/>
            <w:vAlign w:val="center"/>
            <w:hideMark/>
          </w:tcPr>
          <w:p w14:paraId="24B5A171"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1.5</w:t>
            </w:r>
          </w:p>
        </w:tc>
        <w:tc>
          <w:tcPr>
            <w:tcW w:w="1134" w:type="dxa"/>
            <w:tcBorders>
              <w:top w:val="nil"/>
              <w:left w:val="single" w:sz="4" w:space="0" w:color="auto"/>
              <w:bottom w:val="nil"/>
              <w:right w:val="single" w:sz="4" w:space="0" w:color="auto"/>
            </w:tcBorders>
            <w:noWrap/>
            <w:vAlign w:val="center"/>
            <w:hideMark/>
          </w:tcPr>
          <w:p w14:paraId="66FF4357"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2.0</w:t>
            </w:r>
          </w:p>
        </w:tc>
      </w:tr>
      <w:tr w:rsidR="00B545DE" w:rsidRPr="00B545DE" w14:paraId="4A3C9642"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1E9DB09C"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Japón</w:t>
            </w:r>
          </w:p>
        </w:tc>
        <w:tc>
          <w:tcPr>
            <w:tcW w:w="1134" w:type="dxa"/>
            <w:tcBorders>
              <w:top w:val="nil"/>
              <w:left w:val="single" w:sz="4" w:space="0" w:color="auto"/>
              <w:bottom w:val="nil"/>
              <w:right w:val="single" w:sz="4" w:space="0" w:color="auto"/>
            </w:tcBorders>
            <w:noWrap/>
            <w:vAlign w:val="center"/>
            <w:hideMark/>
          </w:tcPr>
          <w:p w14:paraId="228D1229"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1.1</w:t>
            </w:r>
          </w:p>
        </w:tc>
        <w:tc>
          <w:tcPr>
            <w:tcW w:w="1134" w:type="dxa"/>
            <w:tcBorders>
              <w:top w:val="nil"/>
              <w:left w:val="single" w:sz="4" w:space="0" w:color="auto"/>
              <w:bottom w:val="nil"/>
              <w:right w:val="single" w:sz="4" w:space="0" w:color="auto"/>
            </w:tcBorders>
            <w:noWrap/>
            <w:vAlign w:val="center"/>
            <w:hideMark/>
          </w:tcPr>
          <w:p w14:paraId="18FE7F4C"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1.3</w:t>
            </w:r>
          </w:p>
        </w:tc>
        <w:tc>
          <w:tcPr>
            <w:tcW w:w="1134" w:type="dxa"/>
            <w:tcBorders>
              <w:top w:val="nil"/>
              <w:left w:val="single" w:sz="4" w:space="0" w:color="auto"/>
              <w:bottom w:val="nil"/>
              <w:right w:val="single" w:sz="4" w:space="0" w:color="auto"/>
            </w:tcBorders>
            <w:noWrap/>
            <w:vAlign w:val="center"/>
            <w:hideMark/>
          </w:tcPr>
          <w:p w14:paraId="76663643"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1.0</w:t>
            </w:r>
          </w:p>
        </w:tc>
      </w:tr>
      <w:tr w:rsidR="00B545DE" w:rsidRPr="00B545DE" w14:paraId="01ED23E4"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115D4DCD"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Inglaterra</w:t>
            </w:r>
          </w:p>
        </w:tc>
        <w:tc>
          <w:tcPr>
            <w:tcW w:w="1134" w:type="dxa"/>
            <w:tcBorders>
              <w:top w:val="nil"/>
              <w:left w:val="single" w:sz="4" w:space="0" w:color="auto"/>
              <w:bottom w:val="nil"/>
              <w:right w:val="single" w:sz="4" w:space="0" w:color="auto"/>
            </w:tcBorders>
            <w:noWrap/>
            <w:vAlign w:val="center"/>
            <w:hideMark/>
          </w:tcPr>
          <w:p w14:paraId="437E738F"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4.0</w:t>
            </w:r>
          </w:p>
        </w:tc>
        <w:tc>
          <w:tcPr>
            <w:tcW w:w="1134" w:type="dxa"/>
            <w:tcBorders>
              <w:top w:val="nil"/>
              <w:left w:val="single" w:sz="4" w:space="0" w:color="auto"/>
              <w:bottom w:val="nil"/>
              <w:right w:val="single" w:sz="4" w:space="0" w:color="auto"/>
            </w:tcBorders>
            <w:noWrap/>
            <w:vAlign w:val="center"/>
            <w:hideMark/>
          </w:tcPr>
          <w:p w14:paraId="652416BB"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-0.3</w:t>
            </w:r>
          </w:p>
        </w:tc>
        <w:tc>
          <w:tcPr>
            <w:tcW w:w="1134" w:type="dxa"/>
            <w:tcBorders>
              <w:top w:val="nil"/>
              <w:left w:val="single" w:sz="4" w:space="0" w:color="auto"/>
              <w:bottom w:val="nil"/>
              <w:right w:val="single" w:sz="4" w:space="0" w:color="auto"/>
            </w:tcBorders>
            <w:noWrap/>
            <w:vAlign w:val="center"/>
            <w:hideMark/>
          </w:tcPr>
          <w:p w14:paraId="3488DF59"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1.0</w:t>
            </w:r>
          </w:p>
        </w:tc>
      </w:tr>
      <w:tr w:rsidR="00B545DE" w:rsidRPr="00B545DE" w14:paraId="4FC6238E"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01868B0B"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Canadá</w:t>
            </w:r>
          </w:p>
        </w:tc>
        <w:tc>
          <w:tcPr>
            <w:tcW w:w="1134" w:type="dxa"/>
            <w:tcBorders>
              <w:top w:val="nil"/>
              <w:left w:val="single" w:sz="4" w:space="0" w:color="auto"/>
              <w:bottom w:val="nil"/>
              <w:right w:val="single" w:sz="4" w:space="0" w:color="auto"/>
            </w:tcBorders>
            <w:noWrap/>
            <w:vAlign w:val="center"/>
            <w:hideMark/>
          </w:tcPr>
          <w:p w14:paraId="2190D4BB"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3.4</w:t>
            </w:r>
          </w:p>
        </w:tc>
        <w:tc>
          <w:tcPr>
            <w:tcW w:w="1134" w:type="dxa"/>
            <w:tcBorders>
              <w:top w:val="nil"/>
              <w:left w:val="single" w:sz="4" w:space="0" w:color="auto"/>
              <w:bottom w:val="nil"/>
              <w:right w:val="single" w:sz="4" w:space="0" w:color="auto"/>
            </w:tcBorders>
            <w:noWrap/>
            <w:vAlign w:val="center"/>
            <w:hideMark/>
          </w:tcPr>
          <w:p w14:paraId="4C3DC918"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1.5</w:t>
            </w:r>
          </w:p>
        </w:tc>
        <w:tc>
          <w:tcPr>
            <w:tcW w:w="1134" w:type="dxa"/>
            <w:tcBorders>
              <w:top w:val="nil"/>
              <w:left w:val="single" w:sz="4" w:space="0" w:color="auto"/>
              <w:bottom w:val="nil"/>
              <w:right w:val="single" w:sz="4" w:space="0" w:color="auto"/>
            </w:tcBorders>
            <w:noWrap/>
            <w:vAlign w:val="center"/>
            <w:hideMark/>
          </w:tcPr>
          <w:p w14:paraId="79586922"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1.5</w:t>
            </w:r>
          </w:p>
        </w:tc>
      </w:tr>
      <w:tr w:rsidR="00B545DE" w:rsidRPr="00B545DE" w14:paraId="6B8B5CB6" w14:textId="77777777" w:rsidTr="00AF7ADB">
        <w:trPr>
          <w:trHeight w:val="20"/>
          <w:jc w:val="center"/>
        </w:trPr>
        <w:tc>
          <w:tcPr>
            <w:tcW w:w="5665" w:type="dxa"/>
            <w:tcBorders>
              <w:top w:val="nil"/>
              <w:left w:val="single" w:sz="4" w:space="0" w:color="auto"/>
              <w:bottom w:val="nil"/>
              <w:right w:val="single" w:sz="4" w:space="0" w:color="auto"/>
            </w:tcBorders>
            <w:noWrap/>
            <w:vAlign w:val="bottom"/>
            <w:hideMark/>
          </w:tcPr>
          <w:p w14:paraId="7F4ECF21"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Otras Economías Avanzadas</w:t>
            </w:r>
          </w:p>
        </w:tc>
        <w:tc>
          <w:tcPr>
            <w:tcW w:w="1134" w:type="dxa"/>
            <w:tcBorders>
              <w:top w:val="nil"/>
              <w:left w:val="single" w:sz="4" w:space="0" w:color="auto"/>
              <w:bottom w:val="nil"/>
              <w:right w:val="single" w:sz="4" w:space="0" w:color="auto"/>
            </w:tcBorders>
            <w:noWrap/>
            <w:vAlign w:val="center"/>
            <w:hideMark/>
          </w:tcPr>
          <w:p w14:paraId="0D6D2F4F"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2.6</w:t>
            </w:r>
          </w:p>
        </w:tc>
        <w:tc>
          <w:tcPr>
            <w:tcW w:w="1134" w:type="dxa"/>
            <w:tcBorders>
              <w:top w:val="nil"/>
              <w:left w:val="single" w:sz="4" w:space="0" w:color="auto"/>
              <w:bottom w:val="nil"/>
              <w:right w:val="single" w:sz="4" w:space="0" w:color="auto"/>
            </w:tcBorders>
            <w:noWrap/>
            <w:vAlign w:val="center"/>
            <w:hideMark/>
          </w:tcPr>
          <w:p w14:paraId="30BCA92A"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1.8</w:t>
            </w:r>
          </w:p>
        </w:tc>
        <w:tc>
          <w:tcPr>
            <w:tcW w:w="1134" w:type="dxa"/>
            <w:tcBorders>
              <w:top w:val="nil"/>
              <w:left w:val="single" w:sz="4" w:space="0" w:color="auto"/>
              <w:bottom w:val="nil"/>
              <w:right w:val="single" w:sz="4" w:space="0" w:color="auto"/>
            </w:tcBorders>
            <w:noWrap/>
            <w:vAlign w:val="center"/>
            <w:hideMark/>
          </w:tcPr>
          <w:p w14:paraId="50B28454"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2.2</w:t>
            </w:r>
          </w:p>
        </w:tc>
      </w:tr>
      <w:tr w:rsidR="00B545DE" w:rsidRPr="00B545DE" w14:paraId="433608CC"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vAlign w:val="bottom"/>
            <w:hideMark/>
          </w:tcPr>
          <w:p w14:paraId="5C7095EC" w14:textId="39DFCB6F" w:rsidR="00B545DE" w:rsidRPr="00B545DE" w:rsidRDefault="00B545DE" w:rsidP="00B545DE">
            <w:pPr>
              <w:ind w:firstLineChars="100" w:firstLine="221"/>
              <w:rPr>
                <w:b/>
                <w:bCs/>
                <w:color w:val="000000"/>
                <w:sz w:val="22"/>
                <w:szCs w:val="22"/>
                <w:lang w:val="es-GT" w:eastAsia="es-GT"/>
              </w:rPr>
            </w:pPr>
            <w:r w:rsidRPr="00B545DE">
              <w:rPr>
                <w:b/>
                <w:bCs/>
                <w:color w:val="000000"/>
                <w:sz w:val="22"/>
                <w:szCs w:val="22"/>
                <w:lang w:val="es-GT" w:eastAsia="es-GT"/>
              </w:rPr>
              <w:t xml:space="preserve">Economías de </w:t>
            </w:r>
            <w:r w:rsidR="003B6260">
              <w:rPr>
                <w:b/>
                <w:bCs/>
                <w:color w:val="000000"/>
                <w:sz w:val="22"/>
                <w:szCs w:val="22"/>
                <w:lang w:val="es-GT" w:eastAsia="es-GT"/>
              </w:rPr>
              <w:t>M</w:t>
            </w:r>
            <w:r w:rsidRPr="00B545DE">
              <w:rPr>
                <w:b/>
                <w:bCs/>
                <w:color w:val="000000"/>
                <w:sz w:val="22"/>
                <w:szCs w:val="22"/>
                <w:lang w:val="es-GT" w:eastAsia="es-GT"/>
              </w:rPr>
              <w:t xml:space="preserve">ercados </w:t>
            </w:r>
            <w:r w:rsidR="003B6260">
              <w:rPr>
                <w:b/>
                <w:bCs/>
                <w:color w:val="000000"/>
                <w:sz w:val="22"/>
                <w:szCs w:val="22"/>
                <w:lang w:val="es-GT" w:eastAsia="es-GT"/>
              </w:rPr>
              <w:t>E</w:t>
            </w:r>
            <w:r w:rsidRPr="00B545DE">
              <w:rPr>
                <w:b/>
                <w:bCs/>
                <w:color w:val="000000"/>
                <w:sz w:val="22"/>
                <w:szCs w:val="22"/>
                <w:lang w:val="es-GT" w:eastAsia="es-GT"/>
              </w:rPr>
              <w:t xml:space="preserve">mergentes y en </w:t>
            </w:r>
            <w:r w:rsidR="003B6260">
              <w:rPr>
                <w:b/>
                <w:bCs/>
                <w:color w:val="000000"/>
                <w:sz w:val="22"/>
                <w:szCs w:val="22"/>
                <w:lang w:val="es-GT" w:eastAsia="es-GT"/>
              </w:rPr>
              <w:t>D</w:t>
            </w:r>
            <w:r w:rsidRPr="00B545DE">
              <w:rPr>
                <w:b/>
                <w:bCs/>
                <w:color w:val="000000"/>
                <w:sz w:val="22"/>
                <w:szCs w:val="22"/>
                <w:lang w:val="es-GT" w:eastAsia="es-GT"/>
              </w:rPr>
              <w:t>esarrollo</w:t>
            </w:r>
          </w:p>
        </w:tc>
        <w:tc>
          <w:tcPr>
            <w:tcW w:w="1134" w:type="dxa"/>
            <w:tcBorders>
              <w:top w:val="nil"/>
              <w:left w:val="single" w:sz="4" w:space="0" w:color="auto"/>
              <w:bottom w:val="nil"/>
              <w:right w:val="single" w:sz="4" w:space="0" w:color="auto"/>
            </w:tcBorders>
            <w:shd w:val="clear" w:color="auto" w:fill="auto"/>
            <w:noWrap/>
            <w:vAlign w:val="center"/>
            <w:hideMark/>
          </w:tcPr>
          <w:p w14:paraId="66345679"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4.0</w:t>
            </w:r>
          </w:p>
        </w:tc>
        <w:tc>
          <w:tcPr>
            <w:tcW w:w="1134" w:type="dxa"/>
            <w:tcBorders>
              <w:top w:val="nil"/>
              <w:left w:val="single" w:sz="4" w:space="0" w:color="auto"/>
              <w:bottom w:val="nil"/>
              <w:right w:val="single" w:sz="4" w:space="0" w:color="auto"/>
            </w:tcBorders>
            <w:shd w:val="clear" w:color="auto" w:fill="auto"/>
            <w:noWrap/>
            <w:vAlign w:val="center"/>
            <w:hideMark/>
          </w:tcPr>
          <w:p w14:paraId="00E654B3"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3.9</w:t>
            </w:r>
          </w:p>
        </w:tc>
        <w:tc>
          <w:tcPr>
            <w:tcW w:w="1134" w:type="dxa"/>
            <w:tcBorders>
              <w:top w:val="nil"/>
              <w:left w:val="single" w:sz="4" w:space="0" w:color="auto"/>
              <w:bottom w:val="nil"/>
              <w:right w:val="single" w:sz="4" w:space="0" w:color="auto"/>
            </w:tcBorders>
            <w:shd w:val="clear" w:color="auto" w:fill="auto"/>
            <w:noWrap/>
            <w:vAlign w:val="center"/>
            <w:hideMark/>
          </w:tcPr>
          <w:p w14:paraId="1F4C0A5B"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4.2</w:t>
            </w:r>
          </w:p>
        </w:tc>
      </w:tr>
      <w:tr w:rsidR="00B545DE" w:rsidRPr="00B545DE" w14:paraId="08BBA9C8"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hideMark/>
          </w:tcPr>
          <w:p w14:paraId="0AFC40E2" w14:textId="064B09B1" w:rsidR="00B545DE" w:rsidRPr="003B6260" w:rsidRDefault="00B545DE" w:rsidP="00B545DE">
            <w:pPr>
              <w:ind w:firstLineChars="100" w:firstLine="221"/>
              <w:rPr>
                <w:b/>
                <w:color w:val="000000"/>
                <w:sz w:val="22"/>
                <w:szCs w:val="22"/>
                <w:lang w:val="es-GT" w:eastAsia="es-GT"/>
              </w:rPr>
            </w:pPr>
            <w:r w:rsidRPr="003B6260">
              <w:rPr>
                <w:b/>
                <w:color w:val="000000"/>
                <w:sz w:val="22"/>
                <w:szCs w:val="22"/>
                <w:lang w:val="es-GT" w:eastAsia="es-GT"/>
              </w:rPr>
              <w:t xml:space="preserve">   Economías </w:t>
            </w:r>
            <w:r w:rsidR="003B6260">
              <w:rPr>
                <w:b/>
                <w:color w:val="000000"/>
                <w:sz w:val="22"/>
                <w:szCs w:val="22"/>
                <w:lang w:val="es-GT" w:eastAsia="es-GT"/>
              </w:rPr>
              <w:t>E</w:t>
            </w:r>
            <w:r w:rsidRPr="003B6260">
              <w:rPr>
                <w:b/>
                <w:color w:val="000000"/>
                <w:sz w:val="22"/>
                <w:szCs w:val="22"/>
                <w:lang w:val="es-GT" w:eastAsia="es-GT"/>
              </w:rPr>
              <w:t xml:space="preserve">mergentes y en </w:t>
            </w:r>
            <w:r w:rsidR="003B6260">
              <w:rPr>
                <w:b/>
                <w:color w:val="000000"/>
                <w:sz w:val="22"/>
                <w:szCs w:val="22"/>
                <w:lang w:val="es-GT" w:eastAsia="es-GT"/>
              </w:rPr>
              <w:t>D</w:t>
            </w:r>
            <w:r w:rsidRPr="003B6260">
              <w:rPr>
                <w:b/>
                <w:color w:val="000000"/>
                <w:sz w:val="22"/>
                <w:szCs w:val="22"/>
                <w:lang w:val="es-GT" w:eastAsia="es-GT"/>
              </w:rPr>
              <w:t>esarrollo de Asia</w:t>
            </w:r>
          </w:p>
        </w:tc>
        <w:tc>
          <w:tcPr>
            <w:tcW w:w="1134" w:type="dxa"/>
            <w:tcBorders>
              <w:top w:val="nil"/>
              <w:left w:val="single" w:sz="4" w:space="0" w:color="auto"/>
              <w:bottom w:val="nil"/>
              <w:right w:val="single" w:sz="4" w:space="0" w:color="auto"/>
            </w:tcBorders>
            <w:shd w:val="clear" w:color="auto" w:fill="auto"/>
            <w:noWrap/>
            <w:vAlign w:val="center"/>
            <w:hideMark/>
          </w:tcPr>
          <w:p w14:paraId="0A51D3E7" w14:textId="77777777" w:rsidR="00B545DE" w:rsidRPr="003B6260" w:rsidRDefault="00B545DE" w:rsidP="00B545DE">
            <w:pPr>
              <w:jc w:val="center"/>
              <w:rPr>
                <w:b/>
                <w:color w:val="000000"/>
                <w:sz w:val="22"/>
                <w:szCs w:val="22"/>
                <w:lang w:val="es-GT" w:eastAsia="es-GT"/>
              </w:rPr>
            </w:pPr>
            <w:r w:rsidRPr="003B6260">
              <w:rPr>
                <w:b/>
                <w:color w:val="000000"/>
                <w:sz w:val="22"/>
                <w:szCs w:val="22"/>
                <w:lang w:val="es-GT" w:eastAsia="es-GT"/>
              </w:rPr>
              <w:t>4.4</w:t>
            </w:r>
          </w:p>
        </w:tc>
        <w:tc>
          <w:tcPr>
            <w:tcW w:w="1134" w:type="dxa"/>
            <w:tcBorders>
              <w:top w:val="nil"/>
              <w:left w:val="single" w:sz="4" w:space="0" w:color="auto"/>
              <w:bottom w:val="nil"/>
              <w:right w:val="single" w:sz="4" w:space="0" w:color="auto"/>
            </w:tcBorders>
            <w:shd w:val="clear" w:color="auto" w:fill="auto"/>
            <w:noWrap/>
            <w:vAlign w:val="center"/>
            <w:hideMark/>
          </w:tcPr>
          <w:p w14:paraId="003B086F" w14:textId="77777777" w:rsidR="00B545DE" w:rsidRPr="003B6260" w:rsidRDefault="00B545DE" w:rsidP="00B545DE">
            <w:pPr>
              <w:jc w:val="center"/>
              <w:rPr>
                <w:b/>
                <w:color w:val="000000"/>
                <w:sz w:val="22"/>
                <w:szCs w:val="22"/>
                <w:lang w:val="es-GT" w:eastAsia="es-GT"/>
              </w:rPr>
            </w:pPr>
            <w:r w:rsidRPr="003B6260">
              <w:rPr>
                <w:b/>
                <w:color w:val="000000"/>
                <w:sz w:val="22"/>
                <w:szCs w:val="22"/>
                <w:lang w:val="es-GT" w:eastAsia="es-GT"/>
              </w:rPr>
              <w:t>5.3</w:t>
            </w:r>
          </w:p>
        </w:tc>
        <w:tc>
          <w:tcPr>
            <w:tcW w:w="1134" w:type="dxa"/>
            <w:tcBorders>
              <w:top w:val="nil"/>
              <w:left w:val="single" w:sz="4" w:space="0" w:color="auto"/>
              <w:bottom w:val="nil"/>
              <w:right w:val="single" w:sz="4" w:space="0" w:color="auto"/>
            </w:tcBorders>
            <w:shd w:val="clear" w:color="auto" w:fill="auto"/>
            <w:noWrap/>
            <w:vAlign w:val="center"/>
            <w:hideMark/>
          </w:tcPr>
          <w:p w14:paraId="73BF30AF" w14:textId="77777777" w:rsidR="00B545DE" w:rsidRPr="003B6260" w:rsidRDefault="00B545DE" w:rsidP="00B545DE">
            <w:pPr>
              <w:jc w:val="center"/>
              <w:rPr>
                <w:b/>
                <w:color w:val="000000"/>
                <w:sz w:val="22"/>
                <w:szCs w:val="22"/>
                <w:lang w:val="es-GT" w:eastAsia="es-GT"/>
              </w:rPr>
            </w:pPr>
            <w:r w:rsidRPr="003B6260">
              <w:rPr>
                <w:b/>
                <w:color w:val="000000"/>
                <w:sz w:val="22"/>
                <w:szCs w:val="22"/>
                <w:lang w:val="es-GT" w:eastAsia="es-GT"/>
              </w:rPr>
              <w:t>5.1</w:t>
            </w:r>
          </w:p>
        </w:tc>
      </w:tr>
      <w:tr w:rsidR="00B545DE" w:rsidRPr="00B545DE" w14:paraId="2F4AA474"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hideMark/>
          </w:tcPr>
          <w:p w14:paraId="226D176E"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 xml:space="preserve">       China</w:t>
            </w:r>
          </w:p>
        </w:tc>
        <w:tc>
          <w:tcPr>
            <w:tcW w:w="1134" w:type="dxa"/>
            <w:tcBorders>
              <w:top w:val="nil"/>
              <w:left w:val="single" w:sz="4" w:space="0" w:color="auto"/>
              <w:bottom w:val="nil"/>
              <w:right w:val="single" w:sz="4" w:space="0" w:color="auto"/>
            </w:tcBorders>
            <w:shd w:val="clear" w:color="auto" w:fill="auto"/>
            <w:noWrap/>
            <w:vAlign w:val="center"/>
            <w:hideMark/>
          </w:tcPr>
          <w:p w14:paraId="4E288C29"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3.0</w:t>
            </w:r>
          </w:p>
        </w:tc>
        <w:tc>
          <w:tcPr>
            <w:tcW w:w="1134" w:type="dxa"/>
            <w:tcBorders>
              <w:top w:val="nil"/>
              <w:left w:val="single" w:sz="4" w:space="0" w:color="auto"/>
              <w:bottom w:val="nil"/>
              <w:right w:val="single" w:sz="4" w:space="0" w:color="auto"/>
            </w:tcBorders>
            <w:shd w:val="clear" w:color="auto" w:fill="auto"/>
            <w:noWrap/>
            <w:vAlign w:val="center"/>
            <w:hideMark/>
          </w:tcPr>
          <w:p w14:paraId="0495D964"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5.2</w:t>
            </w:r>
          </w:p>
        </w:tc>
        <w:tc>
          <w:tcPr>
            <w:tcW w:w="1134" w:type="dxa"/>
            <w:tcBorders>
              <w:top w:val="nil"/>
              <w:left w:val="single" w:sz="4" w:space="0" w:color="auto"/>
              <w:bottom w:val="nil"/>
              <w:right w:val="single" w:sz="4" w:space="0" w:color="auto"/>
            </w:tcBorders>
            <w:shd w:val="clear" w:color="auto" w:fill="auto"/>
            <w:noWrap/>
            <w:vAlign w:val="center"/>
            <w:hideMark/>
          </w:tcPr>
          <w:p w14:paraId="03C1724D"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4.5</w:t>
            </w:r>
          </w:p>
        </w:tc>
      </w:tr>
      <w:tr w:rsidR="00B545DE" w:rsidRPr="00B545DE" w14:paraId="2BA0FA4A"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hideMark/>
          </w:tcPr>
          <w:p w14:paraId="5D93BD9F" w14:textId="07BF7E7B"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 xml:space="preserve">       India</w:t>
            </w:r>
          </w:p>
        </w:tc>
        <w:tc>
          <w:tcPr>
            <w:tcW w:w="1134" w:type="dxa"/>
            <w:tcBorders>
              <w:top w:val="nil"/>
              <w:left w:val="single" w:sz="4" w:space="0" w:color="auto"/>
              <w:bottom w:val="nil"/>
              <w:right w:val="single" w:sz="4" w:space="0" w:color="auto"/>
            </w:tcBorders>
            <w:shd w:val="clear" w:color="auto" w:fill="auto"/>
            <w:noWrap/>
            <w:vAlign w:val="center"/>
            <w:hideMark/>
          </w:tcPr>
          <w:p w14:paraId="07DE618B"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6.8</w:t>
            </w:r>
          </w:p>
        </w:tc>
        <w:tc>
          <w:tcPr>
            <w:tcW w:w="1134" w:type="dxa"/>
            <w:tcBorders>
              <w:top w:val="nil"/>
              <w:left w:val="single" w:sz="4" w:space="0" w:color="auto"/>
              <w:bottom w:val="nil"/>
              <w:right w:val="single" w:sz="4" w:space="0" w:color="auto"/>
            </w:tcBorders>
            <w:shd w:val="clear" w:color="auto" w:fill="auto"/>
            <w:noWrap/>
            <w:vAlign w:val="center"/>
            <w:hideMark/>
          </w:tcPr>
          <w:p w14:paraId="7950D0BB"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5.9</w:t>
            </w:r>
          </w:p>
        </w:tc>
        <w:tc>
          <w:tcPr>
            <w:tcW w:w="1134" w:type="dxa"/>
            <w:tcBorders>
              <w:top w:val="nil"/>
              <w:left w:val="single" w:sz="4" w:space="0" w:color="auto"/>
              <w:bottom w:val="nil"/>
              <w:right w:val="single" w:sz="4" w:space="0" w:color="auto"/>
            </w:tcBorders>
            <w:shd w:val="clear" w:color="auto" w:fill="auto"/>
            <w:noWrap/>
            <w:vAlign w:val="center"/>
            <w:hideMark/>
          </w:tcPr>
          <w:p w14:paraId="2C64A1D4"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6.3</w:t>
            </w:r>
          </w:p>
        </w:tc>
      </w:tr>
      <w:tr w:rsidR="00B545DE" w:rsidRPr="00B545DE" w14:paraId="68DC7CAA"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hideMark/>
          </w:tcPr>
          <w:p w14:paraId="59AEAC2B" w14:textId="498982B0" w:rsidR="00B545DE" w:rsidRPr="00B545DE" w:rsidRDefault="00B545DE" w:rsidP="00B545DE">
            <w:pPr>
              <w:ind w:firstLineChars="100" w:firstLine="221"/>
              <w:rPr>
                <w:b/>
                <w:bCs/>
                <w:color w:val="000000"/>
                <w:sz w:val="22"/>
                <w:szCs w:val="22"/>
                <w:lang w:val="es-GT" w:eastAsia="es-GT"/>
              </w:rPr>
            </w:pPr>
            <w:r w:rsidRPr="00B545DE">
              <w:rPr>
                <w:b/>
                <w:bCs/>
                <w:color w:val="000000"/>
                <w:sz w:val="22"/>
                <w:szCs w:val="22"/>
                <w:lang w:val="es-GT" w:eastAsia="es-GT"/>
              </w:rPr>
              <w:t xml:space="preserve">Economías </w:t>
            </w:r>
            <w:r w:rsidR="003B6260">
              <w:rPr>
                <w:b/>
                <w:bCs/>
                <w:color w:val="000000"/>
                <w:sz w:val="22"/>
                <w:szCs w:val="22"/>
                <w:lang w:val="es-GT" w:eastAsia="es-GT"/>
              </w:rPr>
              <w:t>E</w:t>
            </w:r>
            <w:r w:rsidRPr="00B545DE">
              <w:rPr>
                <w:b/>
                <w:bCs/>
                <w:color w:val="000000"/>
                <w:sz w:val="22"/>
                <w:szCs w:val="22"/>
                <w:lang w:val="es-GT" w:eastAsia="es-GT"/>
              </w:rPr>
              <w:t xml:space="preserve">mergentes y en </w:t>
            </w:r>
            <w:r w:rsidR="003B6260">
              <w:rPr>
                <w:b/>
                <w:bCs/>
                <w:color w:val="000000"/>
                <w:sz w:val="22"/>
                <w:szCs w:val="22"/>
                <w:lang w:val="es-GT" w:eastAsia="es-GT"/>
              </w:rPr>
              <w:t>D</w:t>
            </w:r>
            <w:r w:rsidRPr="00B545DE">
              <w:rPr>
                <w:b/>
                <w:bCs/>
                <w:color w:val="000000"/>
                <w:sz w:val="22"/>
                <w:szCs w:val="22"/>
                <w:lang w:val="es-GT" w:eastAsia="es-GT"/>
              </w:rPr>
              <w:t>esarrollo de Europa</w:t>
            </w:r>
          </w:p>
        </w:tc>
        <w:tc>
          <w:tcPr>
            <w:tcW w:w="1134" w:type="dxa"/>
            <w:tcBorders>
              <w:top w:val="nil"/>
              <w:left w:val="single" w:sz="4" w:space="0" w:color="auto"/>
              <w:bottom w:val="nil"/>
              <w:right w:val="single" w:sz="4" w:space="0" w:color="auto"/>
            </w:tcBorders>
            <w:shd w:val="clear" w:color="auto" w:fill="auto"/>
            <w:noWrap/>
            <w:vAlign w:val="center"/>
            <w:hideMark/>
          </w:tcPr>
          <w:p w14:paraId="1D0FCBCF"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0.8</w:t>
            </w:r>
          </w:p>
        </w:tc>
        <w:tc>
          <w:tcPr>
            <w:tcW w:w="1134" w:type="dxa"/>
            <w:tcBorders>
              <w:top w:val="nil"/>
              <w:left w:val="single" w:sz="4" w:space="0" w:color="auto"/>
              <w:bottom w:val="nil"/>
              <w:right w:val="single" w:sz="4" w:space="0" w:color="auto"/>
            </w:tcBorders>
            <w:shd w:val="clear" w:color="auto" w:fill="auto"/>
            <w:noWrap/>
            <w:vAlign w:val="center"/>
            <w:hideMark/>
          </w:tcPr>
          <w:p w14:paraId="020A840B"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1.2</w:t>
            </w:r>
          </w:p>
        </w:tc>
        <w:tc>
          <w:tcPr>
            <w:tcW w:w="1134" w:type="dxa"/>
            <w:tcBorders>
              <w:top w:val="nil"/>
              <w:left w:val="single" w:sz="4" w:space="0" w:color="auto"/>
              <w:bottom w:val="nil"/>
              <w:right w:val="single" w:sz="4" w:space="0" w:color="auto"/>
            </w:tcBorders>
            <w:shd w:val="clear" w:color="auto" w:fill="auto"/>
            <w:noWrap/>
            <w:vAlign w:val="center"/>
            <w:hideMark/>
          </w:tcPr>
          <w:p w14:paraId="6878442E"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2.5</w:t>
            </w:r>
          </w:p>
        </w:tc>
      </w:tr>
      <w:tr w:rsidR="00B545DE" w:rsidRPr="00B545DE" w14:paraId="0D7D8616"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hideMark/>
          </w:tcPr>
          <w:p w14:paraId="6DA78270"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 xml:space="preserve">      Rusia</w:t>
            </w:r>
          </w:p>
        </w:tc>
        <w:tc>
          <w:tcPr>
            <w:tcW w:w="1134" w:type="dxa"/>
            <w:tcBorders>
              <w:top w:val="nil"/>
              <w:left w:val="single" w:sz="4" w:space="0" w:color="auto"/>
              <w:bottom w:val="nil"/>
              <w:right w:val="single" w:sz="4" w:space="0" w:color="auto"/>
            </w:tcBorders>
            <w:shd w:val="clear" w:color="auto" w:fill="auto"/>
            <w:noWrap/>
            <w:vAlign w:val="center"/>
            <w:hideMark/>
          </w:tcPr>
          <w:p w14:paraId="4E43E61E"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-2.1</w:t>
            </w:r>
          </w:p>
        </w:tc>
        <w:tc>
          <w:tcPr>
            <w:tcW w:w="1134" w:type="dxa"/>
            <w:tcBorders>
              <w:top w:val="nil"/>
              <w:left w:val="single" w:sz="4" w:space="0" w:color="auto"/>
              <w:bottom w:val="nil"/>
              <w:right w:val="single" w:sz="4" w:space="0" w:color="auto"/>
            </w:tcBorders>
            <w:shd w:val="clear" w:color="auto" w:fill="auto"/>
            <w:noWrap/>
            <w:vAlign w:val="center"/>
            <w:hideMark/>
          </w:tcPr>
          <w:p w14:paraId="1DDFE83D"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0.7</w:t>
            </w:r>
          </w:p>
        </w:tc>
        <w:tc>
          <w:tcPr>
            <w:tcW w:w="1134" w:type="dxa"/>
            <w:tcBorders>
              <w:top w:val="nil"/>
              <w:left w:val="single" w:sz="4" w:space="0" w:color="auto"/>
              <w:bottom w:val="nil"/>
              <w:right w:val="single" w:sz="4" w:space="0" w:color="auto"/>
            </w:tcBorders>
            <w:shd w:val="clear" w:color="auto" w:fill="auto"/>
            <w:noWrap/>
            <w:vAlign w:val="center"/>
            <w:hideMark/>
          </w:tcPr>
          <w:p w14:paraId="31DD2FBF"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1.3</w:t>
            </w:r>
          </w:p>
        </w:tc>
      </w:tr>
      <w:tr w:rsidR="00B545DE" w:rsidRPr="00B545DE" w14:paraId="663BF072" w14:textId="77777777" w:rsidTr="00AF7ADB">
        <w:trPr>
          <w:trHeight w:val="20"/>
          <w:jc w:val="center"/>
        </w:trPr>
        <w:tc>
          <w:tcPr>
            <w:tcW w:w="5665" w:type="dxa"/>
            <w:tcBorders>
              <w:top w:val="nil"/>
              <w:left w:val="single" w:sz="4" w:space="0" w:color="auto"/>
              <w:bottom w:val="nil"/>
              <w:right w:val="single" w:sz="4" w:space="0" w:color="auto"/>
            </w:tcBorders>
            <w:shd w:val="clear" w:color="auto" w:fill="auto"/>
            <w:noWrap/>
            <w:hideMark/>
          </w:tcPr>
          <w:p w14:paraId="238DA959" w14:textId="77777777" w:rsidR="00B545DE" w:rsidRPr="00B545DE" w:rsidRDefault="00B545DE" w:rsidP="00B545DE">
            <w:pPr>
              <w:ind w:firstLineChars="100" w:firstLine="221"/>
              <w:rPr>
                <w:b/>
                <w:bCs/>
                <w:color w:val="000000"/>
                <w:sz w:val="22"/>
                <w:szCs w:val="22"/>
                <w:lang w:val="es-GT" w:eastAsia="es-GT"/>
              </w:rPr>
            </w:pPr>
            <w:r w:rsidRPr="00B545DE">
              <w:rPr>
                <w:b/>
                <w:bCs/>
                <w:color w:val="000000"/>
                <w:sz w:val="22"/>
                <w:szCs w:val="22"/>
                <w:lang w:val="es-GT" w:eastAsia="es-GT"/>
              </w:rPr>
              <w:t>América Latina y el Caribe</w:t>
            </w:r>
          </w:p>
        </w:tc>
        <w:tc>
          <w:tcPr>
            <w:tcW w:w="1134" w:type="dxa"/>
            <w:tcBorders>
              <w:top w:val="nil"/>
              <w:left w:val="single" w:sz="4" w:space="0" w:color="auto"/>
              <w:bottom w:val="nil"/>
              <w:right w:val="single" w:sz="4" w:space="0" w:color="auto"/>
            </w:tcBorders>
            <w:shd w:val="clear" w:color="auto" w:fill="auto"/>
            <w:noWrap/>
            <w:vAlign w:val="center"/>
            <w:hideMark/>
          </w:tcPr>
          <w:p w14:paraId="0CA68D62"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4.0</w:t>
            </w:r>
          </w:p>
        </w:tc>
        <w:tc>
          <w:tcPr>
            <w:tcW w:w="1134" w:type="dxa"/>
            <w:tcBorders>
              <w:top w:val="nil"/>
              <w:left w:val="single" w:sz="4" w:space="0" w:color="auto"/>
              <w:bottom w:val="nil"/>
              <w:right w:val="single" w:sz="4" w:space="0" w:color="auto"/>
            </w:tcBorders>
            <w:shd w:val="clear" w:color="auto" w:fill="auto"/>
            <w:noWrap/>
            <w:vAlign w:val="center"/>
            <w:hideMark/>
          </w:tcPr>
          <w:p w14:paraId="6C8A981B"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1.6</w:t>
            </w:r>
          </w:p>
        </w:tc>
        <w:tc>
          <w:tcPr>
            <w:tcW w:w="1134" w:type="dxa"/>
            <w:tcBorders>
              <w:top w:val="nil"/>
              <w:left w:val="single" w:sz="4" w:space="0" w:color="auto"/>
              <w:bottom w:val="nil"/>
              <w:right w:val="single" w:sz="4" w:space="0" w:color="auto"/>
            </w:tcBorders>
            <w:shd w:val="clear" w:color="auto" w:fill="auto"/>
            <w:noWrap/>
            <w:vAlign w:val="center"/>
            <w:hideMark/>
          </w:tcPr>
          <w:p w14:paraId="1BFA23CB" w14:textId="77777777" w:rsidR="00B545DE" w:rsidRPr="00B545DE" w:rsidRDefault="00B545DE" w:rsidP="00B545DE">
            <w:pPr>
              <w:jc w:val="center"/>
              <w:rPr>
                <w:b/>
                <w:bCs/>
                <w:color w:val="000000"/>
                <w:sz w:val="22"/>
                <w:szCs w:val="22"/>
                <w:lang w:val="es-GT" w:eastAsia="es-GT"/>
              </w:rPr>
            </w:pPr>
            <w:r w:rsidRPr="00B545DE">
              <w:rPr>
                <w:b/>
                <w:bCs/>
                <w:color w:val="000000"/>
                <w:sz w:val="22"/>
                <w:szCs w:val="22"/>
                <w:lang w:val="es-GT" w:eastAsia="es-GT"/>
              </w:rPr>
              <w:t>2.2</w:t>
            </w:r>
          </w:p>
        </w:tc>
      </w:tr>
      <w:tr w:rsidR="00B545DE" w:rsidRPr="00B545DE" w14:paraId="03A65CC6" w14:textId="77777777" w:rsidTr="00AF7ADB">
        <w:trPr>
          <w:trHeight w:val="20"/>
          <w:jc w:val="center"/>
        </w:trPr>
        <w:tc>
          <w:tcPr>
            <w:tcW w:w="5665" w:type="dxa"/>
            <w:tcBorders>
              <w:top w:val="nil"/>
              <w:left w:val="single" w:sz="4" w:space="0" w:color="auto"/>
              <w:bottom w:val="nil"/>
              <w:right w:val="single" w:sz="4" w:space="0" w:color="auto"/>
            </w:tcBorders>
            <w:noWrap/>
            <w:hideMark/>
          </w:tcPr>
          <w:p w14:paraId="24842D1E"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 xml:space="preserve">      Brasil</w:t>
            </w:r>
          </w:p>
        </w:tc>
        <w:tc>
          <w:tcPr>
            <w:tcW w:w="1134" w:type="dxa"/>
            <w:tcBorders>
              <w:top w:val="nil"/>
              <w:left w:val="single" w:sz="4" w:space="0" w:color="auto"/>
              <w:bottom w:val="nil"/>
              <w:right w:val="single" w:sz="4" w:space="0" w:color="auto"/>
            </w:tcBorders>
            <w:noWrap/>
            <w:vAlign w:val="center"/>
            <w:hideMark/>
          </w:tcPr>
          <w:p w14:paraId="7DC39A5B"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2.9</w:t>
            </w:r>
          </w:p>
        </w:tc>
        <w:tc>
          <w:tcPr>
            <w:tcW w:w="1134" w:type="dxa"/>
            <w:tcBorders>
              <w:top w:val="nil"/>
              <w:left w:val="single" w:sz="4" w:space="0" w:color="auto"/>
              <w:bottom w:val="nil"/>
              <w:right w:val="single" w:sz="4" w:space="0" w:color="auto"/>
            </w:tcBorders>
            <w:noWrap/>
            <w:vAlign w:val="center"/>
            <w:hideMark/>
          </w:tcPr>
          <w:p w14:paraId="540599AE"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0.9</w:t>
            </w:r>
          </w:p>
        </w:tc>
        <w:tc>
          <w:tcPr>
            <w:tcW w:w="1134" w:type="dxa"/>
            <w:tcBorders>
              <w:top w:val="nil"/>
              <w:left w:val="single" w:sz="4" w:space="0" w:color="auto"/>
              <w:bottom w:val="nil"/>
              <w:right w:val="single" w:sz="4" w:space="0" w:color="auto"/>
            </w:tcBorders>
            <w:noWrap/>
            <w:vAlign w:val="center"/>
            <w:hideMark/>
          </w:tcPr>
          <w:p w14:paraId="75E59587"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1.5</w:t>
            </w:r>
          </w:p>
        </w:tc>
      </w:tr>
      <w:tr w:rsidR="00B545DE" w:rsidRPr="00B545DE" w14:paraId="23FD226A" w14:textId="77777777" w:rsidTr="00AF7ADB">
        <w:trPr>
          <w:trHeight w:val="20"/>
          <w:jc w:val="center"/>
        </w:trPr>
        <w:tc>
          <w:tcPr>
            <w:tcW w:w="5665" w:type="dxa"/>
            <w:tcBorders>
              <w:top w:val="nil"/>
              <w:left w:val="single" w:sz="4" w:space="0" w:color="auto"/>
              <w:bottom w:val="single" w:sz="4" w:space="0" w:color="auto"/>
              <w:right w:val="single" w:sz="4" w:space="0" w:color="auto"/>
            </w:tcBorders>
            <w:noWrap/>
            <w:hideMark/>
          </w:tcPr>
          <w:p w14:paraId="2041CDCE" w14:textId="77777777" w:rsidR="00B545DE" w:rsidRPr="00B545DE" w:rsidRDefault="00B545DE" w:rsidP="00B545DE">
            <w:pPr>
              <w:ind w:firstLineChars="100" w:firstLine="220"/>
              <w:rPr>
                <w:color w:val="000000"/>
                <w:sz w:val="22"/>
                <w:szCs w:val="22"/>
                <w:lang w:val="es-GT" w:eastAsia="es-GT"/>
              </w:rPr>
            </w:pPr>
            <w:r w:rsidRPr="00B545DE">
              <w:rPr>
                <w:color w:val="000000"/>
                <w:sz w:val="22"/>
                <w:szCs w:val="22"/>
                <w:lang w:val="es-GT" w:eastAsia="es-GT"/>
              </w:rPr>
              <w:t xml:space="preserve">      México</w:t>
            </w:r>
          </w:p>
        </w:tc>
        <w:tc>
          <w:tcPr>
            <w:tcW w:w="1134" w:type="dxa"/>
            <w:tcBorders>
              <w:top w:val="nil"/>
              <w:left w:val="single" w:sz="4" w:space="0" w:color="auto"/>
              <w:bottom w:val="single" w:sz="4" w:space="0" w:color="auto"/>
              <w:right w:val="single" w:sz="4" w:space="0" w:color="auto"/>
            </w:tcBorders>
            <w:noWrap/>
            <w:vAlign w:val="center"/>
            <w:hideMark/>
          </w:tcPr>
          <w:p w14:paraId="17812251"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3.1</w:t>
            </w:r>
          </w:p>
        </w:tc>
        <w:tc>
          <w:tcPr>
            <w:tcW w:w="1134" w:type="dxa"/>
            <w:tcBorders>
              <w:top w:val="nil"/>
              <w:left w:val="single" w:sz="4" w:space="0" w:color="auto"/>
              <w:bottom w:val="single" w:sz="4" w:space="0" w:color="auto"/>
              <w:right w:val="single" w:sz="4" w:space="0" w:color="auto"/>
            </w:tcBorders>
            <w:noWrap/>
            <w:vAlign w:val="center"/>
            <w:hideMark/>
          </w:tcPr>
          <w:p w14:paraId="500E4608"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1.8</w:t>
            </w:r>
          </w:p>
        </w:tc>
        <w:tc>
          <w:tcPr>
            <w:tcW w:w="1134" w:type="dxa"/>
            <w:tcBorders>
              <w:top w:val="nil"/>
              <w:left w:val="single" w:sz="4" w:space="0" w:color="auto"/>
              <w:bottom w:val="single" w:sz="4" w:space="0" w:color="auto"/>
              <w:right w:val="single" w:sz="4" w:space="0" w:color="auto"/>
            </w:tcBorders>
            <w:noWrap/>
            <w:vAlign w:val="center"/>
            <w:hideMark/>
          </w:tcPr>
          <w:p w14:paraId="4EA17B1F" w14:textId="77777777" w:rsidR="00B545DE" w:rsidRPr="00B545DE" w:rsidRDefault="00B545DE" w:rsidP="00B545DE">
            <w:pPr>
              <w:jc w:val="center"/>
              <w:rPr>
                <w:color w:val="000000"/>
                <w:sz w:val="22"/>
                <w:szCs w:val="22"/>
                <w:lang w:val="es-GT" w:eastAsia="es-GT"/>
              </w:rPr>
            </w:pPr>
            <w:r w:rsidRPr="00B545DE">
              <w:rPr>
                <w:color w:val="000000"/>
                <w:sz w:val="22"/>
                <w:szCs w:val="22"/>
                <w:lang w:val="es-GT" w:eastAsia="es-GT"/>
              </w:rPr>
              <w:t>1.6</w:t>
            </w:r>
          </w:p>
        </w:tc>
      </w:tr>
    </w:tbl>
    <w:p w14:paraId="411E014B" w14:textId="7BB20E80" w:rsidR="00B545DE" w:rsidRPr="0074726A" w:rsidRDefault="00B545DE" w:rsidP="00B545DE">
      <w:pPr>
        <w:jc w:val="both"/>
        <w:rPr>
          <w:sz w:val="18"/>
          <w:lang w:eastAsia="en-US"/>
        </w:rPr>
      </w:pPr>
      <w:r w:rsidRPr="0074726A">
        <w:rPr>
          <w:sz w:val="18"/>
          <w:lang w:eastAsia="en-US"/>
        </w:rPr>
        <w:t xml:space="preserve">Fuente: FMI, WEO abril </w:t>
      </w:r>
      <w:r w:rsidR="003B6260" w:rsidRPr="0074726A">
        <w:rPr>
          <w:sz w:val="18"/>
          <w:lang w:eastAsia="en-US"/>
        </w:rPr>
        <w:t xml:space="preserve">de </w:t>
      </w:r>
      <w:r w:rsidRPr="0074726A">
        <w:rPr>
          <w:sz w:val="18"/>
          <w:lang w:eastAsia="en-US"/>
        </w:rPr>
        <w:t>2023.</w:t>
      </w:r>
    </w:p>
    <w:p w14:paraId="6D451D2A" w14:textId="77777777" w:rsidR="0059509D" w:rsidRDefault="0059509D" w:rsidP="00B545DE">
      <w:pPr>
        <w:jc w:val="both"/>
        <w:rPr>
          <w:rFonts w:cs="Calibri"/>
        </w:rPr>
      </w:pPr>
    </w:p>
    <w:p w14:paraId="0B10927B" w14:textId="18897B1F" w:rsidR="00B545DE" w:rsidRPr="00770DBE" w:rsidRDefault="00B545DE" w:rsidP="00B545DE">
      <w:pPr>
        <w:jc w:val="both"/>
      </w:pPr>
      <w:r w:rsidRPr="00770DBE">
        <w:rPr>
          <w:rFonts w:cs="Calibri"/>
        </w:rPr>
        <w:t>Para las economías de mercados emergentes y en desarrollo</w:t>
      </w:r>
      <w:r w:rsidR="003461CE">
        <w:rPr>
          <w:rFonts w:cs="Calibri"/>
        </w:rPr>
        <w:t>,</w:t>
      </w:r>
      <w:r w:rsidRPr="00770DBE">
        <w:rPr>
          <w:rFonts w:cs="Calibri"/>
        </w:rPr>
        <w:t xml:space="preserve"> se espera un crecimiento de 3.9%, menor al presentado en 2022. Las </w:t>
      </w:r>
      <w:r w:rsidR="003461CE">
        <w:rPr>
          <w:rFonts w:cs="Calibri"/>
        </w:rPr>
        <w:t>e</w:t>
      </w:r>
      <w:r w:rsidRPr="00770DBE">
        <w:rPr>
          <w:rFonts w:cs="Calibri"/>
        </w:rPr>
        <w:t xml:space="preserve">conomías </w:t>
      </w:r>
      <w:r w:rsidR="003461CE">
        <w:rPr>
          <w:rFonts w:cs="Calibri"/>
        </w:rPr>
        <w:t>e</w:t>
      </w:r>
      <w:r w:rsidRPr="00770DBE">
        <w:rPr>
          <w:rFonts w:cs="Calibri"/>
        </w:rPr>
        <w:t xml:space="preserve">mergentes y en </w:t>
      </w:r>
      <w:r w:rsidR="003461CE">
        <w:rPr>
          <w:rFonts w:cs="Calibri"/>
        </w:rPr>
        <w:t>d</w:t>
      </w:r>
      <w:r w:rsidRPr="00770DBE">
        <w:rPr>
          <w:rFonts w:cs="Calibri"/>
        </w:rPr>
        <w:t>esarrollo de Asia son las únicas a las que se prevé que puedan aumentar su crecimiento en 2023</w:t>
      </w:r>
      <w:r w:rsidR="003461CE">
        <w:rPr>
          <w:rFonts w:cs="Calibri"/>
        </w:rPr>
        <w:t>,</w:t>
      </w:r>
      <w:r w:rsidRPr="00770DBE">
        <w:rPr>
          <w:rFonts w:cs="Calibri"/>
        </w:rPr>
        <w:t xml:space="preserve"> con respecto al año anterior, pasando de 4.4% en 2022 a 5.3% en 2023; contrario a América Latina y el Caribe</w:t>
      </w:r>
      <w:r w:rsidR="003461CE">
        <w:rPr>
          <w:rFonts w:cs="Calibri"/>
        </w:rPr>
        <w:t>,</w:t>
      </w:r>
      <w:r w:rsidRPr="00770DBE">
        <w:rPr>
          <w:rFonts w:cs="Calibri"/>
        </w:rPr>
        <w:t xml:space="preserve"> </w:t>
      </w:r>
      <w:r w:rsidR="003461CE">
        <w:rPr>
          <w:rFonts w:cs="Calibri"/>
        </w:rPr>
        <w:t>el</w:t>
      </w:r>
      <w:r w:rsidRPr="00770DBE">
        <w:rPr>
          <w:rFonts w:cs="Calibri"/>
        </w:rPr>
        <w:t xml:space="preserve"> cual se espera que pas</w:t>
      </w:r>
      <w:r w:rsidR="003461CE">
        <w:rPr>
          <w:rFonts w:cs="Calibri"/>
        </w:rPr>
        <w:t>e</w:t>
      </w:r>
      <w:r w:rsidRPr="00770DBE">
        <w:rPr>
          <w:rFonts w:cs="Calibri"/>
        </w:rPr>
        <w:t xml:space="preserve"> de 4.0% en 2022 a 1.6% en 2023, a medida que se debilite el crecimiento de los países socios, se endurezcan las condiciones financieras y se relajen los precios de materias primas. Además, </w:t>
      </w:r>
      <w:r w:rsidR="003461CE">
        <w:rPr>
          <w:rFonts w:cs="Calibri"/>
        </w:rPr>
        <w:t xml:space="preserve">considerando que </w:t>
      </w:r>
      <w:r w:rsidRPr="00770DBE">
        <w:rPr>
          <w:rFonts w:cs="Calibri"/>
        </w:rPr>
        <w:t>el Banco Mundial prevé que se reduzca la demanda de exportaciones, la inversión regional disminuirá como consecuencia del aumento de los costos de financiamiento, la escasa confianza empresarial y la fuerte incertidumbre</w:t>
      </w:r>
      <w:r w:rsidRPr="00770DBE">
        <w:rPr>
          <w:lang w:eastAsia="en-US"/>
        </w:rPr>
        <w:t>.</w:t>
      </w:r>
    </w:p>
    <w:p w14:paraId="15D02A5D" w14:textId="77777777" w:rsidR="00B545DE" w:rsidRPr="00770DBE" w:rsidRDefault="00B545DE" w:rsidP="00B545DE">
      <w:pPr>
        <w:jc w:val="both"/>
        <w:rPr>
          <w:lang w:eastAsia="en-US"/>
        </w:rPr>
      </w:pPr>
    </w:p>
    <w:p w14:paraId="6DF5F5AB" w14:textId="0F7CCA59" w:rsidR="00B545DE" w:rsidRDefault="00B545DE" w:rsidP="00B545DE">
      <w:pPr>
        <w:jc w:val="both"/>
        <w:rPr>
          <w:lang w:eastAsia="en-US"/>
        </w:rPr>
      </w:pPr>
      <w:r w:rsidRPr="00770DBE">
        <w:rPr>
          <w:lang w:eastAsia="en-US"/>
        </w:rPr>
        <w:t>En lo que respeta a los precios internacionales del crudo de petróleo, el precio spot de WTI se ubicó en US$ 76.</w:t>
      </w:r>
      <w:r w:rsidR="003461CE">
        <w:rPr>
          <w:lang w:eastAsia="en-US"/>
        </w:rPr>
        <w:t>7</w:t>
      </w:r>
      <w:r w:rsidRPr="00770DBE">
        <w:rPr>
          <w:lang w:eastAsia="en-US"/>
        </w:rPr>
        <w:t xml:space="preserve"> por barril para el 30 de junio del presente año, mostrando cierta tendencia a </w:t>
      </w:r>
      <w:r w:rsidR="003461CE">
        <w:rPr>
          <w:lang w:eastAsia="en-US"/>
        </w:rPr>
        <w:t xml:space="preserve">la </w:t>
      </w:r>
      <w:r w:rsidRPr="00770DBE">
        <w:rPr>
          <w:lang w:eastAsia="en-US"/>
        </w:rPr>
        <w:t xml:space="preserve">baja en los precios. Asimismo, los precios de varias materias primas han experimentado una estabilización en los primeros seis meses. En el caso de los insumos alimenticios, principalmente maíz y </w:t>
      </w:r>
      <w:r>
        <w:rPr>
          <w:lang w:eastAsia="en-US"/>
        </w:rPr>
        <w:t>trigo,</w:t>
      </w:r>
      <w:r w:rsidRPr="00770DBE">
        <w:rPr>
          <w:lang w:eastAsia="en-US"/>
        </w:rPr>
        <w:t xml:space="preserve"> los decrementos han sido sostenidos; mientras que, en los metálicos, que registr</w:t>
      </w:r>
      <w:r w:rsidR="003461CE">
        <w:rPr>
          <w:lang w:eastAsia="en-US"/>
        </w:rPr>
        <w:t>ó</w:t>
      </w:r>
      <w:r w:rsidRPr="00770DBE">
        <w:rPr>
          <w:lang w:eastAsia="en-US"/>
        </w:rPr>
        <w:t xml:space="preserve"> un fuerte decrecimiento en mayo y junio, </w:t>
      </w:r>
      <w:r w:rsidR="00BD5138">
        <w:rPr>
          <w:lang w:eastAsia="en-US"/>
        </w:rPr>
        <w:t xml:space="preserve">y </w:t>
      </w:r>
      <w:r w:rsidRPr="00770DBE">
        <w:rPr>
          <w:lang w:eastAsia="en-US"/>
        </w:rPr>
        <w:t>tendieron al alza a partir de esa fecha.</w:t>
      </w:r>
    </w:p>
    <w:p w14:paraId="416B7600" w14:textId="77777777" w:rsidR="0059509D" w:rsidRPr="00770DBE" w:rsidRDefault="0059509D" w:rsidP="00B545DE">
      <w:pPr>
        <w:jc w:val="both"/>
        <w:rPr>
          <w:lang w:eastAsia="en-US"/>
        </w:rPr>
      </w:pPr>
    </w:p>
    <w:tbl>
      <w:tblPr>
        <w:tblStyle w:val="Tablaconcuadrcula"/>
        <w:tblW w:w="88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49"/>
      </w:tblGrid>
      <w:tr w:rsidR="00B545DE" w:rsidRPr="00A93840" w14:paraId="0111171A" w14:textId="77777777" w:rsidTr="00B545DE">
        <w:trPr>
          <w:trHeight w:val="20"/>
        </w:trPr>
        <w:tc>
          <w:tcPr>
            <w:tcW w:w="4449" w:type="dxa"/>
            <w:vAlign w:val="center"/>
          </w:tcPr>
          <w:p w14:paraId="0FDE90B1" w14:textId="64D5DBB8" w:rsidR="00B545DE" w:rsidRPr="00A93840" w:rsidRDefault="0059509D" w:rsidP="00B545DE">
            <w:pPr>
              <w:keepNext/>
              <w:spacing w:after="200"/>
              <w:jc w:val="center"/>
              <w:rPr>
                <w:b/>
                <w:iCs/>
                <w:color w:val="000000" w:themeColor="text2"/>
                <w:lang w:val="es-GT" w:eastAsia="en-US"/>
              </w:rPr>
            </w:pPr>
            <w:r>
              <w:rPr>
                <w:b/>
                <w:iCs/>
                <w:lang w:val="es-GT" w:eastAsia="en-US"/>
              </w:rPr>
              <w:t>Gráfica 15</w:t>
            </w:r>
            <w:r w:rsidR="00B545DE" w:rsidRPr="00A93840">
              <w:rPr>
                <w:b/>
                <w:iCs/>
                <w:lang w:val="es-GT" w:eastAsia="en-US"/>
              </w:rPr>
              <w:t xml:space="preserve">.  </w:t>
            </w:r>
            <w:r w:rsidR="00B545DE" w:rsidRPr="00A93840">
              <w:rPr>
                <w:b/>
                <w:bCs/>
                <w:iCs/>
                <w:lang w:val="es-GT" w:eastAsia="en-US"/>
              </w:rPr>
              <w:t xml:space="preserve">Precio </w:t>
            </w:r>
            <w:r w:rsidR="00BD5138">
              <w:rPr>
                <w:b/>
                <w:bCs/>
                <w:iCs/>
                <w:lang w:val="es-GT" w:eastAsia="en-US"/>
              </w:rPr>
              <w:t>S</w:t>
            </w:r>
            <w:r w:rsidR="00B545DE" w:rsidRPr="00A93840">
              <w:rPr>
                <w:b/>
                <w:bCs/>
                <w:iCs/>
                <w:lang w:val="es-GT" w:eastAsia="en-US"/>
              </w:rPr>
              <w:t xml:space="preserve">pot del </w:t>
            </w:r>
            <w:r w:rsidR="00BD5138">
              <w:rPr>
                <w:b/>
                <w:bCs/>
                <w:iCs/>
                <w:lang w:val="es-GT" w:eastAsia="en-US"/>
              </w:rPr>
              <w:t>C</w:t>
            </w:r>
            <w:r w:rsidR="00B545DE" w:rsidRPr="00A93840">
              <w:rPr>
                <w:b/>
                <w:bCs/>
                <w:iCs/>
                <w:lang w:val="es-GT" w:eastAsia="en-US"/>
              </w:rPr>
              <w:t>rudo WTI</w:t>
            </w:r>
          </w:p>
        </w:tc>
        <w:tc>
          <w:tcPr>
            <w:tcW w:w="4449" w:type="dxa"/>
            <w:vAlign w:val="center"/>
          </w:tcPr>
          <w:p w14:paraId="68619B9B" w14:textId="77777777" w:rsidR="00B545DE" w:rsidRPr="00A93840" w:rsidRDefault="00B545DE" w:rsidP="00B545DE">
            <w:pPr>
              <w:keepNext/>
              <w:jc w:val="center"/>
              <w:rPr>
                <w:b/>
                <w:iCs/>
                <w:lang w:val="es-GT" w:eastAsia="en-US"/>
              </w:rPr>
            </w:pPr>
          </w:p>
          <w:p w14:paraId="039B8A30" w14:textId="09880963" w:rsidR="00B545DE" w:rsidRPr="00A93840" w:rsidRDefault="0059509D" w:rsidP="00B545DE">
            <w:pPr>
              <w:keepNext/>
              <w:spacing w:after="200"/>
              <w:jc w:val="center"/>
              <w:rPr>
                <w:b/>
                <w:iCs/>
                <w:color w:val="000000" w:themeColor="text2"/>
                <w:lang w:val="es-GT" w:eastAsia="en-US"/>
              </w:rPr>
            </w:pPr>
            <w:r>
              <w:rPr>
                <w:b/>
                <w:iCs/>
                <w:lang w:val="es-GT" w:eastAsia="en-US"/>
              </w:rPr>
              <w:t>Gráfica 16</w:t>
            </w:r>
            <w:r w:rsidR="00B545DE" w:rsidRPr="00A93840">
              <w:rPr>
                <w:b/>
                <w:iCs/>
                <w:lang w:val="es-GT" w:eastAsia="en-US"/>
              </w:rPr>
              <w:t xml:space="preserve">.  </w:t>
            </w:r>
            <w:r w:rsidR="00B545DE" w:rsidRPr="00A93840">
              <w:rPr>
                <w:b/>
                <w:bCs/>
                <w:iCs/>
                <w:lang w:val="es-GT" w:eastAsia="en-US"/>
              </w:rPr>
              <w:t xml:space="preserve">Precio de </w:t>
            </w:r>
            <w:r w:rsidR="00BD5138">
              <w:rPr>
                <w:b/>
                <w:bCs/>
                <w:iCs/>
                <w:lang w:val="es-GT" w:eastAsia="en-US"/>
              </w:rPr>
              <w:t>F</w:t>
            </w:r>
            <w:r w:rsidR="00B545DE" w:rsidRPr="00A93840">
              <w:rPr>
                <w:b/>
                <w:bCs/>
                <w:iCs/>
                <w:lang w:val="es-GT" w:eastAsia="en-US"/>
              </w:rPr>
              <w:t xml:space="preserve">uturos de </w:t>
            </w:r>
            <w:r w:rsidR="00BD5138">
              <w:rPr>
                <w:b/>
                <w:bCs/>
                <w:iCs/>
                <w:lang w:val="es-GT" w:eastAsia="en-US"/>
              </w:rPr>
              <w:t>M</w:t>
            </w:r>
            <w:r w:rsidR="00B545DE" w:rsidRPr="00A93840">
              <w:rPr>
                <w:b/>
                <w:bCs/>
                <w:iCs/>
                <w:lang w:val="es-GT" w:eastAsia="en-US"/>
              </w:rPr>
              <w:t xml:space="preserve">aíz y </w:t>
            </w:r>
            <w:r w:rsidR="00BD5138">
              <w:rPr>
                <w:b/>
                <w:bCs/>
                <w:iCs/>
                <w:lang w:val="es-GT" w:eastAsia="en-US"/>
              </w:rPr>
              <w:t>T</w:t>
            </w:r>
            <w:r w:rsidR="00B545DE" w:rsidRPr="00A93840">
              <w:rPr>
                <w:b/>
                <w:bCs/>
                <w:iCs/>
                <w:lang w:val="es-GT" w:eastAsia="en-US"/>
              </w:rPr>
              <w:t>rigo</w:t>
            </w:r>
          </w:p>
        </w:tc>
      </w:tr>
      <w:tr w:rsidR="00B545DE" w:rsidRPr="00A93840" w14:paraId="1C2AE579" w14:textId="77777777" w:rsidTr="00B545DE">
        <w:tblPrEx>
          <w:tblCellMar>
            <w:left w:w="70" w:type="dxa"/>
            <w:right w:w="70" w:type="dxa"/>
          </w:tblCellMar>
        </w:tblPrEx>
        <w:trPr>
          <w:trHeight w:val="1918"/>
        </w:trPr>
        <w:tc>
          <w:tcPr>
            <w:tcW w:w="4449" w:type="dxa"/>
          </w:tcPr>
          <w:p w14:paraId="07AFF4C0" w14:textId="77777777" w:rsidR="00B545DE" w:rsidRPr="00A93840" w:rsidRDefault="00B545DE" w:rsidP="00B545DE">
            <w:pPr>
              <w:ind w:right="49"/>
              <w:jc w:val="both"/>
              <w:rPr>
                <w:lang w:val="es-MX"/>
              </w:rPr>
            </w:pPr>
            <w:r w:rsidRPr="00A93840">
              <w:rPr>
                <w:noProof/>
              </w:rPr>
              <w:drawing>
                <wp:inline distT="0" distB="0" distL="0" distR="0" wp14:anchorId="157E60B1" wp14:editId="2A2BF166">
                  <wp:extent cx="2701290" cy="2339340"/>
                  <wp:effectExtent l="0" t="0" r="3810" b="3810"/>
                  <wp:docPr id="3"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4449" w:type="dxa"/>
          </w:tcPr>
          <w:p w14:paraId="044D14FD" w14:textId="77777777" w:rsidR="00B545DE" w:rsidRPr="00A93840" w:rsidRDefault="00B545DE" w:rsidP="00B545DE">
            <w:pPr>
              <w:ind w:right="49"/>
              <w:jc w:val="both"/>
              <w:rPr>
                <w:lang w:val="es-MX"/>
              </w:rPr>
            </w:pPr>
            <w:r w:rsidRPr="00A93840">
              <w:rPr>
                <w:noProof/>
              </w:rPr>
              <w:drawing>
                <wp:inline distT="0" distB="0" distL="0" distR="0" wp14:anchorId="1BF62B0F" wp14:editId="3EFA7A20">
                  <wp:extent cx="2701290" cy="2319020"/>
                  <wp:effectExtent l="0" t="0" r="3810" b="5080"/>
                  <wp:docPr id="9"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B545DE" w:rsidRPr="0059509D" w14:paraId="2DC025A6" w14:textId="77777777" w:rsidTr="00B545DE">
        <w:trPr>
          <w:trHeight w:val="116"/>
        </w:trPr>
        <w:tc>
          <w:tcPr>
            <w:tcW w:w="8898" w:type="dxa"/>
            <w:gridSpan w:val="2"/>
          </w:tcPr>
          <w:p w14:paraId="34B20D97" w14:textId="77777777" w:rsidR="00B545DE" w:rsidRPr="0059509D" w:rsidRDefault="00B545DE" w:rsidP="00B545DE">
            <w:pPr>
              <w:ind w:right="49"/>
              <w:jc w:val="both"/>
              <w:rPr>
                <w:sz w:val="18"/>
                <w:szCs w:val="18"/>
                <w:lang w:val="es-MX"/>
              </w:rPr>
            </w:pPr>
            <w:r w:rsidRPr="0059509D">
              <w:rPr>
                <w:sz w:val="18"/>
                <w:szCs w:val="18"/>
              </w:rPr>
              <w:t>Fuente: Administración de Información de Energía de EE.UU. e Investing.</w:t>
            </w:r>
          </w:p>
        </w:tc>
      </w:tr>
    </w:tbl>
    <w:p w14:paraId="3F710D96" w14:textId="77777777" w:rsidR="00B545DE" w:rsidRPr="0059509D" w:rsidRDefault="00B545DE" w:rsidP="00B545DE">
      <w:pPr>
        <w:jc w:val="both"/>
        <w:rPr>
          <w:sz w:val="36"/>
          <w:lang w:eastAsia="en-US"/>
        </w:rPr>
      </w:pPr>
    </w:p>
    <w:p w14:paraId="6F22FF21" w14:textId="77777777" w:rsidR="00B545DE" w:rsidRPr="00A93840" w:rsidRDefault="00B545DE" w:rsidP="00BD5138">
      <w:pPr>
        <w:pStyle w:val="Ttulo3"/>
        <w:numPr>
          <w:ilvl w:val="0"/>
          <w:numId w:val="8"/>
        </w:numPr>
        <w:ind w:left="426"/>
        <w:rPr>
          <w:rFonts w:ascii="Times New Roman" w:hAnsi="Times New Roman"/>
          <w:color w:val="auto"/>
        </w:rPr>
      </w:pPr>
      <w:bookmarkStart w:id="41" w:name="_Toc142549345"/>
      <w:bookmarkStart w:id="42" w:name="_Toc142920553"/>
      <w:r>
        <w:rPr>
          <w:rFonts w:ascii="Times New Roman" w:hAnsi="Times New Roman"/>
          <w:color w:val="auto"/>
        </w:rPr>
        <w:t>Entorno Macroeconómico Nacional</w:t>
      </w:r>
      <w:bookmarkEnd w:id="41"/>
      <w:bookmarkEnd w:id="42"/>
    </w:p>
    <w:p w14:paraId="2CA29006" w14:textId="77777777" w:rsidR="00B545DE" w:rsidRDefault="00B545DE" w:rsidP="00B545DE">
      <w:pPr>
        <w:jc w:val="both"/>
        <w:rPr>
          <w:lang w:eastAsia="en-US"/>
        </w:rPr>
      </w:pPr>
    </w:p>
    <w:p w14:paraId="737BF38B" w14:textId="53C74C77" w:rsidR="00B545DE" w:rsidRDefault="00B545DE" w:rsidP="00B545DE">
      <w:pPr>
        <w:jc w:val="both"/>
        <w:rPr>
          <w:lang w:eastAsia="en-US"/>
        </w:rPr>
      </w:pPr>
      <w:r w:rsidRPr="00A93840">
        <w:rPr>
          <w:lang w:eastAsia="en-US"/>
        </w:rPr>
        <w:t>A partir de la recuperación económica registrada en 2020, resultado de la desaceleración de la economía mundial y de las medidas sanitarias para contener la propagación del C</w:t>
      </w:r>
      <w:r w:rsidR="00A16B47">
        <w:rPr>
          <w:lang w:eastAsia="en-US"/>
        </w:rPr>
        <w:t>ovid</w:t>
      </w:r>
      <w:r w:rsidRPr="00A93840">
        <w:rPr>
          <w:lang w:eastAsia="en-US"/>
        </w:rPr>
        <w:t>-19, el proceso de recuperación de la actividad económica se consolidó en 2021 y mantuvo un crecimiento moderado en 2022 (B</w:t>
      </w:r>
      <w:r w:rsidR="00A16B47">
        <w:rPr>
          <w:lang w:eastAsia="en-US"/>
        </w:rPr>
        <w:t>ANGUAT</w:t>
      </w:r>
      <w:r w:rsidRPr="00A93840">
        <w:rPr>
          <w:lang w:eastAsia="en-US"/>
        </w:rPr>
        <w:t xml:space="preserve">, 2023). Por lo </w:t>
      </w:r>
      <w:r w:rsidR="00A16B47">
        <w:rPr>
          <w:lang w:eastAsia="en-US"/>
        </w:rPr>
        <w:t xml:space="preserve">tanto, </w:t>
      </w:r>
      <w:r w:rsidRPr="00A93840">
        <w:rPr>
          <w:lang w:eastAsia="en-US"/>
        </w:rPr>
        <w:t xml:space="preserve">el Banco de Guatemala en abril del presente año indicó que el crecimiento económico podría </w:t>
      </w:r>
      <w:r w:rsidR="00A16B47">
        <w:rPr>
          <w:lang w:eastAsia="en-US"/>
        </w:rPr>
        <w:t>situarse</w:t>
      </w:r>
      <w:r w:rsidRPr="00A93840">
        <w:rPr>
          <w:lang w:eastAsia="en-US"/>
        </w:rPr>
        <w:t xml:space="preserve"> entre 2.5% y 4.5%. Por otro lado, el Fondo Monetario Internacional </w:t>
      </w:r>
      <w:r w:rsidR="00A16B47">
        <w:rPr>
          <w:lang w:eastAsia="en-US"/>
        </w:rPr>
        <w:t>(</w:t>
      </w:r>
      <w:r w:rsidRPr="00A93840">
        <w:rPr>
          <w:lang w:eastAsia="en-US"/>
        </w:rPr>
        <w:t>FMI</w:t>
      </w:r>
      <w:r w:rsidR="00A16B47">
        <w:rPr>
          <w:lang w:eastAsia="en-US"/>
        </w:rPr>
        <w:t>)</w:t>
      </w:r>
      <w:r w:rsidRPr="00A93840">
        <w:rPr>
          <w:lang w:eastAsia="en-US"/>
        </w:rPr>
        <w:t xml:space="preserve"> pronostica un crecimiento de 3.4% en sus perspectivas de abril</w:t>
      </w:r>
      <w:r w:rsidR="00A16B47">
        <w:rPr>
          <w:lang w:eastAsia="en-US"/>
        </w:rPr>
        <w:t>;</w:t>
      </w:r>
      <w:r w:rsidRPr="00A93840">
        <w:rPr>
          <w:lang w:eastAsia="en-US"/>
        </w:rPr>
        <w:t xml:space="preserve"> la Comisión Económica para América Latina</w:t>
      </w:r>
      <w:r w:rsidR="00A16B47">
        <w:rPr>
          <w:lang w:eastAsia="en-US"/>
        </w:rPr>
        <w:t xml:space="preserve"> y el Caribe</w:t>
      </w:r>
      <w:r w:rsidRPr="00A93840">
        <w:rPr>
          <w:lang w:eastAsia="en-US"/>
        </w:rPr>
        <w:t xml:space="preserve"> prevé en abril</w:t>
      </w:r>
      <w:r w:rsidR="00A16B47">
        <w:rPr>
          <w:lang w:eastAsia="en-US"/>
        </w:rPr>
        <w:t xml:space="preserve"> de 2023</w:t>
      </w:r>
      <w:r w:rsidRPr="00A93840">
        <w:rPr>
          <w:lang w:eastAsia="en-US"/>
        </w:rPr>
        <w:t xml:space="preserve"> </w:t>
      </w:r>
      <w:r>
        <w:rPr>
          <w:lang w:eastAsia="en-US"/>
        </w:rPr>
        <w:t>un</w:t>
      </w:r>
      <w:r w:rsidRPr="00A93840">
        <w:rPr>
          <w:lang w:eastAsia="en-US"/>
        </w:rPr>
        <w:t xml:space="preserve"> crecimiento conservador de 3.1%; mientras que el Banco Mundial pronostica un crecimiento de 3.6%, según sus perspectivas de junio</w:t>
      </w:r>
      <w:r w:rsidR="00A16B47">
        <w:rPr>
          <w:lang w:eastAsia="en-US"/>
        </w:rPr>
        <w:t xml:space="preserve"> de 2023</w:t>
      </w:r>
      <w:r w:rsidRPr="00A93840">
        <w:rPr>
          <w:lang w:eastAsia="en-US"/>
        </w:rPr>
        <w:t>.</w:t>
      </w:r>
    </w:p>
    <w:p w14:paraId="753B12A1" w14:textId="529AA448" w:rsidR="00B545DE" w:rsidRPr="00D31D07" w:rsidRDefault="00B545DE" w:rsidP="00B545DE">
      <w:pPr>
        <w:jc w:val="both"/>
        <w:rPr>
          <w:sz w:val="32"/>
          <w:lang w:eastAsia="en-US"/>
        </w:rPr>
      </w:pPr>
    </w:p>
    <w:p w14:paraId="119D4689" w14:textId="77777777" w:rsidR="0059509D" w:rsidRPr="00D31D07" w:rsidRDefault="0059509D" w:rsidP="00B545DE">
      <w:pPr>
        <w:jc w:val="both"/>
        <w:rPr>
          <w:sz w:val="32"/>
          <w:lang w:eastAsia="en-US"/>
        </w:rPr>
      </w:pPr>
    </w:p>
    <w:tbl>
      <w:tblPr>
        <w:tblStyle w:val="Tablaconcuadrcula"/>
        <w:tblW w:w="67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545DE" w:rsidRPr="00A93840" w14:paraId="0EFB2677" w14:textId="77777777" w:rsidTr="00B545DE">
        <w:trPr>
          <w:trHeight w:val="156"/>
          <w:jc w:val="center"/>
        </w:trPr>
        <w:tc>
          <w:tcPr>
            <w:tcW w:w="6759" w:type="dxa"/>
            <w:vAlign w:val="center"/>
          </w:tcPr>
          <w:p w14:paraId="7646A37F" w14:textId="631FC977" w:rsidR="00B545DE" w:rsidRPr="00A93840" w:rsidRDefault="00B545DE" w:rsidP="00B545DE">
            <w:pPr>
              <w:keepNext/>
              <w:spacing w:after="200"/>
              <w:jc w:val="center"/>
              <w:rPr>
                <w:b/>
                <w:iCs/>
                <w:color w:val="000000" w:themeColor="text2"/>
                <w:lang w:val="es-GT" w:eastAsia="en-US"/>
              </w:rPr>
            </w:pPr>
            <w:r w:rsidRPr="00A93840">
              <w:rPr>
                <w:b/>
                <w:iCs/>
                <w:lang w:val="es-GT" w:eastAsia="en-US"/>
              </w:rPr>
              <w:t>Gráfic</w:t>
            </w:r>
            <w:r w:rsidR="0059509D">
              <w:rPr>
                <w:b/>
                <w:iCs/>
                <w:lang w:val="es-GT" w:eastAsia="en-US"/>
              </w:rPr>
              <w:t>a 17</w:t>
            </w:r>
            <w:r w:rsidRPr="00A93840">
              <w:rPr>
                <w:b/>
                <w:iCs/>
                <w:lang w:val="es-GT" w:eastAsia="en-US"/>
              </w:rPr>
              <w:t xml:space="preserve">.  </w:t>
            </w:r>
            <w:r w:rsidRPr="00A93840">
              <w:rPr>
                <w:b/>
                <w:bCs/>
                <w:iCs/>
                <w:lang w:val="es-GT" w:eastAsia="en-US"/>
              </w:rPr>
              <w:t xml:space="preserve">Proyecciones de </w:t>
            </w:r>
            <w:r w:rsidR="008C1876">
              <w:rPr>
                <w:b/>
                <w:bCs/>
                <w:iCs/>
                <w:lang w:val="es-GT" w:eastAsia="en-US"/>
              </w:rPr>
              <w:t>C</w:t>
            </w:r>
            <w:r w:rsidRPr="00A93840">
              <w:rPr>
                <w:b/>
                <w:bCs/>
                <w:iCs/>
                <w:lang w:val="es-GT" w:eastAsia="en-US"/>
              </w:rPr>
              <w:t>recimiento para Guatemala en 2023</w:t>
            </w:r>
          </w:p>
        </w:tc>
      </w:tr>
      <w:tr w:rsidR="00B545DE" w:rsidRPr="00A93840" w14:paraId="08770F5B" w14:textId="77777777" w:rsidTr="00B545DE">
        <w:tblPrEx>
          <w:tblCellMar>
            <w:left w:w="70" w:type="dxa"/>
            <w:right w:w="70" w:type="dxa"/>
          </w:tblCellMar>
        </w:tblPrEx>
        <w:trPr>
          <w:trHeight w:val="709"/>
          <w:jc w:val="center"/>
        </w:trPr>
        <w:tc>
          <w:tcPr>
            <w:tcW w:w="6759" w:type="dxa"/>
          </w:tcPr>
          <w:p w14:paraId="53FF694A" w14:textId="77777777" w:rsidR="00B545DE" w:rsidRPr="00A93840" w:rsidRDefault="00B545DE" w:rsidP="00B545DE">
            <w:pPr>
              <w:autoSpaceDE w:val="0"/>
              <w:autoSpaceDN w:val="0"/>
              <w:adjustRightInd w:val="0"/>
              <w:jc w:val="center"/>
            </w:pPr>
            <w:r w:rsidRPr="00A93840">
              <w:rPr>
                <w:noProof/>
              </w:rPr>
              <w:drawing>
                <wp:inline distT="0" distB="0" distL="0" distR="0" wp14:anchorId="6DB96C77" wp14:editId="76DF88AE">
                  <wp:extent cx="5691225" cy="2901950"/>
                  <wp:effectExtent l="0" t="0" r="5080" b="12700"/>
                  <wp:docPr id="224" name="Gráfico 2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B545DE" w:rsidRPr="0059509D" w14:paraId="1B04076D" w14:textId="77777777" w:rsidTr="00B545DE">
        <w:trPr>
          <w:trHeight w:val="105"/>
          <w:jc w:val="center"/>
        </w:trPr>
        <w:tc>
          <w:tcPr>
            <w:tcW w:w="6759" w:type="dxa"/>
          </w:tcPr>
          <w:p w14:paraId="5A94D6DF" w14:textId="78F53BFA" w:rsidR="00B545DE" w:rsidRPr="0059509D" w:rsidRDefault="00B545DE" w:rsidP="00B545DE">
            <w:pPr>
              <w:autoSpaceDE w:val="0"/>
              <w:autoSpaceDN w:val="0"/>
              <w:adjustRightInd w:val="0"/>
              <w:jc w:val="both"/>
              <w:rPr>
                <w:sz w:val="18"/>
                <w:szCs w:val="16"/>
              </w:rPr>
            </w:pPr>
            <w:r w:rsidRPr="0059509D">
              <w:rPr>
                <w:sz w:val="18"/>
                <w:szCs w:val="18"/>
              </w:rPr>
              <w:t xml:space="preserve">Fuente: </w:t>
            </w:r>
            <w:r w:rsidR="00A16B47" w:rsidRPr="0059509D">
              <w:rPr>
                <w:sz w:val="18"/>
                <w:szCs w:val="18"/>
              </w:rPr>
              <w:t>Ministerio de Finanzas Públicas</w:t>
            </w:r>
            <w:r w:rsidRPr="0059509D">
              <w:rPr>
                <w:sz w:val="18"/>
                <w:szCs w:val="18"/>
              </w:rPr>
              <w:t xml:space="preserve">. </w:t>
            </w:r>
          </w:p>
        </w:tc>
      </w:tr>
    </w:tbl>
    <w:p w14:paraId="049D8EFB" w14:textId="77777777" w:rsidR="00B545DE" w:rsidRDefault="00B545DE" w:rsidP="00B545DE">
      <w:pPr>
        <w:jc w:val="both"/>
        <w:rPr>
          <w:lang w:eastAsia="en-US"/>
        </w:rPr>
      </w:pPr>
    </w:p>
    <w:p w14:paraId="2B82F75F" w14:textId="38110654" w:rsidR="00B545DE" w:rsidRDefault="00B545DE" w:rsidP="00B545DE">
      <w:pPr>
        <w:jc w:val="both"/>
        <w:rPr>
          <w:lang w:eastAsia="en-US"/>
        </w:rPr>
      </w:pPr>
      <w:r>
        <w:rPr>
          <w:lang w:eastAsia="en-US"/>
        </w:rPr>
        <w:t>Los pronósticos están sujetos a los riesgos de intensificación de las tensiones geopolíticas, principalmente por el conflicto entre Rusia y Ucrania; por condiciones financieras internacionales más restrictivas derivado de las presiones inflacionarias, debido al aumento de los precios internacionales de las materias primas, de los costos de transporte de contenedores</w:t>
      </w:r>
      <w:r w:rsidR="008C1876">
        <w:rPr>
          <w:lang w:eastAsia="en-US"/>
        </w:rPr>
        <w:t>;</w:t>
      </w:r>
      <w:r>
        <w:rPr>
          <w:lang w:eastAsia="en-US"/>
        </w:rPr>
        <w:t xml:space="preserve"> y las interrupciones en algunas de las principales cadenas mundiales de suministro</w:t>
      </w:r>
      <w:r w:rsidR="008C1876">
        <w:rPr>
          <w:lang w:eastAsia="en-US"/>
        </w:rPr>
        <w:t>s</w:t>
      </w:r>
      <w:r>
        <w:rPr>
          <w:lang w:eastAsia="en-US"/>
        </w:rPr>
        <w:t>.</w:t>
      </w:r>
    </w:p>
    <w:p w14:paraId="5A58B63A" w14:textId="77777777" w:rsidR="00B545DE" w:rsidRDefault="00B545DE" w:rsidP="00B545DE">
      <w:pPr>
        <w:jc w:val="both"/>
        <w:rPr>
          <w:lang w:eastAsia="en-US"/>
        </w:rPr>
      </w:pPr>
    </w:p>
    <w:p w14:paraId="1853AA30" w14:textId="2871EE37" w:rsidR="00B545DE" w:rsidRDefault="00B545DE" w:rsidP="00B545DE">
      <w:pPr>
        <w:jc w:val="both"/>
        <w:rPr>
          <w:lang w:eastAsia="en-US"/>
        </w:rPr>
      </w:pPr>
      <w:r>
        <w:rPr>
          <w:lang w:eastAsia="en-US"/>
        </w:rPr>
        <w:t xml:space="preserve">El Índice Mensual de la Actividad Económica </w:t>
      </w:r>
      <w:r w:rsidR="008C1876">
        <w:rPr>
          <w:lang w:eastAsia="en-US"/>
        </w:rPr>
        <w:t>(</w:t>
      </w:r>
      <w:r>
        <w:rPr>
          <w:lang w:eastAsia="en-US"/>
        </w:rPr>
        <w:t>IMAE</w:t>
      </w:r>
      <w:r w:rsidR="008C1876">
        <w:rPr>
          <w:lang w:eastAsia="en-US"/>
        </w:rPr>
        <w:t>),</w:t>
      </w:r>
      <w:r>
        <w:rPr>
          <w:lang w:eastAsia="en-US"/>
        </w:rPr>
        <w:t xml:space="preserve"> reportado por el Banco de Guatemala</w:t>
      </w:r>
      <w:r w:rsidR="008C1876">
        <w:rPr>
          <w:lang w:eastAsia="en-US"/>
        </w:rPr>
        <w:t>,</w:t>
      </w:r>
      <w:r>
        <w:rPr>
          <w:lang w:eastAsia="en-US"/>
        </w:rPr>
        <w:t xml:space="preserve"> registró una tasa de crecimiento interanual de 3.4% para mayo de 2023, menor al mostrado en el año anterior con un valor de 4.7%. La demanda de energía, que muestra una correlación muy fuerte con el IMAE</w:t>
      </w:r>
      <w:r w:rsidR="008C1876">
        <w:rPr>
          <w:lang w:eastAsia="en-US"/>
        </w:rPr>
        <w:t>,</w:t>
      </w:r>
      <w:r>
        <w:rPr>
          <w:lang w:eastAsia="en-US"/>
        </w:rPr>
        <w:t xml:space="preserve"> muestra una tasa de crecimiento interanual de 10.1% a junio de 2023, lo que implica que se espera una recuperación en los próximos meses.</w:t>
      </w:r>
    </w:p>
    <w:p w14:paraId="5CB4A21E" w14:textId="1D0052EB" w:rsidR="00B545DE" w:rsidRDefault="00B545DE" w:rsidP="00B545DE">
      <w:pPr>
        <w:jc w:val="both"/>
        <w:rPr>
          <w:lang w:eastAsia="en-US"/>
        </w:rPr>
      </w:pPr>
    </w:p>
    <w:p w14:paraId="3079D478" w14:textId="4CD8C3EE" w:rsidR="0059509D" w:rsidRDefault="0059509D" w:rsidP="00B545DE">
      <w:pPr>
        <w:jc w:val="both"/>
        <w:rPr>
          <w:lang w:eastAsia="en-US"/>
        </w:rPr>
      </w:pPr>
    </w:p>
    <w:p w14:paraId="32E14E1D" w14:textId="087E8169" w:rsidR="0059509D" w:rsidRDefault="0059509D" w:rsidP="00B545DE">
      <w:pPr>
        <w:jc w:val="both"/>
        <w:rPr>
          <w:lang w:eastAsia="en-US"/>
        </w:rPr>
      </w:pPr>
    </w:p>
    <w:p w14:paraId="78374892" w14:textId="7BE8086A" w:rsidR="0059509D" w:rsidRDefault="0059509D" w:rsidP="00B545DE">
      <w:pPr>
        <w:jc w:val="both"/>
        <w:rPr>
          <w:lang w:eastAsia="en-US"/>
        </w:rPr>
      </w:pPr>
    </w:p>
    <w:p w14:paraId="0F97C29F" w14:textId="4C1207D5" w:rsidR="0059509D" w:rsidRDefault="0059509D" w:rsidP="00B545DE">
      <w:pPr>
        <w:jc w:val="both"/>
        <w:rPr>
          <w:lang w:eastAsia="en-US"/>
        </w:rPr>
      </w:pPr>
    </w:p>
    <w:p w14:paraId="6AC34773" w14:textId="6098F525" w:rsidR="0059509D" w:rsidRDefault="0059509D" w:rsidP="00B545DE">
      <w:pPr>
        <w:jc w:val="both"/>
        <w:rPr>
          <w:lang w:eastAsia="en-US"/>
        </w:rPr>
      </w:pPr>
    </w:p>
    <w:p w14:paraId="67017BA2" w14:textId="3EF0E4F8" w:rsidR="0059509D" w:rsidRDefault="0059509D" w:rsidP="00B545DE">
      <w:pPr>
        <w:jc w:val="both"/>
        <w:rPr>
          <w:lang w:eastAsia="en-US"/>
        </w:rPr>
      </w:pPr>
    </w:p>
    <w:p w14:paraId="3A8CE63F" w14:textId="4A69C4CB" w:rsidR="0059509D" w:rsidRDefault="0059509D" w:rsidP="00B545DE">
      <w:pPr>
        <w:jc w:val="both"/>
        <w:rPr>
          <w:lang w:eastAsia="en-US"/>
        </w:rPr>
      </w:pPr>
    </w:p>
    <w:p w14:paraId="56AF8BA4" w14:textId="278D0200" w:rsidR="0059509D" w:rsidRDefault="0059509D" w:rsidP="00B545DE">
      <w:pPr>
        <w:jc w:val="both"/>
        <w:rPr>
          <w:lang w:eastAsia="en-US"/>
        </w:rPr>
      </w:pPr>
    </w:p>
    <w:p w14:paraId="6792714C" w14:textId="78114C65" w:rsidR="0059509D" w:rsidRDefault="0059509D" w:rsidP="00B545DE">
      <w:pPr>
        <w:jc w:val="both"/>
        <w:rPr>
          <w:lang w:eastAsia="en-US"/>
        </w:rPr>
      </w:pPr>
    </w:p>
    <w:p w14:paraId="4AACAC16" w14:textId="5D52A953" w:rsidR="0059509D" w:rsidRDefault="0059509D" w:rsidP="00B545DE">
      <w:pPr>
        <w:jc w:val="both"/>
        <w:rPr>
          <w:lang w:eastAsia="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49"/>
      </w:tblGrid>
      <w:tr w:rsidR="00B545DE" w:rsidRPr="00A93840" w14:paraId="7FE54131" w14:textId="77777777" w:rsidTr="00B545DE">
        <w:tc>
          <w:tcPr>
            <w:tcW w:w="4449" w:type="dxa"/>
            <w:vAlign w:val="center"/>
          </w:tcPr>
          <w:p w14:paraId="18BC38F6" w14:textId="67FD1383" w:rsidR="00B545DE" w:rsidRPr="00A93840" w:rsidRDefault="00B545DE" w:rsidP="00B545DE">
            <w:pPr>
              <w:keepNext/>
              <w:spacing w:after="200"/>
              <w:jc w:val="center"/>
              <w:rPr>
                <w:b/>
                <w:iCs/>
                <w:color w:val="000000" w:themeColor="text2"/>
                <w:lang w:val="es-GT" w:eastAsia="en-US"/>
              </w:rPr>
            </w:pPr>
            <w:r w:rsidRPr="00A93840">
              <w:rPr>
                <w:b/>
                <w:iCs/>
                <w:lang w:val="es-GT" w:eastAsia="en-US"/>
              </w:rPr>
              <w:t>Gráfic</w:t>
            </w:r>
            <w:r w:rsidR="000E33A6">
              <w:rPr>
                <w:b/>
                <w:iCs/>
                <w:lang w:val="es-GT" w:eastAsia="en-US"/>
              </w:rPr>
              <w:t>a</w:t>
            </w:r>
            <w:r w:rsidR="0059509D">
              <w:rPr>
                <w:b/>
                <w:iCs/>
                <w:lang w:val="es-GT" w:eastAsia="en-US"/>
              </w:rPr>
              <w:t xml:space="preserve"> 18</w:t>
            </w:r>
            <w:r w:rsidRPr="00A93840">
              <w:rPr>
                <w:b/>
                <w:iCs/>
                <w:lang w:val="es-GT" w:eastAsia="en-US"/>
              </w:rPr>
              <w:t xml:space="preserve">.  </w:t>
            </w:r>
            <w:r w:rsidRPr="00A93840">
              <w:rPr>
                <w:b/>
                <w:bCs/>
                <w:iCs/>
                <w:lang w:val="es-GT" w:eastAsia="en-US"/>
              </w:rPr>
              <w:t xml:space="preserve">IMAE y </w:t>
            </w:r>
            <w:r w:rsidR="00581977">
              <w:rPr>
                <w:b/>
                <w:bCs/>
                <w:iCs/>
                <w:lang w:val="es-GT" w:eastAsia="en-US"/>
              </w:rPr>
              <w:t>D</w:t>
            </w:r>
            <w:r w:rsidRPr="00A93840">
              <w:rPr>
                <w:b/>
                <w:bCs/>
                <w:iCs/>
                <w:lang w:val="es-GT" w:eastAsia="en-US"/>
              </w:rPr>
              <w:t xml:space="preserve">emanda de </w:t>
            </w:r>
            <w:r w:rsidR="00581977">
              <w:rPr>
                <w:b/>
                <w:bCs/>
                <w:iCs/>
                <w:lang w:val="es-GT" w:eastAsia="en-US"/>
              </w:rPr>
              <w:t>E</w:t>
            </w:r>
            <w:r w:rsidRPr="00A93840">
              <w:rPr>
                <w:b/>
                <w:bCs/>
                <w:iCs/>
                <w:lang w:val="es-GT" w:eastAsia="en-US"/>
              </w:rPr>
              <w:t>nergía</w:t>
            </w:r>
          </w:p>
        </w:tc>
        <w:tc>
          <w:tcPr>
            <w:tcW w:w="4449" w:type="dxa"/>
            <w:vAlign w:val="center"/>
          </w:tcPr>
          <w:p w14:paraId="07E1E39A" w14:textId="297B7041" w:rsidR="00B545DE" w:rsidRPr="00A93840" w:rsidRDefault="00B545DE" w:rsidP="00B545DE">
            <w:pPr>
              <w:keepNext/>
              <w:spacing w:after="200"/>
              <w:jc w:val="center"/>
              <w:rPr>
                <w:b/>
                <w:iCs/>
                <w:color w:val="000000" w:themeColor="text2"/>
                <w:lang w:val="es-GT" w:eastAsia="en-US"/>
              </w:rPr>
            </w:pPr>
            <w:r w:rsidRPr="00A93840">
              <w:rPr>
                <w:b/>
                <w:iCs/>
                <w:lang w:val="es-GT" w:eastAsia="en-US"/>
              </w:rPr>
              <w:t>Gráfic</w:t>
            </w:r>
            <w:r w:rsidR="0059509D">
              <w:rPr>
                <w:b/>
                <w:iCs/>
                <w:lang w:val="es-GT" w:eastAsia="en-US"/>
              </w:rPr>
              <w:t>a 19</w:t>
            </w:r>
            <w:r w:rsidRPr="00A93840">
              <w:rPr>
                <w:b/>
                <w:iCs/>
                <w:lang w:val="es-GT" w:eastAsia="en-US"/>
              </w:rPr>
              <w:t xml:space="preserve">.  </w:t>
            </w:r>
            <w:r w:rsidRPr="00A93840">
              <w:rPr>
                <w:b/>
                <w:bCs/>
                <w:iCs/>
                <w:lang w:val="es-GT" w:eastAsia="en-US"/>
              </w:rPr>
              <w:t xml:space="preserve">Ritmo </w:t>
            </w:r>
            <w:r w:rsidR="00581977">
              <w:rPr>
                <w:b/>
                <w:bCs/>
                <w:iCs/>
                <w:lang w:val="es-GT" w:eastAsia="en-US"/>
              </w:rPr>
              <w:t>I</w:t>
            </w:r>
            <w:r w:rsidRPr="00A93840">
              <w:rPr>
                <w:b/>
                <w:bCs/>
                <w:iCs/>
                <w:lang w:val="es-GT" w:eastAsia="en-US"/>
              </w:rPr>
              <w:t>nflacionario</w:t>
            </w:r>
          </w:p>
        </w:tc>
      </w:tr>
      <w:tr w:rsidR="00B545DE" w:rsidRPr="00A93840" w14:paraId="6B7A4B15" w14:textId="77777777" w:rsidTr="00B545DE">
        <w:tblPrEx>
          <w:tblCellMar>
            <w:left w:w="70" w:type="dxa"/>
            <w:right w:w="70" w:type="dxa"/>
          </w:tblCellMar>
        </w:tblPrEx>
        <w:tc>
          <w:tcPr>
            <w:tcW w:w="4449" w:type="dxa"/>
          </w:tcPr>
          <w:p w14:paraId="1902E220" w14:textId="77777777" w:rsidR="00B545DE" w:rsidRPr="00A93840" w:rsidRDefault="00B545DE" w:rsidP="00B545DE">
            <w:pPr>
              <w:ind w:right="49"/>
              <w:jc w:val="both"/>
              <w:rPr>
                <w:lang w:val="es-MX"/>
              </w:rPr>
            </w:pPr>
            <w:r w:rsidRPr="00A93840">
              <w:rPr>
                <w:noProof/>
              </w:rPr>
              <w:drawing>
                <wp:inline distT="0" distB="0" distL="0" distR="0" wp14:anchorId="2882BE2C" wp14:editId="4E2E3255">
                  <wp:extent cx="2701290" cy="2169795"/>
                  <wp:effectExtent l="0" t="0" r="3810" b="1905"/>
                  <wp:docPr id="225" name="Gráfico 2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449" w:type="dxa"/>
          </w:tcPr>
          <w:p w14:paraId="1EA999B4" w14:textId="77777777" w:rsidR="00B545DE" w:rsidRPr="00A93840" w:rsidRDefault="00B545DE" w:rsidP="00B545DE">
            <w:pPr>
              <w:ind w:right="49"/>
              <w:jc w:val="both"/>
              <w:rPr>
                <w:lang w:val="en-US"/>
              </w:rPr>
            </w:pPr>
            <w:r w:rsidRPr="00A93840">
              <w:rPr>
                <w:noProof/>
              </w:rPr>
              <w:drawing>
                <wp:inline distT="0" distB="0" distL="0" distR="0" wp14:anchorId="6A433315" wp14:editId="60AC6DDB">
                  <wp:extent cx="2701290" cy="2169795"/>
                  <wp:effectExtent l="0" t="0" r="3810" b="1905"/>
                  <wp:docPr id="226" name="Gráfico 2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B545DE" w:rsidRPr="000E33A6" w14:paraId="71EA0ACD" w14:textId="77777777" w:rsidTr="00B545DE">
        <w:tc>
          <w:tcPr>
            <w:tcW w:w="8898" w:type="dxa"/>
            <w:gridSpan w:val="2"/>
          </w:tcPr>
          <w:p w14:paraId="4D9F436A" w14:textId="77777777" w:rsidR="00B545DE" w:rsidRPr="000E33A6" w:rsidRDefault="00B545DE" w:rsidP="00B545DE">
            <w:pPr>
              <w:ind w:right="49"/>
              <w:jc w:val="both"/>
              <w:rPr>
                <w:sz w:val="18"/>
                <w:szCs w:val="18"/>
                <w:lang w:val="es-MX"/>
              </w:rPr>
            </w:pPr>
            <w:r w:rsidRPr="000E33A6">
              <w:rPr>
                <w:sz w:val="18"/>
                <w:szCs w:val="18"/>
              </w:rPr>
              <w:t>Fuente: Banco de Guatemala y Administrador del Mercado Mayorista.</w:t>
            </w:r>
          </w:p>
        </w:tc>
      </w:tr>
    </w:tbl>
    <w:p w14:paraId="3AAD5DBF" w14:textId="77777777" w:rsidR="00B545DE" w:rsidRDefault="00B545DE" w:rsidP="00B545DE">
      <w:pPr>
        <w:jc w:val="both"/>
        <w:rPr>
          <w:lang w:eastAsia="en-US"/>
        </w:rPr>
      </w:pPr>
    </w:p>
    <w:p w14:paraId="27F24B38" w14:textId="77777777" w:rsidR="00B545DE" w:rsidRDefault="00B545DE" w:rsidP="00B545DE">
      <w:pPr>
        <w:jc w:val="both"/>
        <w:rPr>
          <w:lang w:eastAsia="en-US"/>
        </w:rPr>
      </w:pPr>
    </w:p>
    <w:p w14:paraId="153C6D3A" w14:textId="2C78AB98" w:rsidR="00B545DE" w:rsidRPr="00A93840" w:rsidRDefault="00B545DE" w:rsidP="00B545DE">
      <w:pPr>
        <w:ind w:right="49"/>
        <w:jc w:val="both"/>
      </w:pPr>
      <w:r w:rsidRPr="00A93840">
        <w:t xml:space="preserve">En lo que respecta al índice de Confianza de la Actividad Económica </w:t>
      </w:r>
      <w:r w:rsidR="00581977">
        <w:t>(</w:t>
      </w:r>
      <w:r w:rsidRPr="00A93840">
        <w:t>ICAE</w:t>
      </w:r>
      <w:r w:rsidR="00581977">
        <w:t>)</w:t>
      </w:r>
      <w:r w:rsidRPr="00A93840">
        <w:t xml:space="preserve">, que mide la percepción de un panel de analistas privados sobre la situación económica actual, mostró una clara tendencia a la baja a partir de enero de 2022, y reportó un nivel </w:t>
      </w:r>
      <w:r w:rsidR="00581977">
        <w:t xml:space="preserve">de </w:t>
      </w:r>
      <w:r w:rsidRPr="00A93840">
        <w:t>53.9 puntos para junio de 2023. Entre los factores considerados están los precios nacionales e internacionales de los combustibles, el mercado interno, el desempeño de la política fiscal y la estabilidad en el nivel general de los precios, entre otros.</w:t>
      </w:r>
    </w:p>
    <w:p w14:paraId="4A37014B" w14:textId="77777777" w:rsidR="00B545DE" w:rsidRPr="00A93840" w:rsidRDefault="00B545DE" w:rsidP="00B545DE">
      <w:pPr>
        <w:ind w:right="49"/>
        <w:jc w:val="both"/>
      </w:pPr>
    </w:p>
    <w:p w14:paraId="3B396F11" w14:textId="5D5769A3" w:rsidR="00B545DE" w:rsidRPr="00A93840" w:rsidRDefault="00B545DE" w:rsidP="00B545DE">
      <w:pPr>
        <w:ind w:right="49"/>
        <w:jc w:val="both"/>
      </w:pPr>
      <w:r w:rsidRPr="00A93840">
        <w:t xml:space="preserve">Para junio de 2023, el ritmo inflacionario se situó en 4.9% justo por debajo del límite máximo de fluctuación. Se puede observar que, para esa misma fecha, el ritmo inflacionario fue afectado por las tasas de variaciones interanuales de las actividades económicas de </w:t>
      </w:r>
      <w:r w:rsidR="00581977">
        <w:t>a</w:t>
      </w:r>
      <w:r w:rsidRPr="00A93840">
        <w:t xml:space="preserve">limentos y </w:t>
      </w:r>
      <w:r w:rsidR="00581977">
        <w:t>b</w:t>
      </w:r>
      <w:r w:rsidRPr="00A93840">
        <w:t xml:space="preserve">ebidas no alcohólicas (8.0%), </w:t>
      </w:r>
      <w:r w:rsidR="00581977">
        <w:t>r</w:t>
      </w:r>
      <w:r w:rsidRPr="00A93840">
        <w:t>estaurante</w:t>
      </w:r>
      <w:r w:rsidR="00581977">
        <w:t>s</w:t>
      </w:r>
      <w:r w:rsidRPr="00A93840">
        <w:t xml:space="preserve"> y hoteles (8.3%), </w:t>
      </w:r>
      <w:r w:rsidR="00581977">
        <w:t>b</w:t>
      </w:r>
      <w:r w:rsidRPr="00A93840">
        <w:t xml:space="preserve">ebidas alcohólicas y </w:t>
      </w:r>
      <w:r w:rsidR="00581977">
        <w:t>t</w:t>
      </w:r>
      <w:r w:rsidRPr="00A93840">
        <w:t xml:space="preserve">abaco (5.3%) y </w:t>
      </w:r>
      <w:r w:rsidR="00581977">
        <w:t>b</w:t>
      </w:r>
      <w:r w:rsidRPr="00A93840">
        <w:t>ienes y servicios diversos (5.3%). Las alzas de gastos asociados</w:t>
      </w:r>
      <w:r w:rsidR="00581977">
        <w:t>,</w:t>
      </w:r>
      <w:r w:rsidRPr="00A93840">
        <w:t xml:space="preserve"> se deben principalmente a las alzas de los alimentos y bebidas no alcohólicas que han sido afecta</w:t>
      </w:r>
      <w:r w:rsidR="00581977">
        <w:t>da</w:t>
      </w:r>
      <w:r w:rsidRPr="00A93840">
        <w:t>s por las materias prima</w:t>
      </w:r>
      <w:r w:rsidR="00581977">
        <w:t xml:space="preserve"> provenientes</w:t>
      </w:r>
      <w:r w:rsidRPr="00A93840">
        <w:t xml:space="preserve"> de </w:t>
      </w:r>
      <w:r w:rsidR="00581977">
        <w:t xml:space="preserve">la </w:t>
      </w:r>
      <w:r w:rsidRPr="00A93840">
        <w:t>agricultura, en particular</w:t>
      </w:r>
      <w:r w:rsidR="00581977">
        <w:t>,</w:t>
      </w:r>
      <w:r w:rsidRPr="00A93840">
        <w:t xml:space="preserve"> por el aumento de </w:t>
      </w:r>
      <w:r w:rsidR="00581977">
        <w:t xml:space="preserve">los </w:t>
      </w:r>
      <w:r w:rsidRPr="00A93840">
        <w:t xml:space="preserve">precios </w:t>
      </w:r>
      <w:r w:rsidR="00581977">
        <w:t>de</w:t>
      </w:r>
      <w:r w:rsidRPr="00A93840">
        <w:t xml:space="preserve"> alimentos e insumos</w:t>
      </w:r>
      <w:r w:rsidR="00581977">
        <w:t>, tales</w:t>
      </w:r>
      <w:r w:rsidRPr="00A93840">
        <w:t xml:space="preserve"> como</w:t>
      </w:r>
      <w:r w:rsidR="00581977">
        <w:t>, los</w:t>
      </w:r>
      <w:r w:rsidRPr="00A93840">
        <w:t xml:space="preserve"> fertilizantes.</w:t>
      </w:r>
    </w:p>
    <w:p w14:paraId="2566AA55" w14:textId="77777777" w:rsidR="00B545DE" w:rsidRPr="00A93840" w:rsidRDefault="00B545DE" w:rsidP="00B545DE">
      <w:pPr>
        <w:ind w:right="49"/>
        <w:jc w:val="both"/>
      </w:pPr>
    </w:p>
    <w:p w14:paraId="6EA13978" w14:textId="5A02E021" w:rsidR="00B545DE" w:rsidRPr="00A93840" w:rsidRDefault="00B545DE" w:rsidP="00B545DE">
      <w:pPr>
        <w:ind w:right="49"/>
        <w:jc w:val="both"/>
        <w:rPr>
          <w:lang w:val="es-MX"/>
        </w:rPr>
      </w:pPr>
      <w:r w:rsidRPr="00A93840">
        <w:t>Con respecto a la balanza comercial</w:t>
      </w:r>
      <w:r w:rsidR="00581977">
        <w:t>,</w:t>
      </w:r>
      <w:r w:rsidRPr="00A93840">
        <w:t xml:space="preserve"> se ha observado una fuerte tendencia a la baja a partir de enero de 2022. De tal manera que las exportaciones FOB presentan a la fecha una contracción interanual acumulad</w:t>
      </w:r>
      <w:r w:rsidR="00581977">
        <w:t>a</w:t>
      </w:r>
      <w:r w:rsidRPr="00A93840">
        <w:t xml:space="preserve"> de 6.4%</w:t>
      </w:r>
      <w:r w:rsidR="00581977">
        <w:t>,</w:t>
      </w:r>
      <w:r w:rsidRPr="00A93840">
        <w:t xml:space="preserve"> y las importaciones CIF una contracción de 7.2%. Tanto en las exportaciones y las importaciones, el precio medio ha reportado cambios poco significativos de 2.0% para las exportaciones y 0.1% para las importaciones. Por otro lado, el ingreso de divisas por remesas familiares alcanzó un monto de US$9,658.0 millones a junio de 2023, superior en US$946.7 millones (12.1%), respecto del monto observado en igual per</w:t>
      </w:r>
      <w:r w:rsidR="00581977">
        <w:t>í</w:t>
      </w:r>
      <w:r w:rsidRPr="00A93840">
        <w:t>odo del año previo.</w:t>
      </w:r>
    </w:p>
    <w:p w14:paraId="3A26B272" w14:textId="179C3B2E" w:rsidR="00B545DE" w:rsidRDefault="00B545DE" w:rsidP="00B545DE">
      <w:pPr>
        <w:jc w:val="both"/>
        <w:rPr>
          <w:lang w:val="es-MX" w:eastAsia="en-US"/>
        </w:rPr>
      </w:pPr>
    </w:p>
    <w:p w14:paraId="5F972109" w14:textId="43DB417E" w:rsidR="0059509D" w:rsidRDefault="0059509D" w:rsidP="00B545DE">
      <w:pPr>
        <w:jc w:val="both"/>
        <w:rPr>
          <w:lang w:val="es-MX" w:eastAsia="en-US"/>
        </w:rPr>
      </w:pPr>
    </w:p>
    <w:p w14:paraId="4D6C55D7" w14:textId="5025F57E" w:rsidR="0059509D" w:rsidRDefault="0059509D" w:rsidP="00B545DE">
      <w:pPr>
        <w:jc w:val="both"/>
        <w:rPr>
          <w:lang w:val="es-MX" w:eastAsia="en-US"/>
        </w:rPr>
      </w:pPr>
    </w:p>
    <w:p w14:paraId="5B47BB30" w14:textId="69E50729" w:rsidR="0059509D" w:rsidRDefault="0059509D" w:rsidP="00B545DE">
      <w:pPr>
        <w:jc w:val="both"/>
        <w:rPr>
          <w:lang w:val="es-MX" w:eastAsia="en-US"/>
        </w:rPr>
      </w:pPr>
    </w:p>
    <w:p w14:paraId="1250B139" w14:textId="3CAB9ED1" w:rsidR="0059509D" w:rsidRDefault="0059509D" w:rsidP="00B545DE">
      <w:pPr>
        <w:jc w:val="both"/>
        <w:rPr>
          <w:lang w:val="es-MX" w:eastAsia="en-US"/>
        </w:rPr>
      </w:pPr>
    </w:p>
    <w:p w14:paraId="1EF879DD" w14:textId="77777777" w:rsidR="0059509D" w:rsidRPr="00A93840" w:rsidRDefault="0059509D" w:rsidP="00B545DE">
      <w:pPr>
        <w:jc w:val="both"/>
        <w:rPr>
          <w:lang w:val="es-MX" w:eastAsia="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49"/>
      </w:tblGrid>
      <w:tr w:rsidR="00B545DE" w:rsidRPr="00A93840" w14:paraId="32075DF0" w14:textId="77777777" w:rsidTr="00B545DE">
        <w:tc>
          <w:tcPr>
            <w:tcW w:w="4449" w:type="dxa"/>
            <w:vAlign w:val="center"/>
          </w:tcPr>
          <w:p w14:paraId="79989102" w14:textId="06FD320D" w:rsidR="00B545DE" w:rsidRPr="00A93840" w:rsidRDefault="00B545DE" w:rsidP="00B545DE">
            <w:pPr>
              <w:keepNext/>
              <w:spacing w:after="200"/>
              <w:jc w:val="center"/>
              <w:rPr>
                <w:b/>
                <w:iCs/>
                <w:color w:val="000000" w:themeColor="text2"/>
                <w:lang w:val="es-GT" w:eastAsia="en-US"/>
              </w:rPr>
            </w:pPr>
            <w:r w:rsidRPr="00A93840">
              <w:rPr>
                <w:b/>
                <w:iCs/>
                <w:lang w:val="es-GT" w:eastAsia="en-US"/>
              </w:rPr>
              <w:t>Gráfic</w:t>
            </w:r>
            <w:r w:rsidR="000E33A6">
              <w:rPr>
                <w:b/>
                <w:iCs/>
                <w:lang w:val="es-GT" w:eastAsia="en-US"/>
              </w:rPr>
              <w:t>a 20</w:t>
            </w:r>
            <w:r w:rsidRPr="00A93840">
              <w:rPr>
                <w:b/>
                <w:iCs/>
                <w:lang w:val="es-GT" w:eastAsia="en-US"/>
              </w:rPr>
              <w:t xml:space="preserve">.  </w:t>
            </w:r>
            <w:r w:rsidRPr="00A93840">
              <w:rPr>
                <w:b/>
                <w:bCs/>
                <w:iCs/>
                <w:lang w:val="es-MX" w:eastAsia="en-US"/>
              </w:rPr>
              <w:t>Importaciones CIF y Exportaciones FOB</w:t>
            </w:r>
          </w:p>
        </w:tc>
        <w:tc>
          <w:tcPr>
            <w:tcW w:w="4389" w:type="dxa"/>
          </w:tcPr>
          <w:p w14:paraId="6CFFF282" w14:textId="7DBCF4C3" w:rsidR="00B545DE" w:rsidRPr="00A93840" w:rsidRDefault="00B545DE" w:rsidP="00B545DE">
            <w:pPr>
              <w:keepNext/>
              <w:spacing w:after="200"/>
              <w:jc w:val="center"/>
              <w:rPr>
                <w:b/>
                <w:iCs/>
                <w:color w:val="000000" w:themeColor="text2"/>
                <w:lang w:val="es-GT" w:eastAsia="en-US"/>
              </w:rPr>
            </w:pPr>
            <w:r w:rsidRPr="00A93840">
              <w:rPr>
                <w:b/>
                <w:iCs/>
                <w:lang w:val="es-GT" w:eastAsia="en-US"/>
              </w:rPr>
              <w:t>Gráfic</w:t>
            </w:r>
            <w:r w:rsidR="000E33A6">
              <w:rPr>
                <w:b/>
                <w:iCs/>
                <w:lang w:val="es-GT" w:eastAsia="en-US"/>
              </w:rPr>
              <w:t>a 21</w:t>
            </w:r>
            <w:r w:rsidRPr="00A93840">
              <w:rPr>
                <w:b/>
                <w:iCs/>
                <w:lang w:val="es-GT" w:eastAsia="en-US"/>
              </w:rPr>
              <w:t xml:space="preserve">.  </w:t>
            </w:r>
            <w:r w:rsidRPr="00A93840">
              <w:rPr>
                <w:b/>
                <w:bCs/>
                <w:iCs/>
                <w:lang w:val="es-MX" w:eastAsia="en-US"/>
              </w:rPr>
              <w:t>Remesas Familiares</w:t>
            </w:r>
          </w:p>
        </w:tc>
      </w:tr>
      <w:tr w:rsidR="00B545DE" w:rsidRPr="00A93840" w14:paraId="7DB13C5C" w14:textId="77777777" w:rsidTr="00B545DE">
        <w:tblPrEx>
          <w:tblCellMar>
            <w:left w:w="70" w:type="dxa"/>
            <w:right w:w="70" w:type="dxa"/>
          </w:tblCellMar>
        </w:tblPrEx>
        <w:tc>
          <w:tcPr>
            <w:tcW w:w="4449" w:type="dxa"/>
          </w:tcPr>
          <w:p w14:paraId="5FAB8BA4" w14:textId="77777777" w:rsidR="00B545DE" w:rsidRPr="00A93840" w:rsidRDefault="00B545DE" w:rsidP="00B545DE">
            <w:pPr>
              <w:ind w:right="49"/>
              <w:jc w:val="both"/>
              <w:rPr>
                <w:lang w:val="es-MX"/>
              </w:rPr>
            </w:pPr>
            <w:r w:rsidRPr="00A93840">
              <w:rPr>
                <w:noProof/>
              </w:rPr>
              <w:drawing>
                <wp:inline distT="0" distB="0" distL="0" distR="0" wp14:anchorId="6AB09E8E" wp14:editId="7B4A9331">
                  <wp:extent cx="2701290" cy="2163445"/>
                  <wp:effectExtent l="0" t="0" r="3810" b="8255"/>
                  <wp:docPr id="227" name="Gráfico 2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4389" w:type="dxa"/>
          </w:tcPr>
          <w:p w14:paraId="5318E90B" w14:textId="77777777" w:rsidR="00B545DE" w:rsidRPr="00A93840" w:rsidRDefault="00B545DE" w:rsidP="00B545DE">
            <w:pPr>
              <w:ind w:right="49"/>
              <w:jc w:val="both"/>
              <w:rPr>
                <w:lang w:val="es-MX"/>
              </w:rPr>
            </w:pPr>
            <w:r w:rsidRPr="00A93840">
              <w:rPr>
                <w:noProof/>
              </w:rPr>
              <w:drawing>
                <wp:inline distT="0" distB="0" distL="0" distR="0" wp14:anchorId="138A28F6" wp14:editId="76FDAFA4">
                  <wp:extent cx="2701290" cy="2163445"/>
                  <wp:effectExtent l="0" t="0" r="3810" b="8255"/>
                  <wp:docPr id="29" name="Gráfico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B545DE" w:rsidRPr="000E33A6" w14:paraId="3A245891" w14:textId="77777777" w:rsidTr="00B545DE">
        <w:tc>
          <w:tcPr>
            <w:tcW w:w="8838" w:type="dxa"/>
            <w:gridSpan w:val="2"/>
          </w:tcPr>
          <w:p w14:paraId="13658ECF" w14:textId="77777777" w:rsidR="00B545DE" w:rsidRPr="000E33A6" w:rsidRDefault="00B545DE" w:rsidP="00B545DE">
            <w:pPr>
              <w:ind w:right="49"/>
              <w:jc w:val="both"/>
              <w:rPr>
                <w:sz w:val="18"/>
                <w:szCs w:val="18"/>
                <w:lang w:val="es-MX"/>
              </w:rPr>
            </w:pPr>
            <w:r w:rsidRPr="000E33A6">
              <w:rPr>
                <w:sz w:val="18"/>
                <w:szCs w:val="18"/>
              </w:rPr>
              <w:t>Fuente: Banco de Guatemala y Administrador del Mercado Mayorista.</w:t>
            </w:r>
          </w:p>
        </w:tc>
      </w:tr>
    </w:tbl>
    <w:p w14:paraId="1F668373" w14:textId="77777777" w:rsidR="00B545DE" w:rsidRDefault="00B545DE" w:rsidP="00B545DE">
      <w:pPr>
        <w:jc w:val="both"/>
        <w:rPr>
          <w:lang w:eastAsia="en-US"/>
        </w:rPr>
      </w:pPr>
    </w:p>
    <w:p w14:paraId="3ACDA546" w14:textId="7B493435" w:rsidR="00B545DE" w:rsidRPr="00B16946" w:rsidRDefault="00B545DE" w:rsidP="00B545DE">
      <w:pPr>
        <w:jc w:val="both"/>
      </w:pPr>
      <w:r w:rsidRPr="00B16946">
        <w:t>Por su parte, el tipo de cambio nominal de referencia registró a junio de 2023</w:t>
      </w:r>
      <w:r w:rsidR="00E5276F">
        <w:t>,</w:t>
      </w:r>
      <w:r w:rsidRPr="00B16946">
        <w:t xml:space="preserve"> una depreciación con respecto al 2022 de 1.2%, resultado congruente con la evolución de sus fundamentos</w:t>
      </w:r>
      <w:r w:rsidR="00E5276F">
        <w:t>;</w:t>
      </w:r>
      <w:r w:rsidRPr="00B16946">
        <w:t xml:space="preserve"> en particular</w:t>
      </w:r>
      <w:r w:rsidR="00E5276F">
        <w:t>, por</w:t>
      </w:r>
      <w:r w:rsidRPr="00B16946">
        <w:t xml:space="preserve"> el crecimiento del flujo de remesas familiares,</w:t>
      </w:r>
      <w:r w:rsidR="00E5276F">
        <w:t xml:space="preserve"> y</w:t>
      </w:r>
      <w:r w:rsidRPr="00B16946">
        <w:t xml:space="preserve"> el comportamiento de las importaciones y exportaciones. </w:t>
      </w:r>
    </w:p>
    <w:p w14:paraId="7E4A47BE" w14:textId="77777777" w:rsidR="00B545DE" w:rsidRPr="00B16946" w:rsidRDefault="00B545DE" w:rsidP="00B545DE">
      <w:pPr>
        <w:ind w:right="49"/>
        <w:jc w:val="both"/>
        <w:rPr>
          <w:lang w:val="es-MX"/>
        </w:rPr>
      </w:pPr>
    </w:p>
    <w:p w14:paraId="02AF31A6" w14:textId="4F05CB42" w:rsidR="00B545DE" w:rsidRPr="00B16946" w:rsidRDefault="00B545DE" w:rsidP="00B545DE">
      <w:pPr>
        <w:jc w:val="both"/>
      </w:pPr>
      <w:r w:rsidRPr="00B16946">
        <w:t>En el sector monetario, el crédito bancario al sector privado</w:t>
      </w:r>
      <w:r w:rsidR="00E5276F">
        <w:t>,</w:t>
      </w:r>
      <w:r w:rsidRPr="00B16946">
        <w:t xml:space="preserve"> que influye de forma directa en la producción y el consumo nacional, a junio de 202</w:t>
      </w:r>
      <w:r>
        <w:t>3</w:t>
      </w:r>
      <w:r w:rsidRPr="00B16946">
        <w:t xml:space="preserve"> muestra un crecimiento de 14.1%. Además, la tasa activa promedio ponderada de moneda nacional para junio de 2023</w:t>
      </w:r>
      <w:r w:rsidR="00E5276F">
        <w:t>,</w:t>
      </w:r>
      <w:r w:rsidRPr="00B16946">
        <w:t xml:space="preserve"> mostraba un valor de 11.98%, conservando el mismo valor respecto </w:t>
      </w:r>
      <w:r w:rsidR="00E5276F">
        <w:t>de</w:t>
      </w:r>
      <w:r w:rsidRPr="00B16946">
        <w:t xml:space="preserve"> 2022. Para la misma fecha, la tasa pasiva fue de 4.</w:t>
      </w:r>
      <w:r w:rsidR="00E5276F">
        <w:t>2</w:t>
      </w:r>
      <w:r w:rsidRPr="00B16946">
        <w:t xml:space="preserve">% y mostró un crecimiento de 22 puntos básicos con respecto </w:t>
      </w:r>
      <w:r>
        <w:t xml:space="preserve">a </w:t>
      </w:r>
      <w:r w:rsidRPr="00B16946">
        <w:t>su valor de final de 2022.</w:t>
      </w:r>
    </w:p>
    <w:p w14:paraId="161056E5" w14:textId="77777777" w:rsidR="00B545DE" w:rsidRPr="00B16946" w:rsidRDefault="00B545DE" w:rsidP="00B545DE">
      <w:pPr>
        <w:jc w:val="both"/>
      </w:pPr>
    </w:p>
    <w:p w14:paraId="0BE23B68" w14:textId="5560DCE2" w:rsidR="00B545DE" w:rsidRPr="00B16946" w:rsidRDefault="00B545DE" w:rsidP="00B545DE">
      <w:pPr>
        <w:jc w:val="both"/>
      </w:pPr>
      <w:r w:rsidRPr="00B16946">
        <w:t xml:space="preserve">En lo que respecta a la tasa de interés líder de política monetaria, la Junta Monetaria </w:t>
      </w:r>
      <w:r w:rsidR="00E5276F">
        <w:t xml:space="preserve">la </w:t>
      </w:r>
      <w:r w:rsidRPr="00B16946">
        <w:t>ha aumentado a partir de enero de 2023, en 125 puntos básicos</w:t>
      </w:r>
      <w:r w:rsidR="00E5276F">
        <w:t>,</w:t>
      </w:r>
      <w:r w:rsidRPr="00B16946">
        <w:t xml:space="preserve"> dejando la tasa en 5.0% a junio</w:t>
      </w:r>
      <w:r w:rsidR="00E5276F">
        <w:t xml:space="preserve"> de 2023</w:t>
      </w:r>
      <w:r>
        <w:t>,</w:t>
      </w:r>
      <w:r w:rsidRPr="00B16946">
        <w:t xml:space="preserve"> como estrategia para contrarrestar el aumento en la inflación</w:t>
      </w:r>
      <w:r w:rsidR="00E5276F">
        <w:t>,</w:t>
      </w:r>
      <w:r w:rsidRPr="00B16946">
        <w:t xml:space="preserve"> como consecuencia del conflicto entre Rusia y Ucrania.</w:t>
      </w:r>
    </w:p>
    <w:p w14:paraId="010DAF58" w14:textId="3D67E721" w:rsidR="00B545DE" w:rsidRDefault="00B545DE" w:rsidP="00B545DE">
      <w:pPr>
        <w:jc w:val="both"/>
        <w:rPr>
          <w:lang w:eastAsia="en-US"/>
        </w:rPr>
      </w:pPr>
    </w:p>
    <w:p w14:paraId="561AC0A4" w14:textId="5B5D43BF" w:rsidR="0059509D" w:rsidRDefault="0059509D" w:rsidP="00B545DE">
      <w:pPr>
        <w:jc w:val="both"/>
        <w:rPr>
          <w:lang w:eastAsia="en-US"/>
        </w:rPr>
      </w:pPr>
    </w:p>
    <w:p w14:paraId="23FCCD02" w14:textId="3451784E" w:rsidR="0059509D" w:rsidRDefault="0059509D" w:rsidP="00B545DE">
      <w:pPr>
        <w:jc w:val="both"/>
        <w:rPr>
          <w:lang w:eastAsia="en-US"/>
        </w:rPr>
      </w:pPr>
    </w:p>
    <w:p w14:paraId="3481131E" w14:textId="56C72403" w:rsidR="0059509D" w:rsidRDefault="0059509D" w:rsidP="00B545DE">
      <w:pPr>
        <w:jc w:val="both"/>
        <w:rPr>
          <w:lang w:eastAsia="en-US"/>
        </w:rPr>
      </w:pPr>
    </w:p>
    <w:p w14:paraId="30BD772F" w14:textId="6F9215B8" w:rsidR="0059509D" w:rsidRDefault="0059509D" w:rsidP="00B545DE">
      <w:pPr>
        <w:jc w:val="both"/>
        <w:rPr>
          <w:lang w:eastAsia="en-US"/>
        </w:rPr>
      </w:pPr>
    </w:p>
    <w:p w14:paraId="52583744" w14:textId="1D4D1C9F" w:rsidR="0059509D" w:rsidRDefault="0059509D" w:rsidP="00B545DE">
      <w:pPr>
        <w:jc w:val="both"/>
        <w:rPr>
          <w:lang w:eastAsia="en-US"/>
        </w:rPr>
      </w:pPr>
    </w:p>
    <w:p w14:paraId="324FCF56" w14:textId="3AD1EC56" w:rsidR="0059509D" w:rsidRDefault="0059509D" w:rsidP="00B545DE">
      <w:pPr>
        <w:jc w:val="both"/>
        <w:rPr>
          <w:lang w:eastAsia="en-US"/>
        </w:rPr>
      </w:pPr>
    </w:p>
    <w:p w14:paraId="22646DC5" w14:textId="01D3DFD5" w:rsidR="0059509D" w:rsidRDefault="0059509D" w:rsidP="00B545DE">
      <w:pPr>
        <w:jc w:val="both"/>
        <w:rPr>
          <w:lang w:eastAsia="en-US"/>
        </w:rPr>
      </w:pPr>
    </w:p>
    <w:p w14:paraId="383EA9DF" w14:textId="5707B265" w:rsidR="0059509D" w:rsidRDefault="0059509D" w:rsidP="00B545DE">
      <w:pPr>
        <w:jc w:val="both"/>
        <w:rPr>
          <w:lang w:eastAsia="en-US"/>
        </w:rPr>
      </w:pPr>
    </w:p>
    <w:p w14:paraId="5D53AA20" w14:textId="6DB27ADE" w:rsidR="0059509D" w:rsidRDefault="0059509D" w:rsidP="00B545DE">
      <w:pPr>
        <w:jc w:val="both"/>
        <w:rPr>
          <w:lang w:eastAsia="en-US"/>
        </w:rPr>
      </w:pPr>
    </w:p>
    <w:p w14:paraId="73209067" w14:textId="4350C610" w:rsidR="0059509D" w:rsidRDefault="0059509D" w:rsidP="00B545DE">
      <w:pPr>
        <w:jc w:val="both"/>
        <w:rPr>
          <w:lang w:eastAsia="en-US"/>
        </w:rPr>
      </w:pPr>
    </w:p>
    <w:p w14:paraId="0CCB3D64" w14:textId="6BFED62E" w:rsidR="0059509D" w:rsidRDefault="0059509D" w:rsidP="00B545DE">
      <w:pPr>
        <w:jc w:val="both"/>
        <w:rPr>
          <w:lang w:eastAsia="en-US"/>
        </w:rPr>
      </w:pPr>
    </w:p>
    <w:p w14:paraId="2A6B8D09" w14:textId="7B0E6284" w:rsidR="0059509D" w:rsidRDefault="0059509D" w:rsidP="00B545DE">
      <w:pPr>
        <w:jc w:val="both"/>
        <w:rPr>
          <w:lang w:eastAsia="en-US"/>
        </w:rPr>
      </w:pPr>
    </w:p>
    <w:p w14:paraId="71E65065" w14:textId="77777777" w:rsidR="0059509D" w:rsidRDefault="0059509D" w:rsidP="00B545DE">
      <w:pPr>
        <w:jc w:val="both"/>
        <w:rPr>
          <w:lang w:eastAsia="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49"/>
      </w:tblGrid>
      <w:tr w:rsidR="00B545DE" w:rsidRPr="00B16946" w14:paraId="01522843" w14:textId="77777777" w:rsidTr="00B545DE">
        <w:trPr>
          <w:jc w:val="center"/>
        </w:trPr>
        <w:tc>
          <w:tcPr>
            <w:tcW w:w="4449" w:type="dxa"/>
            <w:vAlign w:val="center"/>
          </w:tcPr>
          <w:p w14:paraId="050C7D0B" w14:textId="0816B4A9" w:rsidR="00B545DE" w:rsidRPr="00B16946" w:rsidRDefault="00B545DE" w:rsidP="00B545DE">
            <w:pPr>
              <w:keepNext/>
              <w:spacing w:after="200"/>
              <w:jc w:val="center"/>
              <w:rPr>
                <w:b/>
                <w:iCs/>
                <w:color w:val="000000" w:themeColor="text2"/>
                <w:lang w:val="es-GT" w:eastAsia="en-US"/>
              </w:rPr>
            </w:pPr>
            <w:r w:rsidRPr="00B16946">
              <w:rPr>
                <w:b/>
                <w:iCs/>
                <w:lang w:val="es-GT" w:eastAsia="en-US"/>
              </w:rPr>
              <w:t>Gráfic</w:t>
            </w:r>
            <w:r w:rsidR="000E33A6">
              <w:rPr>
                <w:b/>
                <w:iCs/>
                <w:lang w:val="es-GT" w:eastAsia="en-US"/>
              </w:rPr>
              <w:t>a 22</w:t>
            </w:r>
            <w:r w:rsidRPr="00B16946">
              <w:rPr>
                <w:b/>
                <w:iCs/>
                <w:lang w:val="es-GT" w:eastAsia="en-US"/>
              </w:rPr>
              <w:t xml:space="preserve">. </w:t>
            </w:r>
            <w:r w:rsidRPr="00B16946">
              <w:rPr>
                <w:b/>
                <w:bCs/>
                <w:iCs/>
                <w:lang w:val="es-MX" w:eastAsia="en-US"/>
              </w:rPr>
              <w:t xml:space="preserve">Tipo de </w:t>
            </w:r>
            <w:r w:rsidR="00E5276F">
              <w:rPr>
                <w:b/>
                <w:bCs/>
                <w:iCs/>
                <w:lang w:val="es-MX" w:eastAsia="en-US"/>
              </w:rPr>
              <w:t>C</w:t>
            </w:r>
            <w:r w:rsidRPr="00B16946">
              <w:rPr>
                <w:b/>
                <w:bCs/>
                <w:iCs/>
                <w:lang w:val="es-MX" w:eastAsia="en-US"/>
              </w:rPr>
              <w:t xml:space="preserve">ambio de </w:t>
            </w:r>
            <w:r w:rsidR="00E5276F">
              <w:rPr>
                <w:b/>
                <w:bCs/>
                <w:iCs/>
                <w:lang w:val="es-MX" w:eastAsia="en-US"/>
              </w:rPr>
              <w:t>R</w:t>
            </w:r>
            <w:r w:rsidRPr="00B16946">
              <w:rPr>
                <w:b/>
                <w:bCs/>
                <w:iCs/>
                <w:lang w:val="es-MX" w:eastAsia="en-US"/>
              </w:rPr>
              <w:t>eferencia</w:t>
            </w:r>
          </w:p>
        </w:tc>
        <w:tc>
          <w:tcPr>
            <w:tcW w:w="4389" w:type="dxa"/>
            <w:vAlign w:val="center"/>
          </w:tcPr>
          <w:p w14:paraId="4B25B9B5" w14:textId="1F3C7C28" w:rsidR="00B545DE" w:rsidRPr="00B16946" w:rsidRDefault="00B545DE" w:rsidP="00B545DE">
            <w:pPr>
              <w:keepNext/>
              <w:spacing w:after="200"/>
              <w:jc w:val="center"/>
              <w:rPr>
                <w:b/>
                <w:iCs/>
                <w:color w:val="000000" w:themeColor="text2"/>
                <w:lang w:val="es-GT" w:eastAsia="en-US"/>
              </w:rPr>
            </w:pPr>
            <w:r w:rsidRPr="00B16946">
              <w:rPr>
                <w:b/>
                <w:iCs/>
                <w:lang w:val="es-GT" w:eastAsia="en-US"/>
              </w:rPr>
              <w:t>Gráfic</w:t>
            </w:r>
            <w:r w:rsidR="000E33A6">
              <w:rPr>
                <w:b/>
                <w:iCs/>
                <w:lang w:val="es-GT" w:eastAsia="en-US"/>
              </w:rPr>
              <w:t>a 23</w:t>
            </w:r>
            <w:r w:rsidRPr="00B16946">
              <w:rPr>
                <w:b/>
                <w:iCs/>
                <w:lang w:val="es-GT" w:eastAsia="en-US"/>
              </w:rPr>
              <w:t xml:space="preserve">.  </w:t>
            </w:r>
            <w:r w:rsidRPr="00B16946">
              <w:rPr>
                <w:b/>
                <w:bCs/>
                <w:iCs/>
                <w:lang w:val="es-MX" w:eastAsia="en-US"/>
              </w:rPr>
              <w:t xml:space="preserve">Tasa </w:t>
            </w:r>
            <w:r w:rsidR="00E5276F">
              <w:rPr>
                <w:b/>
                <w:bCs/>
                <w:iCs/>
                <w:lang w:val="es-MX" w:eastAsia="en-US"/>
              </w:rPr>
              <w:t>L</w:t>
            </w:r>
            <w:r w:rsidRPr="00B16946">
              <w:rPr>
                <w:b/>
                <w:bCs/>
                <w:iCs/>
                <w:lang w:val="es-MX" w:eastAsia="en-US"/>
              </w:rPr>
              <w:t>íder</w:t>
            </w:r>
          </w:p>
        </w:tc>
      </w:tr>
      <w:tr w:rsidR="00B545DE" w:rsidRPr="00B16946" w14:paraId="7C07B2F9" w14:textId="77777777" w:rsidTr="00B545DE">
        <w:tblPrEx>
          <w:tblCellMar>
            <w:left w:w="70" w:type="dxa"/>
            <w:right w:w="70" w:type="dxa"/>
          </w:tblCellMar>
        </w:tblPrEx>
        <w:trPr>
          <w:jc w:val="center"/>
        </w:trPr>
        <w:tc>
          <w:tcPr>
            <w:tcW w:w="4449" w:type="dxa"/>
          </w:tcPr>
          <w:p w14:paraId="47DF3BDA" w14:textId="77777777" w:rsidR="00B545DE" w:rsidRPr="00B16946" w:rsidRDefault="00B545DE" w:rsidP="00B545DE">
            <w:pPr>
              <w:ind w:right="49"/>
              <w:jc w:val="both"/>
              <w:rPr>
                <w:lang w:val="es-MX"/>
              </w:rPr>
            </w:pPr>
            <w:r w:rsidRPr="00B16946">
              <w:rPr>
                <w:noProof/>
              </w:rPr>
              <w:drawing>
                <wp:inline distT="0" distB="0" distL="0" distR="0" wp14:anchorId="08059755" wp14:editId="6C1C2DBB">
                  <wp:extent cx="2701290" cy="2163445"/>
                  <wp:effectExtent l="0" t="0" r="3810" b="8255"/>
                  <wp:docPr id="32" name="Gráfico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389" w:type="dxa"/>
          </w:tcPr>
          <w:p w14:paraId="5A07E5CC" w14:textId="77777777" w:rsidR="00B545DE" w:rsidRPr="00B16946" w:rsidRDefault="00B545DE" w:rsidP="00B545DE">
            <w:pPr>
              <w:ind w:right="49"/>
              <w:jc w:val="both"/>
              <w:rPr>
                <w:lang w:val="es-MX"/>
              </w:rPr>
            </w:pPr>
            <w:r w:rsidRPr="00B16946">
              <w:rPr>
                <w:noProof/>
              </w:rPr>
              <w:drawing>
                <wp:inline distT="0" distB="0" distL="0" distR="0" wp14:anchorId="4FF9322E" wp14:editId="068AA338">
                  <wp:extent cx="2701290" cy="2163445"/>
                  <wp:effectExtent l="0" t="0" r="3810" b="8255"/>
                  <wp:docPr id="228" name="Gráfico 2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r w:rsidR="00B545DE" w:rsidRPr="000E33A6" w14:paraId="53D8CA85" w14:textId="77777777" w:rsidTr="00B545DE">
        <w:trPr>
          <w:jc w:val="center"/>
        </w:trPr>
        <w:tc>
          <w:tcPr>
            <w:tcW w:w="8838" w:type="dxa"/>
            <w:gridSpan w:val="2"/>
          </w:tcPr>
          <w:p w14:paraId="4E6A01ED" w14:textId="77777777" w:rsidR="00B545DE" w:rsidRPr="000E33A6" w:rsidRDefault="00B545DE" w:rsidP="00B545DE">
            <w:pPr>
              <w:ind w:right="49"/>
              <w:jc w:val="both"/>
              <w:rPr>
                <w:sz w:val="18"/>
                <w:szCs w:val="18"/>
                <w:lang w:val="es-MX"/>
              </w:rPr>
            </w:pPr>
            <w:r w:rsidRPr="000E33A6">
              <w:rPr>
                <w:sz w:val="18"/>
                <w:szCs w:val="18"/>
              </w:rPr>
              <w:t>Fuente: Banco de Guatemala y Administrador del Mercado Mayorista.</w:t>
            </w:r>
          </w:p>
        </w:tc>
      </w:tr>
    </w:tbl>
    <w:p w14:paraId="3EDE3FF6" w14:textId="77777777" w:rsidR="00B545DE" w:rsidRDefault="00B545DE" w:rsidP="00B545DE">
      <w:pPr>
        <w:jc w:val="both"/>
        <w:rPr>
          <w:lang w:eastAsia="en-US"/>
        </w:rPr>
      </w:pPr>
    </w:p>
    <w:p w14:paraId="6F488C91" w14:textId="737FA7E9" w:rsidR="00B545DE" w:rsidRPr="00B16946" w:rsidRDefault="00B545DE" w:rsidP="00B545DE">
      <w:pPr>
        <w:jc w:val="both"/>
      </w:pPr>
      <w:r w:rsidRPr="00B16946">
        <w:t>Para las principales variables macroeconómicas</w:t>
      </w:r>
      <w:r w:rsidR="007C6796">
        <w:t>,</w:t>
      </w:r>
      <w:r w:rsidRPr="00B16946">
        <w:t xml:space="preserve"> el Banco de Guatemala prevé que se mantenga el impulso económico por la resiliencia del país para adaptarse a las nuevas circunstancias, situación que permit</w:t>
      </w:r>
      <w:r>
        <w:t>e</w:t>
      </w:r>
      <w:r w:rsidRPr="00B16946">
        <w:t xml:space="preserve"> ubicar el crecimiento económico entre 2.5% y 4.5% para el cierre de 2023. Asimismo, se espera que el crecimiento del PIB nominal se encuentre entre 7.2% y 9.2% y que la inflación se posicione en el rango de entre 3.0% y 5.0%. Para las exportaciones FOB se espera un crecimiento entre 4.5% y 7.5% y para las importaciones</w:t>
      </w:r>
      <w:r w:rsidR="007C6796">
        <w:t>,</w:t>
      </w:r>
      <w:r w:rsidRPr="00B16946">
        <w:t xml:space="preserve"> un crecimiento entre 6.5% y 9.5%.</w:t>
      </w:r>
    </w:p>
    <w:p w14:paraId="4D458C76" w14:textId="77777777" w:rsidR="00B545DE" w:rsidRPr="00B16946" w:rsidRDefault="00B545DE" w:rsidP="00B545DE">
      <w:pPr>
        <w:jc w:val="both"/>
      </w:pPr>
    </w:p>
    <w:tbl>
      <w:tblPr>
        <w:tblStyle w:val="Tablaconcuadrcula2"/>
        <w:tblW w:w="67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B545DE" w:rsidRPr="00577096" w14:paraId="787FA1BB" w14:textId="77777777" w:rsidTr="00B545DE">
        <w:trPr>
          <w:trHeight w:val="156"/>
          <w:jc w:val="center"/>
        </w:trPr>
        <w:tc>
          <w:tcPr>
            <w:tcW w:w="6759" w:type="dxa"/>
          </w:tcPr>
          <w:p w14:paraId="002A7964" w14:textId="4F6F2496" w:rsidR="00B545DE" w:rsidRPr="00577096" w:rsidRDefault="00B545DE" w:rsidP="00B545DE">
            <w:pPr>
              <w:keepNext/>
              <w:spacing w:after="200"/>
              <w:jc w:val="center"/>
              <w:rPr>
                <w:b/>
                <w:iCs/>
                <w:lang w:val="es-GT" w:eastAsia="en-US"/>
              </w:rPr>
            </w:pPr>
            <w:r w:rsidRPr="00577096">
              <w:rPr>
                <w:b/>
                <w:iCs/>
                <w:lang w:val="es-GT" w:eastAsia="en-US"/>
              </w:rPr>
              <w:t>Gráfic</w:t>
            </w:r>
            <w:r w:rsidR="000E33A6">
              <w:rPr>
                <w:b/>
                <w:iCs/>
                <w:lang w:val="es-GT" w:eastAsia="en-US"/>
              </w:rPr>
              <w:t>a 24.</w:t>
            </w:r>
            <w:r w:rsidRPr="00577096">
              <w:rPr>
                <w:b/>
                <w:iCs/>
                <w:lang w:val="es-GT" w:eastAsia="en-US"/>
              </w:rPr>
              <w:t xml:space="preserve">  </w:t>
            </w:r>
            <w:r w:rsidRPr="00577096">
              <w:rPr>
                <w:b/>
                <w:bCs/>
                <w:iCs/>
                <w:lang w:val="es-GT" w:eastAsia="en-US"/>
              </w:rPr>
              <w:t xml:space="preserve">Proyecciones de las </w:t>
            </w:r>
            <w:r w:rsidR="007C6796">
              <w:rPr>
                <w:b/>
                <w:bCs/>
                <w:iCs/>
                <w:lang w:val="es-GT" w:eastAsia="en-US"/>
              </w:rPr>
              <w:t>P</w:t>
            </w:r>
            <w:r w:rsidRPr="00577096">
              <w:rPr>
                <w:b/>
                <w:bCs/>
                <w:iCs/>
                <w:lang w:val="es-GT" w:eastAsia="en-US"/>
              </w:rPr>
              <w:t xml:space="preserve">rincipales </w:t>
            </w:r>
            <w:r w:rsidR="007C6796">
              <w:rPr>
                <w:b/>
                <w:bCs/>
                <w:iCs/>
                <w:lang w:val="es-GT" w:eastAsia="en-US"/>
              </w:rPr>
              <w:t>V</w:t>
            </w:r>
            <w:r w:rsidRPr="00577096">
              <w:rPr>
                <w:b/>
                <w:bCs/>
                <w:iCs/>
                <w:lang w:val="es-GT" w:eastAsia="en-US"/>
              </w:rPr>
              <w:t xml:space="preserve">ariables </w:t>
            </w:r>
            <w:r w:rsidR="007C6796">
              <w:rPr>
                <w:b/>
                <w:bCs/>
                <w:iCs/>
                <w:lang w:val="es-GT" w:eastAsia="en-US"/>
              </w:rPr>
              <w:t>M</w:t>
            </w:r>
            <w:r w:rsidRPr="00577096">
              <w:rPr>
                <w:b/>
                <w:bCs/>
                <w:iCs/>
                <w:lang w:val="es-GT" w:eastAsia="en-US"/>
              </w:rPr>
              <w:t>acroeconómicas en 2023</w:t>
            </w:r>
          </w:p>
        </w:tc>
      </w:tr>
      <w:tr w:rsidR="00B545DE" w:rsidRPr="00577096" w14:paraId="01242190" w14:textId="77777777" w:rsidTr="00B545DE">
        <w:tblPrEx>
          <w:tblCellMar>
            <w:left w:w="70" w:type="dxa"/>
            <w:right w:w="70" w:type="dxa"/>
          </w:tblCellMar>
        </w:tblPrEx>
        <w:trPr>
          <w:trHeight w:val="709"/>
          <w:jc w:val="center"/>
        </w:trPr>
        <w:tc>
          <w:tcPr>
            <w:tcW w:w="6759" w:type="dxa"/>
          </w:tcPr>
          <w:p w14:paraId="536C69D0" w14:textId="77777777" w:rsidR="00B545DE" w:rsidRPr="00577096" w:rsidRDefault="00B545DE" w:rsidP="00B545DE">
            <w:pPr>
              <w:autoSpaceDE w:val="0"/>
              <w:autoSpaceDN w:val="0"/>
              <w:adjustRightInd w:val="0"/>
              <w:jc w:val="both"/>
            </w:pPr>
            <w:r w:rsidRPr="00577096">
              <w:rPr>
                <w:noProof/>
              </w:rPr>
              <w:drawing>
                <wp:inline distT="0" distB="0" distL="0" distR="0" wp14:anchorId="70598ECF" wp14:editId="64ACE225">
                  <wp:extent cx="5656504" cy="2721254"/>
                  <wp:effectExtent l="0" t="0" r="1905" b="3175"/>
                  <wp:docPr id="33" name="Gráfico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B545DE" w:rsidRPr="000E33A6" w14:paraId="3FEC13A6" w14:textId="77777777" w:rsidTr="00B545DE">
        <w:trPr>
          <w:trHeight w:val="105"/>
          <w:jc w:val="center"/>
        </w:trPr>
        <w:tc>
          <w:tcPr>
            <w:tcW w:w="6759" w:type="dxa"/>
          </w:tcPr>
          <w:p w14:paraId="62285259" w14:textId="4696314B" w:rsidR="00B545DE" w:rsidRPr="000E33A6" w:rsidRDefault="00B545DE" w:rsidP="00B545DE">
            <w:pPr>
              <w:autoSpaceDE w:val="0"/>
              <w:autoSpaceDN w:val="0"/>
              <w:adjustRightInd w:val="0"/>
              <w:jc w:val="both"/>
              <w:rPr>
                <w:sz w:val="18"/>
                <w:szCs w:val="20"/>
              </w:rPr>
            </w:pPr>
            <w:r w:rsidRPr="000E33A6">
              <w:rPr>
                <w:sz w:val="18"/>
                <w:szCs w:val="20"/>
              </w:rPr>
              <w:t>Fuente: Banco de Guatemala.</w:t>
            </w:r>
          </w:p>
        </w:tc>
      </w:tr>
    </w:tbl>
    <w:p w14:paraId="5EBA9B26" w14:textId="77777777" w:rsidR="00B545DE" w:rsidRPr="00B16946" w:rsidRDefault="00B545DE" w:rsidP="00B545DE">
      <w:pPr>
        <w:ind w:right="49"/>
        <w:jc w:val="both"/>
        <w:rPr>
          <w:lang w:val="es-MX"/>
        </w:rPr>
      </w:pPr>
    </w:p>
    <w:p w14:paraId="37DEE476" w14:textId="607C47D7" w:rsidR="00B545DE" w:rsidRDefault="00B545DE" w:rsidP="00B545DE">
      <w:pPr>
        <w:autoSpaceDE w:val="0"/>
        <w:autoSpaceDN w:val="0"/>
        <w:adjustRightInd w:val="0"/>
        <w:jc w:val="both"/>
        <w:rPr>
          <w:lang w:eastAsia="en-US"/>
        </w:rPr>
      </w:pPr>
      <w:r>
        <w:rPr>
          <w:lang w:eastAsia="en-US"/>
        </w:rPr>
        <w:t>En el año 2022</w:t>
      </w:r>
      <w:r w:rsidR="00127FBD">
        <w:rPr>
          <w:lang w:eastAsia="en-US"/>
        </w:rPr>
        <w:t>,</w:t>
      </w:r>
      <w:r>
        <w:rPr>
          <w:lang w:eastAsia="en-US"/>
        </w:rPr>
        <w:t xml:space="preserve"> la previsión del crecimiento económico utilizada para</w:t>
      </w:r>
      <w:r w:rsidR="00186697">
        <w:rPr>
          <w:lang w:eastAsia="en-US"/>
        </w:rPr>
        <w:t xml:space="preserve"> </w:t>
      </w:r>
      <w:r>
        <w:rPr>
          <w:lang w:eastAsia="en-US"/>
        </w:rPr>
        <w:t xml:space="preserve">el </w:t>
      </w:r>
      <w:r w:rsidR="00186697">
        <w:rPr>
          <w:lang w:eastAsia="en-US"/>
        </w:rPr>
        <w:t>p</w:t>
      </w:r>
      <w:r>
        <w:rPr>
          <w:lang w:eastAsia="en-US"/>
        </w:rPr>
        <w:t>resupuesto</w:t>
      </w:r>
      <w:r w:rsidR="00186697">
        <w:rPr>
          <w:lang w:eastAsia="en-US"/>
        </w:rPr>
        <w:t xml:space="preserve"> aprobado de</w:t>
      </w:r>
      <w:r>
        <w:rPr>
          <w:lang w:eastAsia="en-US"/>
        </w:rPr>
        <w:t xml:space="preserve"> 2023</w:t>
      </w:r>
      <w:r w:rsidR="00186697">
        <w:rPr>
          <w:lang w:eastAsia="en-US"/>
        </w:rPr>
        <w:t>,</w:t>
      </w:r>
      <w:r>
        <w:rPr>
          <w:lang w:eastAsia="en-US"/>
        </w:rPr>
        <w:t xml:space="preserve"> fue de 2.5%, menor en un punto porcentual a la previsión actual, esto debido a que, dada la incertidumbre de la evolución de la economía mundial por el conflicto de Ucrania y Rusia, los rebrotes de</w:t>
      </w:r>
      <w:r w:rsidR="00186697">
        <w:rPr>
          <w:lang w:eastAsia="en-US"/>
        </w:rPr>
        <w:t>l Covid</w:t>
      </w:r>
      <w:r>
        <w:rPr>
          <w:lang w:eastAsia="en-US"/>
        </w:rPr>
        <w:t xml:space="preserve">-19 </w:t>
      </w:r>
      <w:r w:rsidR="00186697">
        <w:rPr>
          <w:lang w:eastAsia="en-US"/>
        </w:rPr>
        <w:t>en</w:t>
      </w:r>
      <w:r>
        <w:rPr>
          <w:lang w:eastAsia="en-US"/>
        </w:rPr>
        <w:t xml:space="preserve"> China, el alza de las tasas de interés, entre otros, llevó a considerar un escenario macroeconómico conservador para el 2023. Sin embargo, dado el comportamiento económico recient</w:t>
      </w:r>
      <w:r w:rsidR="00186697">
        <w:rPr>
          <w:lang w:eastAsia="en-US"/>
        </w:rPr>
        <w:t>e,</w:t>
      </w:r>
      <w:r>
        <w:rPr>
          <w:lang w:eastAsia="en-US"/>
        </w:rPr>
        <w:t xml:space="preserve"> nacional e internacional, los riesgos en cierto sentido se han disipado</w:t>
      </w:r>
      <w:r w:rsidR="00186697">
        <w:rPr>
          <w:lang w:eastAsia="en-US"/>
        </w:rPr>
        <w:t>,</w:t>
      </w:r>
      <w:r>
        <w:rPr>
          <w:lang w:eastAsia="en-US"/>
        </w:rPr>
        <w:t xml:space="preserve"> por lo que, la más reciente proyección de crecimiento económico para 2023 se ubica en 3.5%. Por su parte, la constante inflación del 2022 y 2023, tuvo un impacto en el deflactor del PIB, por lo que la previsión actual del PIB nominal en 2023 es de 2.8 puntos porcentuales</w:t>
      </w:r>
      <w:r w:rsidR="00186697">
        <w:rPr>
          <w:lang w:eastAsia="en-US"/>
        </w:rPr>
        <w:t>,</w:t>
      </w:r>
      <w:r>
        <w:rPr>
          <w:lang w:eastAsia="en-US"/>
        </w:rPr>
        <w:t xml:space="preserve"> mayor a la utilizada en el proyecto del presupuesto 2023 (5.4%).</w:t>
      </w:r>
    </w:p>
    <w:p w14:paraId="7CEF4CAB" w14:textId="77777777" w:rsidR="00B545DE" w:rsidRDefault="00B545DE" w:rsidP="00B545DE">
      <w:pPr>
        <w:autoSpaceDE w:val="0"/>
        <w:autoSpaceDN w:val="0"/>
        <w:adjustRightInd w:val="0"/>
        <w:jc w:val="both"/>
        <w:rPr>
          <w:lang w:eastAsia="en-US"/>
        </w:rPr>
      </w:pPr>
    </w:p>
    <w:p w14:paraId="035D391B" w14:textId="587F3053" w:rsidR="00B545DE" w:rsidRDefault="00186697" w:rsidP="00B545DE">
      <w:pPr>
        <w:autoSpaceDE w:val="0"/>
        <w:autoSpaceDN w:val="0"/>
        <w:adjustRightInd w:val="0"/>
        <w:jc w:val="both"/>
        <w:rPr>
          <w:lang w:eastAsia="en-US"/>
        </w:rPr>
      </w:pPr>
      <w:r>
        <w:rPr>
          <w:lang w:eastAsia="en-US"/>
        </w:rPr>
        <w:t>L</w:t>
      </w:r>
      <w:r w:rsidR="00B545DE">
        <w:rPr>
          <w:lang w:eastAsia="en-US"/>
        </w:rPr>
        <w:t xml:space="preserve">as perspectivas actuales de las importaciones para 2023 son </w:t>
      </w:r>
      <w:r>
        <w:rPr>
          <w:lang w:eastAsia="en-US"/>
        </w:rPr>
        <w:t xml:space="preserve">de </w:t>
      </w:r>
      <w:r w:rsidR="00B545DE">
        <w:rPr>
          <w:lang w:eastAsia="en-US"/>
        </w:rPr>
        <w:t>1.5 puntos porcentuales mayores a las esperadas en 2022, esto debido a una mayor demanda interna, que, a pesar de ser afectada por la política monetaria restrictiva, se espera que dicha demanda siga siendo impulsada por las remesas familiares. Para las exportaciones se espera también que tengan un crecimiento de 1.5 puntos porcentuales mayor al previsto en 2022, esto debido a que los socios comerciales han mostrado un crecimiento económico estable en 2023, en particular Estados Unidos</w:t>
      </w:r>
      <w:r>
        <w:rPr>
          <w:lang w:eastAsia="en-US"/>
        </w:rPr>
        <w:t xml:space="preserve"> de América</w:t>
      </w:r>
      <w:r w:rsidR="00B545DE">
        <w:rPr>
          <w:lang w:eastAsia="en-US"/>
        </w:rPr>
        <w:t>.</w:t>
      </w:r>
    </w:p>
    <w:p w14:paraId="2A647363" w14:textId="77777777" w:rsidR="00B545DE" w:rsidRDefault="00B545DE" w:rsidP="00B545DE">
      <w:pPr>
        <w:autoSpaceDE w:val="0"/>
        <w:autoSpaceDN w:val="0"/>
        <w:adjustRightInd w:val="0"/>
        <w:jc w:val="both"/>
        <w:rPr>
          <w:lang w:eastAsia="en-US"/>
        </w:rPr>
      </w:pPr>
    </w:p>
    <w:p w14:paraId="6AAB67BE" w14:textId="070A4EF3" w:rsidR="00B545DE" w:rsidRDefault="000E33A6" w:rsidP="00B545DE">
      <w:pPr>
        <w:keepNext/>
        <w:jc w:val="center"/>
        <w:rPr>
          <w:b/>
          <w:bCs/>
          <w:szCs w:val="22"/>
          <w:lang w:val="es-GT" w:eastAsia="en-US"/>
        </w:rPr>
      </w:pPr>
      <w:r>
        <w:rPr>
          <w:b/>
          <w:szCs w:val="22"/>
          <w:lang w:val="es-GT" w:eastAsia="en-US"/>
        </w:rPr>
        <w:t>Cuadro 18</w:t>
      </w:r>
      <w:r w:rsidR="00B545DE" w:rsidRPr="001A51CE">
        <w:rPr>
          <w:b/>
          <w:szCs w:val="22"/>
          <w:lang w:val="es-GT" w:eastAsia="en-US"/>
        </w:rPr>
        <w:t>.</w:t>
      </w:r>
      <w:r w:rsidR="00B545DE" w:rsidRPr="00770DBE">
        <w:rPr>
          <w:b/>
          <w:i/>
          <w:iCs/>
          <w:szCs w:val="22"/>
          <w:lang w:val="es-GT" w:eastAsia="en-US"/>
        </w:rPr>
        <w:t xml:space="preserve">  </w:t>
      </w:r>
      <w:r w:rsidR="00B545DE">
        <w:rPr>
          <w:b/>
          <w:bCs/>
          <w:szCs w:val="22"/>
          <w:lang w:val="es-GT" w:eastAsia="en-US"/>
        </w:rPr>
        <w:t xml:space="preserve">Diferencia en las </w:t>
      </w:r>
      <w:r w:rsidR="00186697">
        <w:rPr>
          <w:b/>
          <w:bCs/>
          <w:szCs w:val="22"/>
          <w:lang w:val="es-GT" w:eastAsia="en-US"/>
        </w:rPr>
        <w:t>P</w:t>
      </w:r>
      <w:r w:rsidR="00B545DE">
        <w:rPr>
          <w:b/>
          <w:bCs/>
          <w:szCs w:val="22"/>
          <w:lang w:val="es-GT" w:eastAsia="en-US"/>
        </w:rPr>
        <w:t xml:space="preserve">royecciones </w:t>
      </w:r>
      <w:r w:rsidR="00186697">
        <w:rPr>
          <w:b/>
          <w:bCs/>
          <w:szCs w:val="22"/>
          <w:lang w:val="es-GT" w:eastAsia="en-US"/>
        </w:rPr>
        <w:t>M</w:t>
      </w:r>
      <w:r w:rsidR="00B545DE">
        <w:rPr>
          <w:b/>
          <w:bCs/>
          <w:szCs w:val="22"/>
          <w:lang w:val="es-GT" w:eastAsia="en-US"/>
        </w:rPr>
        <w:t>acroeconómicas</w:t>
      </w:r>
      <w:r w:rsidR="00F54D07">
        <w:rPr>
          <w:b/>
          <w:bCs/>
          <w:szCs w:val="22"/>
          <w:lang w:val="es-GT" w:eastAsia="en-US"/>
        </w:rPr>
        <w:t xml:space="preserve"> 2022 y 2023</w:t>
      </w:r>
    </w:p>
    <w:p w14:paraId="4CB7C880" w14:textId="77777777" w:rsidR="00B545DE" w:rsidRDefault="00B545DE" w:rsidP="00B545DE">
      <w:pPr>
        <w:keepNext/>
        <w:jc w:val="center"/>
        <w:rPr>
          <w:b/>
          <w:bCs/>
          <w:szCs w:val="22"/>
          <w:lang w:val="es-GT" w:eastAsia="en-US"/>
        </w:rPr>
      </w:pPr>
    </w:p>
    <w:tbl>
      <w:tblPr>
        <w:tblW w:w="907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962"/>
        <w:gridCol w:w="1417"/>
        <w:gridCol w:w="1418"/>
        <w:gridCol w:w="1275"/>
      </w:tblGrid>
      <w:tr w:rsidR="00B545DE" w:rsidRPr="00E90391" w14:paraId="24D42352" w14:textId="77777777" w:rsidTr="00F54D07">
        <w:trPr>
          <w:trHeight w:val="265"/>
          <w:jc w:val="center"/>
        </w:trPr>
        <w:tc>
          <w:tcPr>
            <w:tcW w:w="4962" w:type="dxa"/>
            <w:tcBorders>
              <w:top w:val="single" w:sz="4" w:space="0" w:color="auto"/>
              <w:bottom w:val="single" w:sz="4" w:space="0" w:color="auto"/>
              <w:right w:val="single" w:sz="4" w:space="0" w:color="auto"/>
            </w:tcBorders>
            <w:shd w:val="clear" w:color="auto" w:fill="00B0F0"/>
            <w:noWrap/>
            <w:vAlign w:val="center"/>
            <w:hideMark/>
          </w:tcPr>
          <w:p w14:paraId="4193C698" w14:textId="77777777" w:rsidR="00B545DE" w:rsidRPr="00186697" w:rsidRDefault="00B545DE" w:rsidP="00F54D07">
            <w:pPr>
              <w:jc w:val="center"/>
              <w:rPr>
                <w:b/>
                <w:color w:val="000000"/>
                <w:sz w:val="22"/>
                <w:szCs w:val="22"/>
                <w:lang w:val="es-GT" w:eastAsia="es-GT"/>
              </w:rPr>
            </w:pPr>
            <w:r w:rsidRPr="00186697">
              <w:rPr>
                <w:b/>
                <w:color w:val="000000"/>
                <w:sz w:val="22"/>
                <w:szCs w:val="22"/>
                <w:lang w:val="es-GT" w:eastAsia="es-GT"/>
              </w:rPr>
              <w:t>Variable</w:t>
            </w:r>
          </w:p>
        </w:tc>
        <w:tc>
          <w:tcPr>
            <w:tcW w:w="1417"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D3684DE" w14:textId="5B00B372" w:rsidR="00B545DE" w:rsidRPr="00186697" w:rsidRDefault="00186697" w:rsidP="00F54D07">
            <w:pPr>
              <w:jc w:val="center"/>
              <w:rPr>
                <w:b/>
                <w:color w:val="000000"/>
                <w:sz w:val="22"/>
                <w:szCs w:val="22"/>
                <w:lang w:val="es-GT" w:eastAsia="es-GT"/>
              </w:rPr>
            </w:pPr>
            <w:r>
              <w:rPr>
                <w:b/>
                <w:color w:val="000000"/>
                <w:sz w:val="22"/>
                <w:szCs w:val="22"/>
                <w:lang w:val="es-GT" w:eastAsia="es-GT"/>
              </w:rPr>
              <w:t>A</w:t>
            </w:r>
            <w:r w:rsidR="00B545DE" w:rsidRPr="00186697">
              <w:rPr>
                <w:b/>
                <w:color w:val="000000"/>
                <w:sz w:val="22"/>
                <w:szCs w:val="22"/>
                <w:lang w:val="es-GT" w:eastAsia="es-GT"/>
              </w:rPr>
              <w:t>br-22</w:t>
            </w:r>
          </w:p>
        </w:tc>
        <w:tc>
          <w:tcPr>
            <w:tcW w:w="1418"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F9415B6" w14:textId="6C857D60" w:rsidR="00B545DE" w:rsidRPr="00186697" w:rsidRDefault="00186697" w:rsidP="00F54D07">
            <w:pPr>
              <w:jc w:val="center"/>
              <w:rPr>
                <w:b/>
                <w:color w:val="000000"/>
                <w:sz w:val="22"/>
                <w:szCs w:val="22"/>
                <w:lang w:val="es-GT" w:eastAsia="es-GT"/>
              </w:rPr>
            </w:pPr>
            <w:r>
              <w:rPr>
                <w:b/>
                <w:color w:val="000000"/>
                <w:sz w:val="22"/>
                <w:szCs w:val="22"/>
                <w:lang w:val="es-GT" w:eastAsia="es-GT"/>
              </w:rPr>
              <w:t>A</w:t>
            </w:r>
            <w:r w:rsidR="00B545DE" w:rsidRPr="00186697">
              <w:rPr>
                <w:b/>
                <w:color w:val="000000"/>
                <w:sz w:val="22"/>
                <w:szCs w:val="22"/>
                <w:lang w:val="es-GT" w:eastAsia="es-GT"/>
              </w:rPr>
              <w:t>br-23</w:t>
            </w:r>
          </w:p>
        </w:tc>
        <w:tc>
          <w:tcPr>
            <w:tcW w:w="1275" w:type="dxa"/>
            <w:tcBorders>
              <w:top w:val="single" w:sz="4" w:space="0" w:color="auto"/>
              <w:left w:val="single" w:sz="4" w:space="0" w:color="auto"/>
              <w:bottom w:val="single" w:sz="4" w:space="0" w:color="auto"/>
            </w:tcBorders>
            <w:shd w:val="clear" w:color="auto" w:fill="00B0F0"/>
            <w:noWrap/>
            <w:vAlign w:val="center"/>
            <w:hideMark/>
          </w:tcPr>
          <w:p w14:paraId="3F11B185" w14:textId="77777777" w:rsidR="00B545DE" w:rsidRPr="00186697" w:rsidRDefault="00B545DE" w:rsidP="00F54D07">
            <w:pPr>
              <w:jc w:val="center"/>
              <w:rPr>
                <w:b/>
                <w:color w:val="000000"/>
                <w:sz w:val="22"/>
                <w:szCs w:val="22"/>
                <w:lang w:val="es-GT" w:eastAsia="es-GT"/>
              </w:rPr>
            </w:pPr>
            <w:r w:rsidRPr="00186697">
              <w:rPr>
                <w:b/>
                <w:color w:val="000000"/>
                <w:sz w:val="22"/>
                <w:szCs w:val="22"/>
                <w:lang w:val="es-GT" w:eastAsia="es-GT"/>
              </w:rPr>
              <w:t>Diferencia</w:t>
            </w:r>
          </w:p>
        </w:tc>
      </w:tr>
      <w:tr w:rsidR="00B545DE" w:rsidRPr="00E90391" w14:paraId="0E79244A" w14:textId="77777777" w:rsidTr="00186697">
        <w:trPr>
          <w:trHeight w:val="265"/>
          <w:jc w:val="center"/>
        </w:trPr>
        <w:tc>
          <w:tcPr>
            <w:tcW w:w="4962" w:type="dxa"/>
            <w:tcBorders>
              <w:top w:val="single" w:sz="4" w:space="0" w:color="auto"/>
              <w:right w:val="single" w:sz="4" w:space="0" w:color="auto"/>
            </w:tcBorders>
            <w:shd w:val="clear" w:color="auto" w:fill="auto"/>
            <w:noWrap/>
            <w:vAlign w:val="bottom"/>
            <w:hideMark/>
          </w:tcPr>
          <w:p w14:paraId="795BB8C2" w14:textId="0C08FB27" w:rsidR="00B545DE" w:rsidRPr="00E90391" w:rsidRDefault="00186697" w:rsidP="00B545DE">
            <w:pPr>
              <w:rPr>
                <w:color w:val="000000"/>
                <w:sz w:val="22"/>
                <w:szCs w:val="22"/>
                <w:lang w:val="es-GT" w:eastAsia="es-GT"/>
              </w:rPr>
            </w:pPr>
            <w:r>
              <w:rPr>
                <w:color w:val="000000"/>
                <w:sz w:val="22"/>
                <w:szCs w:val="22"/>
                <w:lang w:val="es-GT" w:eastAsia="es-GT"/>
              </w:rPr>
              <w:t xml:space="preserve">   </w:t>
            </w:r>
            <w:r w:rsidR="00B545DE" w:rsidRPr="00E90391">
              <w:rPr>
                <w:color w:val="000000"/>
                <w:sz w:val="22"/>
                <w:szCs w:val="22"/>
                <w:lang w:val="es-GT" w:eastAsia="es-GT"/>
              </w:rPr>
              <w:t>PIB real</w:t>
            </w:r>
          </w:p>
        </w:tc>
        <w:tc>
          <w:tcPr>
            <w:tcW w:w="1417" w:type="dxa"/>
            <w:tcBorders>
              <w:top w:val="single" w:sz="4" w:space="0" w:color="auto"/>
              <w:left w:val="single" w:sz="4" w:space="0" w:color="auto"/>
              <w:right w:val="single" w:sz="4" w:space="0" w:color="auto"/>
            </w:tcBorders>
            <w:shd w:val="clear" w:color="auto" w:fill="auto"/>
            <w:noWrap/>
            <w:vAlign w:val="bottom"/>
            <w:hideMark/>
          </w:tcPr>
          <w:p w14:paraId="4ECBDE9D"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2.50</w:t>
            </w:r>
          </w:p>
        </w:tc>
        <w:tc>
          <w:tcPr>
            <w:tcW w:w="1418" w:type="dxa"/>
            <w:tcBorders>
              <w:top w:val="single" w:sz="4" w:space="0" w:color="auto"/>
              <w:left w:val="single" w:sz="4" w:space="0" w:color="auto"/>
              <w:right w:val="single" w:sz="4" w:space="0" w:color="auto"/>
            </w:tcBorders>
            <w:shd w:val="clear" w:color="auto" w:fill="auto"/>
            <w:noWrap/>
            <w:vAlign w:val="bottom"/>
            <w:hideMark/>
          </w:tcPr>
          <w:p w14:paraId="7E281BDA"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3.50</w:t>
            </w:r>
          </w:p>
        </w:tc>
        <w:tc>
          <w:tcPr>
            <w:tcW w:w="1275" w:type="dxa"/>
            <w:tcBorders>
              <w:top w:val="single" w:sz="4" w:space="0" w:color="auto"/>
              <w:left w:val="single" w:sz="4" w:space="0" w:color="auto"/>
            </w:tcBorders>
            <w:shd w:val="clear" w:color="auto" w:fill="auto"/>
            <w:noWrap/>
            <w:vAlign w:val="bottom"/>
            <w:hideMark/>
          </w:tcPr>
          <w:p w14:paraId="63C16CD5"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1.00</w:t>
            </w:r>
          </w:p>
        </w:tc>
      </w:tr>
      <w:tr w:rsidR="00B545DE" w:rsidRPr="00E90391" w14:paraId="07498611" w14:textId="77777777" w:rsidTr="00186697">
        <w:trPr>
          <w:trHeight w:val="252"/>
          <w:jc w:val="center"/>
        </w:trPr>
        <w:tc>
          <w:tcPr>
            <w:tcW w:w="4962" w:type="dxa"/>
            <w:tcBorders>
              <w:right w:val="single" w:sz="4" w:space="0" w:color="auto"/>
            </w:tcBorders>
            <w:shd w:val="clear" w:color="auto" w:fill="auto"/>
            <w:noWrap/>
            <w:vAlign w:val="bottom"/>
            <w:hideMark/>
          </w:tcPr>
          <w:p w14:paraId="5871D67D" w14:textId="77BA8547" w:rsidR="00B545DE" w:rsidRPr="00E90391" w:rsidRDefault="00186697" w:rsidP="00B545DE">
            <w:pPr>
              <w:rPr>
                <w:color w:val="000000"/>
                <w:sz w:val="22"/>
                <w:szCs w:val="22"/>
                <w:lang w:val="es-GT" w:eastAsia="es-GT"/>
              </w:rPr>
            </w:pPr>
            <w:r>
              <w:rPr>
                <w:color w:val="000000"/>
                <w:sz w:val="22"/>
                <w:szCs w:val="22"/>
                <w:lang w:val="es-GT" w:eastAsia="es-GT"/>
              </w:rPr>
              <w:t xml:space="preserve">   </w:t>
            </w:r>
            <w:r w:rsidR="00B545DE" w:rsidRPr="00E90391">
              <w:rPr>
                <w:color w:val="000000"/>
                <w:sz w:val="22"/>
                <w:szCs w:val="22"/>
                <w:lang w:val="es-GT" w:eastAsia="es-GT"/>
              </w:rPr>
              <w:t>PIB nominal</w:t>
            </w:r>
          </w:p>
        </w:tc>
        <w:tc>
          <w:tcPr>
            <w:tcW w:w="1417" w:type="dxa"/>
            <w:tcBorders>
              <w:left w:val="single" w:sz="4" w:space="0" w:color="auto"/>
              <w:right w:val="single" w:sz="4" w:space="0" w:color="auto"/>
            </w:tcBorders>
            <w:shd w:val="clear" w:color="auto" w:fill="auto"/>
            <w:noWrap/>
            <w:vAlign w:val="bottom"/>
            <w:hideMark/>
          </w:tcPr>
          <w:p w14:paraId="223E6EAD"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5.40</w:t>
            </w:r>
          </w:p>
        </w:tc>
        <w:tc>
          <w:tcPr>
            <w:tcW w:w="1418" w:type="dxa"/>
            <w:tcBorders>
              <w:left w:val="single" w:sz="4" w:space="0" w:color="auto"/>
              <w:right w:val="single" w:sz="4" w:space="0" w:color="auto"/>
            </w:tcBorders>
            <w:shd w:val="clear" w:color="auto" w:fill="auto"/>
            <w:noWrap/>
            <w:vAlign w:val="bottom"/>
            <w:hideMark/>
          </w:tcPr>
          <w:p w14:paraId="5028A097"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8.20</w:t>
            </w:r>
          </w:p>
        </w:tc>
        <w:tc>
          <w:tcPr>
            <w:tcW w:w="1275" w:type="dxa"/>
            <w:tcBorders>
              <w:left w:val="single" w:sz="4" w:space="0" w:color="auto"/>
            </w:tcBorders>
            <w:shd w:val="clear" w:color="auto" w:fill="auto"/>
            <w:noWrap/>
            <w:vAlign w:val="bottom"/>
            <w:hideMark/>
          </w:tcPr>
          <w:p w14:paraId="41A58E1B"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2.80</w:t>
            </w:r>
          </w:p>
        </w:tc>
      </w:tr>
      <w:tr w:rsidR="00B545DE" w:rsidRPr="00E90391" w14:paraId="138BA9AF" w14:textId="77777777" w:rsidTr="00186697">
        <w:trPr>
          <w:trHeight w:val="252"/>
          <w:jc w:val="center"/>
        </w:trPr>
        <w:tc>
          <w:tcPr>
            <w:tcW w:w="4962" w:type="dxa"/>
            <w:tcBorders>
              <w:right w:val="single" w:sz="4" w:space="0" w:color="auto"/>
            </w:tcBorders>
            <w:shd w:val="clear" w:color="auto" w:fill="auto"/>
            <w:noWrap/>
            <w:vAlign w:val="bottom"/>
            <w:hideMark/>
          </w:tcPr>
          <w:p w14:paraId="2AA8EF00" w14:textId="608181FE" w:rsidR="00B545DE" w:rsidRPr="00E90391" w:rsidRDefault="00186697" w:rsidP="00B545DE">
            <w:pPr>
              <w:rPr>
                <w:color w:val="000000"/>
                <w:sz w:val="22"/>
                <w:szCs w:val="22"/>
                <w:lang w:val="es-GT" w:eastAsia="es-GT"/>
              </w:rPr>
            </w:pPr>
            <w:r>
              <w:rPr>
                <w:color w:val="000000"/>
                <w:sz w:val="22"/>
                <w:szCs w:val="22"/>
                <w:lang w:val="es-GT" w:eastAsia="es-GT"/>
              </w:rPr>
              <w:t xml:space="preserve">   </w:t>
            </w:r>
            <w:r w:rsidR="00B545DE" w:rsidRPr="00E90391">
              <w:rPr>
                <w:color w:val="000000"/>
                <w:sz w:val="22"/>
                <w:szCs w:val="22"/>
                <w:lang w:val="es-GT" w:eastAsia="es-GT"/>
              </w:rPr>
              <w:t>Importaciones FOB</w:t>
            </w:r>
          </w:p>
        </w:tc>
        <w:tc>
          <w:tcPr>
            <w:tcW w:w="1417" w:type="dxa"/>
            <w:tcBorders>
              <w:left w:val="single" w:sz="4" w:space="0" w:color="auto"/>
              <w:right w:val="single" w:sz="4" w:space="0" w:color="auto"/>
            </w:tcBorders>
            <w:shd w:val="clear" w:color="auto" w:fill="auto"/>
            <w:noWrap/>
            <w:vAlign w:val="bottom"/>
            <w:hideMark/>
          </w:tcPr>
          <w:p w14:paraId="2DE5AF03"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6.50</w:t>
            </w:r>
          </w:p>
        </w:tc>
        <w:tc>
          <w:tcPr>
            <w:tcW w:w="1418" w:type="dxa"/>
            <w:tcBorders>
              <w:left w:val="single" w:sz="4" w:space="0" w:color="auto"/>
              <w:right w:val="single" w:sz="4" w:space="0" w:color="auto"/>
            </w:tcBorders>
            <w:shd w:val="clear" w:color="auto" w:fill="auto"/>
            <w:noWrap/>
            <w:vAlign w:val="bottom"/>
            <w:hideMark/>
          </w:tcPr>
          <w:p w14:paraId="5F77E206"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8.00</w:t>
            </w:r>
          </w:p>
        </w:tc>
        <w:tc>
          <w:tcPr>
            <w:tcW w:w="1275" w:type="dxa"/>
            <w:tcBorders>
              <w:left w:val="single" w:sz="4" w:space="0" w:color="auto"/>
            </w:tcBorders>
            <w:shd w:val="clear" w:color="auto" w:fill="auto"/>
            <w:noWrap/>
            <w:vAlign w:val="bottom"/>
            <w:hideMark/>
          </w:tcPr>
          <w:p w14:paraId="1526FB84"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1.50</w:t>
            </w:r>
          </w:p>
        </w:tc>
      </w:tr>
      <w:tr w:rsidR="00B545DE" w:rsidRPr="00E90391" w14:paraId="65DD51AA" w14:textId="77777777" w:rsidTr="00186697">
        <w:trPr>
          <w:trHeight w:val="252"/>
          <w:jc w:val="center"/>
        </w:trPr>
        <w:tc>
          <w:tcPr>
            <w:tcW w:w="4962" w:type="dxa"/>
            <w:tcBorders>
              <w:right w:val="single" w:sz="4" w:space="0" w:color="auto"/>
            </w:tcBorders>
            <w:shd w:val="clear" w:color="auto" w:fill="auto"/>
            <w:noWrap/>
            <w:vAlign w:val="bottom"/>
            <w:hideMark/>
          </w:tcPr>
          <w:p w14:paraId="6FF950EC" w14:textId="6840F57E" w:rsidR="00B545DE" w:rsidRPr="00E90391" w:rsidRDefault="00186697" w:rsidP="00B545DE">
            <w:pPr>
              <w:rPr>
                <w:color w:val="000000"/>
                <w:sz w:val="22"/>
                <w:szCs w:val="22"/>
                <w:lang w:val="es-GT" w:eastAsia="es-GT"/>
              </w:rPr>
            </w:pPr>
            <w:r>
              <w:rPr>
                <w:color w:val="000000"/>
                <w:sz w:val="22"/>
                <w:szCs w:val="22"/>
                <w:lang w:val="es-GT" w:eastAsia="es-GT"/>
              </w:rPr>
              <w:t xml:space="preserve">   </w:t>
            </w:r>
            <w:r w:rsidR="00B545DE" w:rsidRPr="00E90391">
              <w:rPr>
                <w:color w:val="000000"/>
                <w:sz w:val="22"/>
                <w:szCs w:val="22"/>
                <w:lang w:val="es-GT" w:eastAsia="es-GT"/>
              </w:rPr>
              <w:t>Exportaciones FOB</w:t>
            </w:r>
          </w:p>
        </w:tc>
        <w:tc>
          <w:tcPr>
            <w:tcW w:w="1417" w:type="dxa"/>
            <w:tcBorders>
              <w:left w:val="single" w:sz="4" w:space="0" w:color="auto"/>
              <w:right w:val="single" w:sz="4" w:space="0" w:color="auto"/>
            </w:tcBorders>
            <w:shd w:val="clear" w:color="auto" w:fill="auto"/>
            <w:noWrap/>
            <w:vAlign w:val="bottom"/>
            <w:hideMark/>
          </w:tcPr>
          <w:p w14:paraId="4AA27056"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4.50</w:t>
            </w:r>
          </w:p>
        </w:tc>
        <w:tc>
          <w:tcPr>
            <w:tcW w:w="1418" w:type="dxa"/>
            <w:tcBorders>
              <w:left w:val="single" w:sz="4" w:space="0" w:color="auto"/>
              <w:right w:val="single" w:sz="4" w:space="0" w:color="auto"/>
            </w:tcBorders>
            <w:shd w:val="clear" w:color="auto" w:fill="auto"/>
            <w:noWrap/>
            <w:vAlign w:val="bottom"/>
            <w:hideMark/>
          </w:tcPr>
          <w:p w14:paraId="54BC5DCB"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6.00</w:t>
            </w:r>
          </w:p>
        </w:tc>
        <w:tc>
          <w:tcPr>
            <w:tcW w:w="1275" w:type="dxa"/>
            <w:tcBorders>
              <w:left w:val="single" w:sz="4" w:space="0" w:color="auto"/>
            </w:tcBorders>
            <w:shd w:val="clear" w:color="auto" w:fill="auto"/>
            <w:noWrap/>
            <w:vAlign w:val="bottom"/>
            <w:hideMark/>
          </w:tcPr>
          <w:p w14:paraId="59672AAF"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1.50</w:t>
            </w:r>
          </w:p>
        </w:tc>
      </w:tr>
      <w:tr w:rsidR="00B545DE" w:rsidRPr="00E90391" w14:paraId="785A18A6" w14:textId="77777777" w:rsidTr="00186697">
        <w:trPr>
          <w:trHeight w:val="265"/>
          <w:jc w:val="center"/>
        </w:trPr>
        <w:tc>
          <w:tcPr>
            <w:tcW w:w="4962" w:type="dxa"/>
            <w:tcBorders>
              <w:bottom w:val="single" w:sz="4" w:space="0" w:color="auto"/>
              <w:right w:val="single" w:sz="4" w:space="0" w:color="auto"/>
            </w:tcBorders>
            <w:shd w:val="clear" w:color="auto" w:fill="auto"/>
            <w:noWrap/>
            <w:vAlign w:val="bottom"/>
            <w:hideMark/>
          </w:tcPr>
          <w:p w14:paraId="7692DBA5" w14:textId="08E6F953" w:rsidR="00B545DE" w:rsidRPr="00E90391" w:rsidRDefault="00186697" w:rsidP="00B545DE">
            <w:pPr>
              <w:rPr>
                <w:color w:val="000000"/>
                <w:sz w:val="22"/>
                <w:szCs w:val="22"/>
                <w:lang w:val="es-GT" w:eastAsia="es-GT"/>
              </w:rPr>
            </w:pPr>
            <w:r>
              <w:rPr>
                <w:color w:val="000000"/>
                <w:sz w:val="22"/>
                <w:szCs w:val="22"/>
                <w:lang w:val="es-GT" w:eastAsia="es-GT"/>
              </w:rPr>
              <w:t xml:space="preserve">   </w:t>
            </w:r>
            <w:r w:rsidR="00B545DE" w:rsidRPr="00E90391">
              <w:rPr>
                <w:color w:val="000000"/>
                <w:sz w:val="22"/>
                <w:szCs w:val="22"/>
                <w:lang w:val="es-GT" w:eastAsia="es-GT"/>
              </w:rPr>
              <w:t>Inflación</w:t>
            </w:r>
          </w:p>
        </w:tc>
        <w:tc>
          <w:tcPr>
            <w:tcW w:w="1417" w:type="dxa"/>
            <w:tcBorders>
              <w:left w:val="single" w:sz="4" w:space="0" w:color="auto"/>
              <w:bottom w:val="single" w:sz="4" w:space="0" w:color="auto"/>
              <w:right w:val="single" w:sz="4" w:space="0" w:color="auto"/>
            </w:tcBorders>
            <w:shd w:val="clear" w:color="auto" w:fill="auto"/>
            <w:noWrap/>
            <w:vAlign w:val="bottom"/>
            <w:hideMark/>
          </w:tcPr>
          <w:p w14:paraId="7B013090"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3.00</w:t>
            </w:r>
          </w:p>
        </w:tc>
        <w:tc>
          <w:tcPr>
            <w:tcW w:w="1418" w:type="dxa"/>
            <w:tcBorders>
              <w:left w:val="single" w:sz="4" w:space="0" w:color="auto"/>
              <w:bottom w:val="single" w:sz="4" w:space="0" w:color="auto"/>
              <w:right w:val="single" w:sz="4" w:space="0" w:color="auto"/>
            </w:tcBorders>
            <w:shd w:val="clear" w:color="auto" w:fill="auto"/>
            <w:noWrap/>
            <w:vAlign w:val="bottom"/>
            <w:hideMark/>
          </w:tcPr>
          <w:p w14:paraId="77B10C9B"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4.00</w:t>
            </w:r>
          </w:p>
        </w:tc>
        <w:tc>
          <w:tcPr>
            <w:tcW w:w="1275" w:type="dxa"/>
            <w:tcBorders>
              <w:left w:val="single" w:sz="4" w:space="0" w:color="auto"/>
              <w:bottom w:val="single" w:sz="4" w:space="0" w:color="auto"/>
            </w:tcBorders>
            <w:shd w:val="clear" w:color="auto" w:fill="auto"/>
            <w:noWrap/>
            <w:vAlign w:val="bottom"/>
            <w:hideMark/>
          </w:tcPr>
          <w:p w14:paraId="5E3D7FBB" w14:textId="77777777" w:rsidR="00B545DE" w:rsidRPr="00E90391" w:rsidRDefault="00B545DE" w:rsidP="00B545DE">
            <w:pPr>
              <w:jc w:val="center"/>
              <w:rPr>
                <w:color w:val="000000"/>
                <w:sz w:val="22"/>
                <w:szCs w:val="22"/>
                <w:lang w:val="es-GT" w:eastAsia="es-GT"/>
              </w:rPr>
            </w:pPr>
            <w:r w:rsidRPr="00E90391">
              <w:rPr>
                <w:color w:val="000000"/>
                <w:sz w:val="22"/>
                <w:szCs w:val="22"/>
                <w:lang w:val="es-GT" w:eastAsia="es-GT"/>
              </w:rPr>
              <w:t>1.00</w:t>
            </w:r>
          </w:p>
        </w:tc>
      </w:tr>
    </w:tbl>
    <w:p w14:paraId="337091D7" w14:textId="017FFFE1" w:rsidR="00B545DE" w:rsidRPr="00186697" w:rsidRDefault="00B545DE" w:rsidP="00B545DE">
      <w:pPr>
        <w:ind w:right="49"/>
        <w:jc w:val="both"/>
        <w:rPr>
          <w:sz w:val="18"/>
          <w:szCs w:val="20"/>
          <w:lang w:val="es-US"/>
        </w:rPr>
      </w:pPr>
      <w:r w:rsidRPr="00186697">
        <w:rPr>
          <w:sz w:val="18"/>
          <w:szCs w:val="20"/>
          <w:lang w:val="es-US"/>
        </w:rPr>
        <w:t>Fuente: Banco de Guatemala</w:t>
      </w:r>
      <w:r w:rsidR="00186697" w:rsidRPr="00186697">
        <w:rPr>
          <w:sz w:val="18"/>
          <w:szCs w:val="20"/>
          <w:lang w:val="es-US"/>
        </w:rPr>
        <w:t>.</w:t>
      </w:r>
    </w:p>
    <w:p w14:paraId="65C19FBD" w14:textId="54368FF3" w:rsidR="00186697" w:rsidRPr="00530E58" w:rsidRDefault="00186697" w:rsidP="00B545DE">
      <w:pPr>
        <w:ind w:right="49"/>
        <w:jc w:val="both"/>
        <w:rPr>
          <w:szCs w:val="20"/>
          <w:lang w:val="es-US"/>
        </w:rPr>
      </w:pPr>
    </w:p>
    <w:p w14:paraId="4C3D35B1" w14:textId="77777777" w:rsidR="00530E58" w:rsidRPr="00530E58" w:rsidRDefault="00530E58" w:rsidP="00B545DE">
      <w:pPr>
        <w:ind w:right="49"/>
        <w:jc w:val="both"/>
        <w:rPr>
          <w:szCs w:val="20"/>
          <w:lang w:val="es-US"/>
        </w:rPr>
      </w:pPr>
    </w:p>
    <w:p w14:paraId="0097B090" w14:textId="77777777" w:rsidR="00B545DE" w:rsidRPr="009104C4" w:rsidRDefault="00B545DE" w:rsidP="009104C4">
      <w:pPr>
        <w:pStyle w:val="Ttulo2"/>
        <w:numPr>
          <w:ilvl w:val="0"/>
          <w:numId w:val="6"/>
        </w:numPr>
        <w:ind w:left="426"/>
        <w:rPr>
          <w:rFonts w:ascii="Times New Roman" w:hAnsi="Times New Roman"/>
          <w:color w:val="auto"/>
          <w:sz w:val="24"/>
        </w:rPr>
      </w:pPr>
      <w:bookmarkStart w:id="43" w:name="_Toc20495562"/>
      <w:bookmarkStart w:id="44" w:name="_Toc142549346"/>
      <w:bookmarkStart w:id="45" w:name="_Toc142920554"/>
      <w:r w:rsidRPr="009104C4">
        <w:rPr>
          <w:rFonts w:ascii="Times New Roman" w:hAnsi="Times New Roman"/>
          <w:color w:val="auto"/>
          <w:sz w:val="24"/>
        </w:rPr>
        <w:t>Ingresos de la Administración Central</w:t>
      </w:r>
      <w:bookmarkEnd w:id="43"/>
      <w:bookmarkEnd w:id="44"/>
      <w:bookmarkEnd w:id="45"/>
    </w:p>
    <w:p w14:paraId="565D346A" w14:textId="0183EBB2" w:rsidR="00B545DE" w:rsidRPr="00AD03E4" w:rsidRDefault="00B545DE" w:rsidP="008B27EA">
      <w:pPr>
        <w:pStyle w:val="Ttulo3"/>
        <w:numPr>
          <w:ilvl w:val="0"/>
          <w:numId w:val="13"/>
        </w:numPr>
        <w:ind w:left="426"/>
        <w:rPr>
          <w:color w:val="auto"/>
        </w:rPr>
      </w:pPr>
      <w:bookmarkStart w:id="46" w:name="_Toc20495563"/>
      <w:bookmarkStart w:id="47" w:name="_Toc142549347"/>
      <w:bookmarkStart w:id="48" w:name="_Toc142920555"/>
      <w:r w:rsidRPr="00AD03E4">
        <w:rPr>
          <w:color w:val="auto"/>
        </w:rPr>
        <w:t>Ingresos</w:t>
      </w:r>
      <w:bookmarkEnd w:id="46"/>
      <w:bookmarkEnd w:id="47"/>
      <w:bookmarkEnd w:id="48"/>
    </w:p>
    <w:p w14:paraId="50B0B7E0" w14:textId="77777777" w:rsidR="00B545DE" w:rsidRDefault="00B545DE" w:rsidP="00B545DE">
      <w:pPr>
        <w:pStyle w:val="Default"/>
        <w:jc w:val="both"/>
        <w:rPr>
          <w:rFonts w:ascii="Times New Roman" w:hAnsi="Times New Roman" w:cs="Times New Roman"/>
        </w:rPr>
      </w:pPr>
    </w:p>
    <w:p w14:paraId="268AEADD" w14:textId="00DB79EB" w:rsidR="00B545DE" w:rsidRPr="00773793" w:rsidRDefault="00B545DE" w:rsidP="00B545DE">
      <w:pPr>
        <w:jc w:val="both"/>
        <w:rPr>
          <w:lang w:val="es-US"/>
        </w:rPr>
      </w:pPr>
      <w:r w:rsidRPr="00773793">
        <w:rPr>
          <w:lang w:val="es-US"/>
        </w:rPr>
        <w:t>A junio</w:t>
      </w:r>
      <w:r w:rsidR="00116E8B">
        <w:rPr>
          <w:lang w:val="es-US"/>
        </w:rPr>
        <w:t xml:space="preserve"> de 2023, </w:t>
      </w:r>
      <w:r w:rsidRPr="00773793">
        <w:rPr>
          <w:lang w:val="es-US"/>
        </w:rPr>
        <w:t>la recaudación tributaria continúa superando la meta</w:t>
      </w:r>
      <w:r w:rsidR="00116E8B">
        <w:rPr>
          <w:lang w:val="es-US"/>
        </w:rPr>
        <w:t xml:space="preserve"> prevista</w:t>
      </w:r>
      <w:r w:rsidRPr="00773793">
        <w:rPr>
          <w:lang w:val="es-US"/>
        </w:rPr>
        <w:t xml:space="preserve"> y por lo tanto</w:t>
      </w:r>
      <w:r w:rsidR="00116E8B">
        <w:rPr>
          <w:lang w:val="es-US"/>
        </w:rPr>
        <w:t>,</w:t>
      </w:r>
      <w:r w:rsidRPr="00773793">
        <w:rPr>
          <w:lang w:val="es-US"/>
        </w:rPr>
        <w:t xml:space="preserve"> ampliándose la brecha por una dinámica positiva, principalmente, en el Impuesto Sobre la Renta (ISR), el Impuesto de Solidaridad (ISO) y el Impuesto al Valor Agregado (IVA).</w:t>
      </w:r>
    </w:p>
    <w:p w14:paraId="3A60D5A3" w14:textId="77777777" w:rsidR="00B545DE" w:rsidRPr="00773793" w:rsidRDefault="00B545DE" w:rsidP="00B545DE">
      <w:pPr>
        <w:jc w:val="both"/>
        <w:rPr>
          <w:lang w:val="es-US"/>
        </w:rPr>
      </w:pPr>
    </w:p>
    <w:p w14:paraId="2FF08E48" w14:textId="62B40FDF" w:rsidR="00B545DE" w:rsidRPr="00773793" w:rsidRDefault="00B545DE" w:rsidP="00B545DE">
      <w:pPr>
        <w:jc w:val="both"/>
        <w:rPr>
          <w:lang w:val="es-US"/>
        </w:rPr>
      </w:pPr>
      <w:r w:rsidRPr="00773793">
        <w:rPr>
          <w:lang w:val="es-US"/>
        </w:rPr>
        <w:t>La evolución de la recaudación tributaria total neta de junio</w:t>
      </w:r>
      <w:r w:rsidR="00116E8B">
        <w:rPr>
          <w:lang w:val="es-US"/>
        </w:rPr>
        <w:t xml:space="preserve"> </w:t>
      </w:r>
      <w:r w:rsidRPr="00773793">
        <w:rPr>
          <w:lang w:val="es-US"/>
        </w:rPr>
        <w:t>fue de Q</w:t>
      </w:r>
      <w:r w:rsidR="00116E8B">
        <w:rPr>
          <w:lang w:val="es-US"/>
        </w:rPr>
        <w:t>.</w:t>
      </w:r>
      <w:r w:rsidRPr="00773793">
        <w:rPr>
          <w:lang w:val="es-US"/>
        </w:rPr>
        <w:t>6,571.7 millones, superior en Q</w:t>
      </w:r>
      <w:r w:rsidR="00116E8B">
        <w:rPr>
          <w:lang w:val="es-US"/>
        </w:rPr>
        <w:t>.</w:t>
      </w:r>
      <w:r w:rsidRPr="00773793">
        <w:rPr>
          <w:lang w:val="es-US"/>
        </w:rPr>
        <w:t xml:space="preserve">489.6 millones respecto </w:t>
      </w:r>
      <w:r w:rsidR="00116E8B">
        <w:rPr>
          <w:lang w:val="es-US"/>
        </w:rPr>
        <w:t>de</w:t>
      </w:r>
      <w:r w:rsidRPr="00773793">
        <w:rPr>
          <w:lang w:val="es-US"/>
        </w:rPr>
        <w:t xml:space="preserve"> lo establecido en la meta de presupuesto que se situaba en Q</w:t>
      </w:r>
      <w:r w:rsidR="00116E8B">
        <w:rPr>
          <w:lang w:val="es-US"/>
        </w:rPr>
        <w:t>.</w:t>
      </w:r>
      <w:r w:rsidRPr="00773793">
        <w:rPr>
          <w:lang w:val="es-US"/>
        </w:rPr>
        <w:t>6,082.1 millones.</w:t>
      </w:r>
    </w:p>
    <w:p w14:paraId="3A8F1F3F" w14:textId="77777777" w:rsidR="00B545DE" w:rsidRPr="00773793" w:rsidRDefault="00B545DE" w:rsidP="00B545DE">
      <w:pPr>
        <w:jc w:val="both"/>
        <w:rPr>
          <w:lang w:val="es-US"/>
        </w:rPr>
      </w:pPr>
    </w:p>
    <w:p w14:paraId="1FAE8B7B" w14:textId="2F80633C" w:rsidR="00B545DE" w:rsidRPr="00773793" w:rsidRDefault="00B545DE" w:rsidP="00B545DE">
      <w:pPr>
        <w:jc w:val="both"/>
        <w:rPr>
          <w:lang w:val="es-US"/>
        </w:rPr>
      </w:pPr>
      <w:r w:rsidRPr="00773793">
        <w:rPr>
          <w:lang w:val="es-US"/>
        </w:rPr>
        <w:t>La recaudación tributaria total neta acumulada a junio</w:t>
      </w:r>
      <w:r w:rsidR="00116E8B">
        <w:rPr>
          <w:lang w:val="es-US"/>
        </w:rPr>
        <w:t xml:space="preserve"> de 2023</w:t>
      </w:r>
      <w:r w:rsidRPr="00773793">
        <w:rPr>
          <w:lang w:val="es-US"/>
        </w:rPr>
        <w:t xml:space="preserve"> experimentó una brecha positiva acumulada de Q</w:t>
      </w:r>
      <w:r w:rsidR="00116E8B">
        <w:rPr>
          <w:lang w:val="es-US"/>
        </w:rPr>
        <w:t>.</w:t>
      </w:r>
      <w:r w:rsidRPr="00773793">
        <w:rPr>
          <w:lang w:val="es-US"/>
        </w:rPr>
        <w:t>4,470.4 millones</w:t>
      </w:r>
      <w:r w:rsidR="00116E8B">
        <w:rPr>
          <w:lang w:val="es-US"/>
        </w:rPr>
        <w:t>,</w:t>
      </w:r>
      <w:r w:rsidRPr="00773793">
        <w:rPr>
          <w:lang w:val="es-US"/>
        </w:rPr>
        <w:t xml:space="preserve"> respecto </w:t>
      </w:r>
      <w:r w:rsidR="00116E8B">
        <w:rPr>
          <w:lang w:val="es-US"/>
        </w:rPr>
        <w:t>de</w:t>
      </w:r>
      <w:r w:rsidRPr="00773793">
        <w:rPr>
          <w:lang w:val="es-US"/>
        </w:rPr>
        <w:t xml:space="preserve"> la meta de presupuesto, siendo los impuestos que contribuyen en mayor cuantía el ISR, ISO, IVA, Derechos Arancelarios a la Importación (DAI), Derivados del Petróleo (IDP), IPRIMA, Bebidas, Tabacos, Cemento y el Impuesto de Salida del País. Los impuestos que generaron brecha negativa son</w:t>
      </w:r>
      <w:r w:rsidR="00116E8B">
        <w:rPr>
          <w:lang w:val="es-US"/>
        </w:rPr>
        <w:t>:</w:t>
      </w:r>
      <w:r w:rsidRPr="00773793">
        <w:rPr>
          <w:lang w:val="es-US"/>
        </w:rPr>
        <w:t xml:space="preserve"> Impuesto a los Timbres Fiscales, el Impuesto </w:t>
      </w:r>
      <w:r w:rsidR="00116E8B">
        <w:rPr>
          <w:lang w:val="es-US"/>
        </w:rPr>
        <w:t>de</w:t>
      </w:r>
      <w:r w:rsidRPr="00773793">
        <w:rPr>
          <w:lang w:val="es-US"/>
        </w:rPr>
        <w:t xml:space="preserve"> Circulación de Vehículos y las Regalías e Hidrocarburos </w:t>
      </w:r>
      <w:r w:rsidR="00116E8B">
        <w:rPr>
          <w:lang w:val="es-US"/>
        </w:rPr>
        <w:t>C</w:t>
      </w:r>
      <w:r w:rsidRPr="00773793">
        <w:rPr>
          <w:lang w:val="es-US"/>
        </w:rPr>
        <w:t>ompartibles</w:t>
      </w:r>
      <w:r>
        <w:rPr>
          <w:lang w:val="es-US"/>
        </w:rPr>
        <w:t>,</w:t>
      </w:r>
      <w:r w:rsidRPr="00773793">
        <w:rPr>
          <w:lang w:val="es-US"/>
        </w:rPr>
        <w:t xml:space="preserve"> </w:t>
      </w:r>
      <w:r w:rsidR="00116E8B">
        <w:rPr>
          <w:lang w:val="es-US"/>
        </w:rPr>
        <w:t xml:space="preserve">por </w:t>
      </w:r>
      <w:r w:rsidRPr="00773793">
        <w:rPr>
          <w:lang w:val="es-US"/>
        </w:rPr>
        <w:t>Q</w:t>
      </w:r>
      <w:r w:rsidR="00116E8B">
        <w:rPr>
          <w:lang w:val="es-US"/>
        </w:rPr>
        <w:t>.</w:t>
      </w:r>
      <w:r w:rsidRPr="00773793">
        <w:rPr>
          <w:lang w:val="es-US"/>
        </w:rPr>
        <w:t>57.6 millones en conjunto.</w:t>
      </w:r>
    </w:p>
    <w:p w14:paraId="0629AE20" w14:textId="77777777" w:rsidR="00B545DE" w:rsidRPr="00773793" w:rsidRDefault="00B545DE" w:rsidP="00B545DE">
      <w:pPr>
        <w:jc w:val="both"/>
        <w:rPr>
          <w:lang w:val="es-US"/>
        </w:rPr>
      </w:pPr>
    </w:p>
    <w:p w14:paraId="0809BD32" w14:textId="35CD60BA" w:rsidR="00B545DE" w:rsidRDefault="00B545DE" w:rsidP="00B545DE">
      <w:pPr>
        <w:jc w:val="both"/>
        <w:rPr>
          <w:lang w:val="es-US"/>
        </w:rPr>
      </w:pPr>
    </w:p>
    <w:p w14:paraId="78ABEA26" w14:textId="0E25BEF0" w:rsidR="00B545DE" w:rsidRDefault="00B545DE" w:rsidP="00B545DE">
      <w:pPr>
        <w:keepNext/>
        <w:spacing w:after="200"/>
        <w:jc w:val="center"/>
        <w:rPr>
          <w:b/>
          <w:iCs/>
          <w:lang w:val="es-GT" w:eastAsia="en-US"/>
        </w:rPr>
      </w:pPr>
      <w:r w:rsidRPr="00773793">
        <w:rPr>
          <w:b/>
          <w:iCs/>
          <w:lang w:val="es-GT" w:eastAsia="en-US"/>
        </w:rPr>
        <w:t>Gráfic</w:t>
      </w:r>
      <w:r w:rsidR="000E33A6">
        <w:rPr>
          <w:b/>
          <w:iCs/>
          <w:lang w:val="es-GT" w:eastAsia="en-US"/>
        </w:rPr>
        <w:t>a 25</w:t>
      </w:r>
      <w:r w:rsidRPr="00773793">
        <w:rPr>
          <w:b/>
          <w:iCs/>
          <w:lang w:val="es-GT" w:eastAsia="en-US"/>
        </w:rPr>
        <w:t>.</w:t>
      </w:r>
      <w:r w:rsidRPr="00773793">
        <w:rPr>
          <w:b/>
          <w:i/>
          <w:iCs/>
          <w:lang w:val="es-GT" w:eastAsia="en-US"/>
        </w:rPr>
        <w:t xml:space="preserve"> </w:t>
      </w:r>
      <w:r w:rsidRPr="00773793">
        <w:rPr>
          <w:b/>
          <w:iCs/>
          <w:lang w:val="es-GT" w:eastAsia="en-US"/>
        </w:rPr>
        <w:t xml:space="preserve">Cumplimiento de </w:t>
      </w:r>
      <w:r w:rsidR="00116E8B">
        <w:rPr>
          <w:b/>
          <w:iCs/>
          <w:lang w:val="es-GT" w:eastAsia="en-US"/>
        </w:rPr>
        <w:t>la R</w:t>
      </w:r>
      <w:r w:rsidRPr="00773793">
        <w:rPr>
          <w:b/>
          <w:iCs/>
          <w:lang w:val="es-GT" w:eastAsia="en-US"/>
        </w:rPr>
        <w:t xml:space="preserve">ecaudación </w:t>
      </w:r>
      <w:r w:rsidR="00116E8B">
        <w:rPr>
          <w:b/>
          <w:iCs/>
          <w:lang w:val="es-GT" w:eastAsia="en-US"/>
        </w:rPr>
        <w:t>A</w:t>
      </w:r>
      <w:r w:rsidRPr="00773793">
        <w:rPr>
          <w:b/>
          <w:iCs/>
          <w:lang w:val="es-GT" w:eastAsia="en-US"/>
        </w:rPr>
        <w:t xml:space="preserve">cumulada </w:t>
      </w:r>
      <w:r w:rsidR="00116E8B">
        <w:rPr>
          <w:b/>
          <w:iCs/>
          <w:lang w:val="es-GT" w:eastAsia="en-US"/>
        </w:rPr>
        <w:t>R</w:t>
      </w:r>
      <w:r w:rsidRPr="00773793">
        <w:rPr>
          <w:b/>
          <w:iCs/>
          <w:lang w:val="es-GT" w:eastAsia="en-US"/>
        </w:rPr>
        <w:t xml:space="preserve">especto </w:t>
      </w:r>
      <w:r w:rsidR="00116E8B">
        <w:rPr>
          <w:b/>
          <w:iCs/>
          <w:lang w:val="es-GT" w:eastAsia="en-US"/>
        </w:rPr>
        <w:t>del</w:t>
      </w:r>
      <w:r w:rsidRPr="00773793">
        <w:rPr>
          <w:b/>
          <w:iCs/>
          <w:lang w:val="es-GT" w:eastAsia="en-US"/>
        </w:rPr>
        <w:t xml:space="preserve"> </w:t>
      </w:r>
      <w:r w:rsidR="00116E8B">
        <w:rPr>
          <w:b/>
          <w:iCs/>
          <w:lang w:val="es-GT" w:eastAsia="en-US"/>
        </w:rPr>
        <w:t>P</w:t>
      </w:r>
      <w:r w:rsidRPr="00773793">
        <w:rPr>
          <w:b/>
          <w:iCs/>
          <w:lang w:val="es-GT" w:eastAsia="en-US"/>
        </w:rPr>
        <w:t>resupuesto</w:t>
      </w:r>
      <w:r w:rsidR="00116E8B">
        <w:rPr>
          <w:b/>
          <w:iCs/>
          <w:lang w:val="es-GT" w:eastAsia="en-US"/>
        </w:rPr>
        <w:t xml:space="preserve">        (En Millones de Quetzales)</w:t>
      </w:r>
    </w:p>
    <w:p w14:paraId="7479EB14" w14:textId="77777777" w:rsidR="00B545DE" w:rsidRPr="00773793" w:rsidRDefault="00B545DE" w:rsidP="00B545DE">
      <w:pPr>
        <w:jc w:val="center"/>
      </w:pPr>
      <w:r w:rsidRPr="00773793">
        <w:rPr>
          <w:noProof/>
          <w:lang w:eastAsia="es-GT"/>
        </w:rPr>
        <w:drawing>
          <wp:inline distT="0" distB="0" distL="0" distR="0" wp14:anchorId="464CAF34" wp14:editId="623432D5">
            <wp:extent cx="5829935" cy="2918129"/>
            <wp:effectExtent l="0" t="0" r="18415" b="15875"/>
            <wp:docPr id="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43C5ABA" w14:textId="67F34D9D" w:rsidR="00B545DE" w:rsidRPr="00287370" w:rsidRDefault="00B545DE" w:rsidP="00B545DE">
      <w:pPr>
        <w:jc w:val="both"/>
        <w:rPr>
          <w:sz w:val="18"/>
        </w:rPr>
      </w:pPr>
      <w:r w:rsidRPr="00287370">
        <w:rPr>
          <w:sz w:val="18"/>
          <w:szCs w:val="18"/>
        </w:rPr>
        <w:t xml:space="preserve">Fuente: </w:t>
      </w:r>
      <w:r w:rsidR="00287370">
        <w:rPr>
          <w:sz w:val="18"/>
          <w:szCs w:val="18"/>
        </w:rPr>
        <w:t>Ministerio de Finanzas Públicas</w:t>
      </w:r>
      <w:r w:rsidRPr="00287370">
        <w:rPr>
          <w:sz w:val="18"/>
          <w:szCs w:val="18"/>
        </w:rPr>
        <w:t>.</w:t>
      </w:r>
    </w:p>
    <w:p w14:paraId="1A7139CF" w14:textId="77777777" w:rsidR="00B545DE" w:rsidRPr="00773793" w:rsidRDefault="00B545DE" w:rsidP="00B545DE">
      <w:pPr>
        <w:jc w:val="both"/>
      </w:pPr>
    </w:p>
    <w:p w14:paraId="04C3826F" w14:textId="6B5FEA32" w:rsidR="00B545DE" w:rsidRPr="00773793" w:rsidRDefault="00B545DE" w:rsidP="00B545DE">
      <w:pPr>
        <w:jc w:val="both"/>
        <w:rPr>
          <w:lang w:val="es-US"/>
        </w:rPr>
      </w:pPr>
      <w:r w:rsidRPr="00773793">
        <w:rPr>
          <w:lang w:val="es-US"/>
        </w:rPr>
        <w:t>En junio</w:t>
      </w:r>
      <w:r w:rsidR="00807B94">
        <w:rPr>
          <w:lang w:val="es-US"/>
        </w:rPr>
        <w:t xml:space="preserve"> de 2023</w:t>
      </w:r>
      <w:r w:rsidRPr="00773793">
        <w:rPr>
          <w:lang w:val="es-US"/>
        </w:rPr>
        <w:t>, la recaudación asociada al comercio exterior de nuevo superó la meta de presupuesto en Q</w:t>
      </w:r>
      <w:r w:rsidR="00807B94">
        <w:rPr>
          <w:lang w:val="es-US"/>
        </w:rPr>
        <w:t>.</w:t>
      </w:r>
      <w:r w:rsidRPr="00773793">
        <w:rPr>
          <w:lang w:val="es-US"/>
        </w:rPr>
        <w:t>196.8 millones y levemente inferior a lo observado en 2022</w:t>
      </w:r>
      <w:r w:rsidR="00807B94">
        <w:rPr>
          <w:lang w:val="es-US"/>
        </w:rPr>
        <w:t>, de</w:t>
      </w:r>
      <w:r w:rsidRPr="00773793">
        <w:rPr>
          <w:lang w:val="es-US"/>
        </w:rPr>
        <w:t xml:space="preserve"> Q12.6 millones. Este resultado combina</w:t>
      </w:r>
      <w:r w:rsidR="0044696D">
        <w:rPr>
          <w:lang w:val="es-US"/>
        </w:rPr>
        <w:t>,</w:t>
      </w:r>
      <w:r w:rsidRPr="00773793">
        <w:rPr>
          <w:lang w:val="es-US"/>
        </w:rPr>
        <w:t xml:space="preserve"> por una parte</w:t>
      </w:r>
      <w:r w:rsidR="00807B94">
        <w:rPr>
          <w:lang w:val="es-US"/>
        </w:rPr>
        <w:t>,</w:t>
      </w:r>
      <w:r w:rsidRPr="00773793">
        <w:rPr>
          <w:lang w:val="es-US"/>
        </w:rPr>
        <w:t xml:space="preserve"> el seguimiento de las medidas implementadas por la </w:t>
      </w:r>
      <w:r w:rsidR="00807B94">
        <w:rPr>
          <w:lang w:val="es-US"/>
        </w:rPr>
        <w:t>Superintendencia de Administración Tributaria (</w:t>
      </w:r>
      <w:r w:rsidRPr="00773793">
        <w:rPr>
          <w:lang w:val="es-US"/>
        </w:rPr>
        <w:t>SAT</w:t>
      </w:r>
      <w:r w:rsidR="00807B94">
        <w:rPr>
          <w:lang w:val="es-US"/>
        </w:rPr>
        <w:t>)</w:t>
      </w:r>
      <w:r w:rsidRPr="00773793">
        <w:rPr>
          <w:lang w:val="es-US"/>
        </w:rPr>
        <w:t xml:space="preserve"> en el ramo de aduanas</w:t>
      </w:r>
      <w:r w:rsidR="0044696D">
        <w:rPr>
          <w:lang w:val="es-US"/>
        </w:rPr>
        <w:t>,</w:t>
      </w:r>
      <w:r w:rsidRPr="00773793">
        <w:rPr>
          <w:lang w:val="es-US"/>
        </w:rPr>
        <w:t xml:space="preserve"> mediante acciones para combatir la defraudación y el contrabando que redundan en </w:t>
      </w:r>
      <w:r w:rsidR="0044696D">
        <w:rPr>
          <w:lang w:val="es-US"/>
        </w:rPr>
        <w:t xml:space="preserve">una </w:t>
      </w:r>
      <w:r w:rsidRPr="00773793">
        <w:rPr>
          <w:lang w:val="es-US"/>
        </w:rPr>
        <w:t>mayor eficiencia del control aduanero</w:t>
      </w:r>
      <w:r w:rsidR="0044696D">
        <w:rPr>
          <w:lang w:val="es-US"/>
        </w:rPr>
        <w:t>;</w:t>
      </w:r>
      <w:r w:rsidRPr="00773793">
        <w:rPr>
          <w:lang w:val="es-US"/>
        </w:rPr>
        <w:t xml:space="preserve"> a la simplificación, automatización y transparencia en el ingreso y salida de la carga vía aérea</w:t>
      </w:r>
      <w:r w:rsidR="0044696D">
        <w:rPr>
          <w:lang w:val="es-US"/>
        </w:rPr>
        <w:t xml:space="preserve">; al </w:t>
      </w:r>
      <w:r w:rsidRPr="00773793">
        <w:rPr>
          <w:lang w:val="es-US"/>
        </w:rPr>
        <w:t>fortalecimiento de la gestión de riesgo</w:t>
      </w:r>
      <w:r w:rsidR="0044696D">
        <w:rPr>
          <w:lang w:val="es-US"/>
        </w:rPr>
        <w:t>s;</w:t>
      </w:r>
      <w:r w:rsidRPr="00773793">
        <w:rPr>
          <w:lang w:val="es-US"/>
        </w:rPr>
        <w:t xml:space="preserve"> operativos interinstitucionales en aduanas aéreas, terrestres, marítimas, puestos fronterizos, depósitos aduaneros y zonas francas</w:t>
      </w:r>
      <w:r w:rsidR="0044696D">
        <w:rPr>
          <w:lang w:val="es-US"/>
        </w:rPr>
        <w:t>;</w:t>
      </w:r>
      <w:r w:rsidRPr="00773793">
        <w:rPr>
          <w:lang w:val="es-US"/>
        </w:rPr>
        <w:t xml:space="preserve"> fortalecimiento del intercambio de información con otros </w:t>
      </w:r>
      <w:r w:rsidR="0044696D">
        <w:rPr>
          <w:lang w:val="es-US"/>
        </w:rPr>
        <w:t>e</w:t>
      </w:r>
      <w:r w:rsidRPr="00773793">
        <w:rPr>
          <w:lang w:val="es-US"/>
        </w:rPr>
        <w:t xml:space="preserve">stados </w:t>
      </w:r>
      <w:r w:rsidR="0044696D">
        <w:rPr>
          <w:lang w:val="es-US"/>
        </w:rPr>
        <w:t>p</w:t>
      </w:r>
      <w:r w:rsidRPr="00773793">
        <w:rPr>
          <w:lang w:val="es-US"/>
        </w:rPr>
        <w:t>arte</w:t>
      </w:r>
      <w:r w:rsidR="0044696D">
        <w:rPr>
          <w:lang w:val="es-US"/>
        </w:rPr>
        <w:t>,</w:t>
      </w:r>
      <w:r w:rsidRPr="00773793">
        <w:rPr>
          <w:lang w:val="es-US"/>
        </w:rPr>
        <w:t xml:space="preserve"> entre otras</w:t>
      </w:r>
      <w:r w:rsidR="0044696D">
        <w:rPr>
          <w:lang w:val="es-US"/>
        </w:rPr>
        <w:t>;</w:t>
      </w:r>
      <w:r w:rsidRPr="00773793">
        <w:rPr>
          <w:lang w:val="es-US"/>
        </w:rPr>
        <w:t xml:space="preserve"> y nuevas acciones como la puesta en marcha del modelo para análisis de operaciones aduaneras</w:t>
      </w:r>
      <w:r w:rsidR="0044696D">
        <w:rPr>
          <w:lang w:val="es-US"/>
        </w:rPr>
        <w:t>,</w:t>
      </w:r>
      <w:r w:rsidRPr="00773793">
        <w:rPr>
          <w:lang w:val="es-US"/>
        </w:rPr>
        <w:t xml:space="preserve"> la cual consiste en mayores controles en los recintos aduaneros principalmente en los marítimos que permitirán darle trazabilidad de información en tiempo real del inventario de contenedores en los patios de los puertos y su despacho.</w:t>
      </w:r>
    </w:p>
    <w:p w14:paraId="5B6F93B2" w14:textId="77777777" w:rsidR="00B545DE" w:rsidRPr="001724C9" w:rsidRDefault="00B545DE" w:rsidP="00B545DE">
      <w:pPr>
        <w:jc w:val="both"/>
        <w:rPr>
          <w:lang w:val="es-US"/>
        </w:rPr>
      </w:pPr>
    </w:p>
    <w:p w14:paraId="6281F66B" w14:textId="6112E319" w:rsidR="00B545DE" w:rsidRPr="00AD03E4" w:rsidRDefault="00B545DE" w:rsidP="008B27EA">
      <w:pPr>
        <w:pStyle w:val="Ttulo3"/>
        <w:numPr>
          <w:ilvl w:val="0"/>
          <w:numId w:val="13"/>
        </w:numPr>
        <w:ind w:left="426"/>
        <w:rPr>
          <w:color w:val="auto"/>
        </w:rPr>
      </w:pPr>
      <w:bookmarkStart w:id="49" w:name="_Toc73513998"/>
      <w:bookmarkStart w:id="50" w:name="_Toc142549348"/>
      <w:bookmarkStart w:id="51" w:name="_Toc142920556"/>
      <w:r w:rsidRPr="00AD03E4">
        <w:rPr>
          <w:color w:val="auto"/>
        </w:rPr>
        <w:t xml:space="preserve">Desempeño del </w:t>
      </w:r>
      <w:r w:rsidR="0044696D" w:rsidRPr="00AD03E4">
        <w:rPr>
          <w:color w:val="auto"/>
        </w:rPr>
        <w:t>I</w:t>
      </w:r>
      <w:r w:rsidRPr="00AD03E4">
        <w:rPr>
          <w:color w:val="auto"/>
        </w:rPr>
        <w:t xml:space="preserve">mpuesto </w:t>
      </w:r>
      <w:r w:rsidR="0044696D" w:rsidRPr="00AD03E4">
        <w:rPr>
          <w:color w:val="auto"/>
        </w:rPr>
        <w:t>S</w:t>
      </w:r>
      <w:r w:rsidRPr="00AD03E4">
        <w:rPr>
          <w:color w:val="auto"/>
        </w:rPr>
        <w:t xml:space="preserve">obre la </w:t>
      </w:r>
      <w:r w:rsidR="0044696D" w:rsidRPr="00AD03E4">
        <w:rPr>
          <w:color w:val="auto"/>
        </w:rPr>
        <w:t>R</w:t>
      </w:r>
      <w:r w:rsidRPr="00AD03E4">
        <w:rPr>
          <w:color w:val="auto"/>
        </w:rPr>
        <w:t>enta y el ISO</w:t>
      </w:r>
      <w:bookmarkEnd w:id="49"/>
      <w:bookmarkEnd w:id="50"/>
      <w:bookmarkEnd w:id="51"/>
    </w:p>
    <w:p w14:paraId="2ED75026" w14:textId="77777777" w:rsidR="00B545DE" w:rsidRPr="001724C9" w:rsidRDefault="00B545DE" w:rsidP="00B545DE">
      <w:pPr>
        <w:jc w:val="both"/>
        <w:rPr>
          <w:lang w:val="es-US"/>
        </w:rPr>
      </w:pPr>
    </w:p>
    <w:p w14:paraId="152A7D27" w14:textId="2011D816" w:rsidR="00B545DE" w:rsidRPr="00773793" w:rsidRDefault="00B545DE" w:rsidP="00B545DE">
      <w:pPr>
        <w:jc w:val="both"/>
        <w:rPr>
          <w:lang w:val="es-US"/>
        </w:rPr>
      </w:pPr>
      <w:r w:rsidRPr="00773793">
        <w:rPr>
          <w:lang w:val="es-US"/>
        </w:rPr>
        <w:t>En junio</w:t>
      </w:r>
      <w:r w:rsidR="0044696D">
        <w:rPr>
          <w:lang w:val="es-US"/>
        </w:rPr>
        <w:t xml:space="preserve"> de 2023,</w:t>
      </w:r>
      <w:r w:rsidRPr="00773793">
        <w:rPr>
          <w:lang w:val="es-US"/>
        </w:rPr>
        <w:t xml:space="preserve"> se recaud</w:t>
      </w:r>
      <w:r w:rsidR="0044696D">
        <w:rPr>
          <w:lang w:val="es-US"/>
        </w:rPr>
        <w:t>aron</w:t>
      </w:r>
      <w:r w:rsidRPr="00773793">
        <w:rPr>
          <w:lang w:val="es-US"/>
        </w:rPr>
        <w:t xml:space="preserve"> por estos dos impuestos Q</w:t>
      </w:r>
      <w:r w:rsidR="0044696D">
        <w:rPr>
          <w:lang w:val="es-US"/>
        </w:rPr>
        <w:t>.</w:t>
      </w:r>
      <w:r w:rsidRPr="00773793">
        <w:rPr>
          <w:lang w:val="es-US"/>
        </w:rPr>
        <w:t>1,497.4 millones</w:t>
      </w:r>
      <w:r w:rsidR="0044696D">
        <w:rPr>
          <w:lang w:val="es-US"/>
        </w:rPr>
        <w:t>,</w:t>
      </w:r>
      <w:r w:rsidRPr="00773793">
        <w:rPr>
          <w:lang w:val="es-US"/>
        </w:rPr>
        <w:t xml:space="preserve"> de un estimado de Q</w:t>
      </w:r>
      <w:r w:rsidR="0044696D">
        <w:rPr>
          <w:lang w:val="es-US"/>
        </w:rPr>
        <w:t>.</w:t>
      </w:r>
      <w:r w:rsidRPr="00773793">
        <w:rPr>
          <w:lang w:val="es-US"/>
        </w:rPr>
        <w:t>1,430.7 millones, lo que generó en este mes una brecha positiva de Q</w:t>
      </w:r>
      <w:r w:rsidR="0044696D">
        <w:rPr>
          <w:lang w:val="es-US"/>
        </w:rPr>
        <w:t>.</w:t>
      </w:r>
      <w:r w:rsidRPr="00773793">
        <w:rPr>
          <w:lang w:val="es-US"/>
        </w:rPr>
        <w:t>66.7 millones.</w:t>
      </w:r>
    </w:p>
    <w:p w14:paraId="1A0FEF40" w14:textId="77777777" w:rsidR="00B545DE" w:rsidRPr="00773793" w:rsidRDefault="00B545DE" w:rsidP="00B545DE">
      <w:pPr>
        <w:jc w:val="both"/>
        <w:rPr>
          <w:lang w:val="es-US"/>
        </w:rPr>
      </w:pPr>
    </w:p>
    <w:p w14:paraId="682E022D" w14:textId="77777777" w:rsidR="007C7883" w:rsidRDefault="007C7883" w:rsidP="00B545DE">
      <w:pPr>
        <w:jc w:val="both"/>
        <w:rPr>
          <w:lang w:val="es-US"/>
        </w:rPr>
      </w:pPr>
    </w:p>
    <w:p w14:paraId="1BFFA5BE" w14:textId="77777777" w:rsidR="007C7883" w:rsidRDefault="007C7883" w:rsidP="00B545DE">
      <w:pPr>
        <w:jc w:val="both"/>
        <w:rPr>
          <w:lang w:val="es-US"/>
        </w:rPr>
      </w:pPr>
    </w:p>
    <w:p w14:paraId="68603218" w14:textId="77777777" w:rsidR="007C7883" w:rsidRDefault="007C7883" w:rsidP="00B545DE">
      <w:pPr>
        <w:jc w:val="both"/>
        <w:rPr>
          <w:lang w:val="es-US"/>
        </w:rPr>
      </w:pPr>
    </w:p>
    <w:p w14:paraId="705A38EC" w14:textId="39861854" w:rsidR="00B545DE" w:rsidRPr="00773793" w:rsidRDefault="00B545DE" w:rsidP="00B545DE">
      <w:pPr>
        <w:jc w:val="both"/>
        <w:rPr>
          <w:lang w:val="es-US"/>
        </w:rPr>
      </w:pPr>
      <w:r w:rsidRPr="00773793">
        <w:rPr>
          <w:lang w:val="es-US"/>
        </w:rPr>
        <w:t>De manera acumulada estos dos impuestos generan una brecha positiva por Q</w:t>
      </w:r>
      <w:r w:rsidR="0044696D">
        <w:rPr>
          <w:lang w:val="es-US"/>
        </w:rPr>
        <w:t>.</w:t>
      </w:r>
      <w:r w:rsidRPr="00773793">
        <w:rPr>
          <w:lang w:val="es-US"/>
        </w:rPr>
        <w:t>2,564.7 millones, la cual está determinada principalmente por el ISR que contribuye de manera positiva en Q</w:t>
      </w:r>
      <w:r w:rsidR="0044696D">
        <w:rPr>
          <w:lang w:val="es-US"/>
        </w:rPr>
        <w:t>.</w:t>
      </w:r>
      <w:r w:rsidRPr="00773793">
        <w:rPr>
          <w:lang w:val="es-US"/>
        </w:rPr>
        <w:t>2,046.1 millones.</w:t>
      </w:r>
    </w:p>
    <w:p w14:paraId="166FAFFC" w14:textId="55BF21A0" w:rsidR="00530E58" w:rsidRDefault="00530E58" w:rsidP="00B545DE">
      <w:pPr>
        <w:jc w:val="both"/>
        <w:rPr>
          <w:lang w:val="es-US"/>
        </w:rPr>
      </w:pPr>
    </w:p>
    <w:p w14:paraId="42265C4C" w14:textId="705B411B" w:rsidR="00B545DE" w:rsidRDefault="00B545DE" w:rsidP="00B545DE">
      <w:pPr>
        <w:jc w:val="both"/>
        <w:rPr>
          <w:lang w:val="es-US"/>
        </w:rPr>
      </w:pPr>
      <w:r w:rsidRPr="00773793">
        <w:rPr>
          <w:lang w:val="es-US"/>
        </w:rPr>
        <w:t>Aspectos relevantes que contribuyen con el desempeño positivo del ISR</w:t>
      </w:r>
      <w:r w:rsidR="0044696D">
        <w:rPr>
          <w:lang w:val="es-US"/>
        </w:rPr>
        <w:t>,</w:t>
      </w:r>
      <w:r w:rsidRPr="00773793">
        <w:rPr>
          <w:lang w:val="es-US"/>
        </w:rPr>
        <w:t xml:space="preserve"> son las medidas que ha venido desarrollando</w:t>
      </w:r>
      <w:r w:rsidR="0044696D">
        <w:rPr>
          <w:lang w:val="es-US"/>
        </w:rPr>
        <w:t xml:space="preserve"> la</w:t>
      </w:r>
      <w:r w:rsidRPr="00773793">
        <w:rPr>
          <w:lang w:val="es-US"/>
        </w:rPr>
        <w:t xml:space="preserve"> SAT mediante fiscalización por sector económico.</w:t>
      </w:r>
    </w:p>
    <w:p w14:paraId="77DDA017" w14:textId="0C539928" w:rsidR="0044696D" w:rsidRDefault="0044696D" w:rsidP="00B545DE">
      <w:pPr>
        <w:jc w:val="both"/>
        <w:rPr>
          <w:lang w:val="es-US"/>
        </w:rPr>
      </w:pPr>
    </w:p>
    <w:p w14:paraId="7E273E50" w14:textId="77777777" w:rsidR="0044696D" w:rsidRPr="00773793" w:rsidRDefault="0044696D" w:rsidP="00B545DE">
      <w:pPr>
        <w:jc w:val="both"/>
        <w:rPr>
          <w:lang w:val="es-US"/>
        </w:rPr>
      </w:pPr>
    </w:p>
    <w:p w14:paraId="54AFB9B5" w14:textId="77777777" w:rsidR="00B545DE" w:rsidRPr="00AD03E4" w:rsidRDefault="00B545DE" w:rsidP="008B27EA">
      <w:pPr>
        <w:pStyle w:val="Ttulo3"/>
        <w:numPr>
          <w:ilvl w:val="0"/>
          <w:numId w:val="13"/>
        </w:numPr>
        <w:ind w:left="426"/>
        <w:rPr>
          <w:color w:val="auto"/>
        </w:rPr>
      </w:pPr>
      <w:bookmarkStart w:id="52" w:name="_Toc73513999"/>
      <w:bookmarkStart w:id="53" w:name="_Toc142549349"/>
      <w:bookmarkStart w:id="54" w:name="_Toc142920557"/>
      <w:r w:rsidRPr="00AD03E4">
        <w:rPr>
          <w:color w:val="auto"/>
        </w:rPr>
        <w:t>El Impuesto al Valor Agregado</w:t>
      </w:r>
      <w:bookmarkEnd w:id="52"/>
      <w:bookmarkEnd w:id="53"/>
      <w:bookmarkEnd w:id="54"/>
    </w:p>
    <w:p w14:paraId="74743662" w14:textId="77777777" w:rsidR="00B545DE" w:rsidRPr="001724C9" w:rsidRDefault="00B545DE" w:rsidP="00B545DE">
      <w:pPr>
        <w:jc w:val="both"/>
        <w:rPr>
          <w:lang w:val="es-US"/>
        </w:rPr>
      </w:pPr>
    </w:p>
    <w:p w14:paraId="29574171" w14:textId="209FE459" w:rsidR="00B545DE" w:rsidRPr="00773793" w:rsidRDefault="00B545DE" w:rsidP="00B545DE">
      <w:pPr>
        <w:jc w:val="both"/>
        <w:rPr>
          <w:lang w:val="es-US"/>
        </w:rPr>
      </w:pPr>
      <w:r w:rsidRPr="00773793">
        <w:rPr>
          <w:lang w:val="es-US"/>
        </w:rPr>
        <w:t>Este impuesto, en junio</w:t>
      </w:r>
      <w:r w:rsidR="0044696D">
        <w:rPr>
          <w:lang w:val="es-US"/>
        </w:rPr>
        <w:t xml:space="preserve"> de 2023</w:t>
      </w:r>
      <w:r w:rsidRPr="00773793">
        <w:rPr>
          <w:lang w:val="es-US"/>
        </w:rPr>
        <w:t>, generó una brecha positiva de Q</w:t>
      </w:r>
      <w:r w:rsidR="0044696D">
        <w:rPr>
          <w:lang w:val="es-US"/>
        </w:rPr>
        <w:t>.</w:t>
      </w:r>
      <w:r w:rsidRPr="00773793">
        <w:rPr>
          <w:lang w:val="es-US"/>
        </w:rPr>
        <w:t xml:space="preserve">268.8 millones respecto </w:t>
      </w:r>
      <w:r w:rsidR="0044696D">
        <w:rPr>
          <w:lang w:val="es-US"/>
        </w:rPr>
        <w:t>de</w:t>
      </w:r>
      <w:r w:rsidRPr="00773793">
        <w:rPr>
          <w:lang w:val="es-US"/>
        </w:rPr>
        <w:t xml:space="preserve"> la meta, los cuales están explicados en su mayoría por el IVA asociado al comercio exterior, con relación a lo observado en 2022</w:t>
      </w:r>
      <w:r w:rsidR="0044696D">
        <w:rPr>
          <w:lang w:val="es-US"/>
        </w:rPr>
        <w:t>, ya que</w:t>
      </w:r>
      <w:r w:rsidRPr="00773793">
        <w:rPr>
          <w:lang w:val="es-US"/>
        </w:rPr>
        <w:t xml:space="preserve"> es el IVA asociado al consumo interno el que tiene mayor brecha positiva.</w:t>
      </w:r>
    </w:p>
    <w:p w14:paraId="13765F00" w14:textId="77777777" w:rsidR="00B545DE" w:rsidRPr="00773793" w:rsidRDefault="00B545DE" w:rsidP="00B545DE">
      <w:pPr>
        <w:jc w:val="both"/>
        <w:rPr>
          <w:lang w:val="es-US"/>
        </w:rPr>
      </w:pPr>
    </w:p>
    <w:p w14:paraId="3F273966" w14:textId="29D2B842" w:rsidR="00B545DE" w:rsidRPr="00773793" w:rsidRDefault="00B545DE" w:rsidP="00B545DE">
      <w:pPr>
        <w:jc w:val="both"/>
        <w:rPr>
          <w:lang w:val="es-US"/>
        </w:rPr>
      </w:pPr>
      <w:r w:rsidRPr="00773793">
        <w:rPr>
          <w:lang w:val="es-US"/>
        </w:rPr>
        <w:t xml:space="preserve">De manera acumulada, el IVA total genera </w:t>
      </w:r>
      <w:r w:rsidR="0044696D">
        <w:rPr>
          <w:lang w:val="es-US"/>
        </w:rPr>
        <w:t xml:space="preserve">una </w:t>
      </w:r>
      <w:r w:rsidRPr="00773793">
        <w:rPr>
          <w:lang w:val="es-US"/>
        </w:rPr>
        <w:t>brecha positiva de Q</w:t>
      </w:r>
      <w:r w:rsidR="0044696D">
        <w:rPr>
          <w:lang w:val="es-US"/>
        </w:rPr>
        <w:t>.</w:t>
      </w:r>
      <w:r w:rsidRPr="00773793">
        <w:rPr>
          <w:lang w:val="es-US"/>
        </w:rPr>
        <w:t xml:space="preserve">1,582.9 millones </w:t>
      </w:r>
      <w:r w:rsidR="0044696D">
        <w:rPr>
          <w:lang w:val="es-US"/>
        </w:rPr>
        <w:t xml:space="preserve">con </w:t>
      </w:r>
      <w:r w:rsidRPr="00773793">
        <w:rPr>
          <w:lang w:val="es-US"/>
        </w:rPr>
        <w:t>respecto a la meta de presupuesto y Q</w:t>
      </w:r>
      <w:r w:rsidR="0044696D">
        <w:rPr>
          <w:lang w:val="es-US"/>
        </w:rPr>
        <w:t>.</w:t>
      </w:r>
      <w:r w:rsidRPr="00773793">
        <w:rPr>
          <w:lang w:val="es-US"/>
        </w:rPr>
        <w:t>1,585.3 millones</w:t>
      </w:r>
      <w:r w:rsidR="0044696D">
        <w:rPr>
          <w:lang w:val="es-US"/>
        </w:rPr>
        <w:t>,</w:t>
      </w:r>
      <w:r w:rsidRPr="00773793">
        <w:rPr>
          <w:lang w:val="es-US"/>
        </w:rPr>
        <w:t xml:space="preserve"> respecto </w:t>
      </w:r>
      <w:r w:rsidR="0044696D">
        <w:rPr>
          <w:lang w:val="es-US"/>
        </w:rPr>
        <w:t>de</w:t>
      </w:r>
      <w:r w:rsidRPr="00773793">
        <w:rPr>
          <w:lang w:val="es-US"/>
        </w:rPr>
        <w:t xml:space="preserve"> lo observado en 2022</w:t>
      </w:r>
      <w:r w:rsidR="0044696D">
        <w:rPr>
          <w:lang w:val="es-US"/>
        </w:rPr>
        <w:t>;</w:t>
      </w:r>
      <w:r w:rsidRPr="00773793">
        <w:rPr>
          <w:lang w:val="es-US"/>
        </w:rPr>
        <w:t xml:space="preserve"> destaca que el IVA asociado al consumo interno mantiene el mayor aporte, reflejando crecimientos de 10.9% </w:t>
      </w:r>
      <w:r w:rsidR="0044696D">
        <w:rPr>
          <w:lang w:val="es-US"/>
        </w:rPr>
        <w:t xml:space="preserve">con </w:t>
      </w:r>
      <w:r w:rsidRPr="00773793">
        <w:rPr>
          <w:lang w:val="es-US"/>
        </w:rPr>
        <w:t xml:space="preserve">respecto a la meta de presupuesto y 19.9% respecto </w:t>
      </w:r>
      <w:r w:rsidR="0044696D">
        <w:rPr>
          <w:lang w:val="es-US"/>
        </w:rPr>
        <w:t>de</w:t>
      </w:r>
      <w:r w:rsidRPr="00773793">
        <w:rPr>
          <w:lang w:val="es-US"/>
        </w:rPr>
        <w:t xml:space="preserve"> lo observado en 2022.</w:t>
      </w:r>
    </w:p>
    <w:p w14:paraId="5ED1D2F2" w14:textId="4D6EABEB" w:rsidR="00B545DE" w:rsidRDefault="00B545DE" w:rsidP="00B545DE">
      <w:pPr>
        <w:spacing w:after="200"/>
        <w:rPr>
          <w:b/>
          <w:i/>
          <w:iCs/>
          <w:sz w:val="20"/>
          <w:szCs w:val="18"/>
          <w:lang w:val="es-US" w:eastAsia="en-US"/>
        </w:rPr>
      </w:pPr>
      <w:bookmarkStart w:id="55" w:name="_Toc50016841"/>
      <w:bookmarkStart w:id="56" w:name="_Toc73343512"/>
    </w:p>
    <w:p w14:paraId="29C6311C" w14:textId="77777777" w:rsidR="007C7883" w:rsidRPr="00773793" w:rsidRDefault="007C7883" w:rsidP="00B545DE">
      <w:pPr>
        <w:spacing w:after="200"/>
        <w:rPr>
          <w:b/>
          <w:i/>
          <w:iCs/>
          <w:sz w:val="20"/>
          <w:szCs w:val="18"/>
          <w:lang w:val="es-US" w:eastAsia="en-US"/>
        </w:rPr>
      </w:pPr>
    </w:p>
    <w:p w14:paraId="32968666" w14:textId="16216DA5" w:rsidR="00B545DE" w:rsidRPr="00773793" w:rsidRDefault="00B545DE" w:rsidP="00B545DE">
      <w:pPr>
        <w:keepNext/>
        <w:jc w:val="center"/>
        <w:rPr>
          <w:b/>
          <w:iCs/>
          <w:color w:val="000000" w:themeColor="text2"/>
          <w:highlight w:val="yellow"/>
          <w:lang w:val="es-GT" w:eastAsia="en-US"/>
        </w:rPr>
      </w:pPr>
      <w:r w:rsidRPr="00773793">
        <w:rPr>
          <w:b/>
          <w:iCs/>
          <w:lang w:val="es-GT" w:eastAsia="en-US"/>
        </w:rPr>
        <w:t>Gráfic</w:t>
      </w:r>
      <w:r w:rsidR="000E33A6">
        <w:rPr>
          <w:b/>
          <w:iCs/>
          <w:lang w:val="es-GT" w:eastAsia="en-US"/>
        </w:rPr>
        <w:t>a 26</w:t>
      </w:r>
      <w:r w:rsidRPr="00773793">
        <w:rPr>
          <w:b/>
          <w:iCs/>
          <w:lang w:val="es-GT" w:eastAsia="en-US"/>
        </w:rPr>
        <w:t xml:space="preserve">.  IVA </w:t>
      </w:r>
      <w:r w:rsidR="0044696D">
        <w:rPr>
          <w:b/>
          <w:iCs/>
          <w:lang w:val="es-GT" w:eastAsia="en-US"/>
        </w:rPr>
        <w:t>D</w:t>
      </w:r>
      <w:r w:rsidRPr="00773793">
        <w:rPr>
          <w:b/>
          <w:iCs/>
          <w:lang w:val="es-GT" w:eastAsia="en-US"/>
        </w:rPr>
        <w:t xml:space="preserve">oméstico e </w:t>
      </w:r>
      <w:r w:rsidR="0044696D">
        <w:rPr>
          <w:b/>
          <w:iCs/>
          <w:lang w:val="es-GT" w:eastAsia="en-US"/>
        </w:rPr>
        <w:t>I</w:t>
      </w:r>
      <w:r w:rsidRPr="00773793">
        <w:rPr>
          <w:b/>
          <w:iCs/>
          <w:lang w:val="es-GT" w:eastAsia="en-US"/>
        </w:rPr>
        <w:t>mportaciones</w:t>
      </w:r>
      <w:bookmarkEnd w:id="55"/>
      <w:bookmarkEnd w:id="56"/>
    </w:p>
    <w:tbl>
      <w:tblPr>
        <w:tblW w:w="9328" w:type="dxa"/>
        <w:jc w:val="center"/>
        <w:tblLook w:val="04A0" w:firstRow="1" w:lastRow="0" w:firstColumn="1" w:lastColumn="0" w:noHBand="0" w:noVBand="1"/>
      </w:tblPr>
      <w:tblGrid>
        <w:gridCol w:w="4773"/>
        <w:gridCol w:w="4555"/>
      </w:tblGrid>
      <w:tr w:rsidR="00B545DE" w:rsidRPr="00287370" w14:paraId="7875C041" w14:textId="77777777" w:rsidTr="00B545DE">
        <w:trPr>
          <w:trHeight w:val="1470"/>
          <w:jc w:val="center"/>
        </w:trPr>
        <w:tc>
          <w:tcPr>
            <w:tcW w:w="4773" w:type="dxa"/>
          </w:tcPr>
          <w:p w14:paraId="53AED3E4" w14:textId="77777777" w:rsidR="00B545DE" w:rsidRPr="00287370" w:rsidRDefault="00B545DE" w:rsidP="00B545DE">
            <w:pPr>
              <w:jc w:val="both"/>
              <w:rPr>
                <w:noProof/>
                <w:sz w:val="18"/>
                <w:szCs w:val="20"/>
                <w:lang w:val="es-GT" w:eastAsia="es-GT"/>
              </w:rPr>
            </w:pPr>
            <w:r w:rsidRPr="00287370">
              <w:rPr>
                <w:noProof/>
                <w:sz w:val="18"/>
                <w:lang w:val="es-GT" w:eastAsia="es-GT"/>
              </w:rPr>
              <w:drawing>
                <wp:inline distT="0" distB="0" distL="0" distR="0" wp14:anchorId="6220F5D6" wp14:editId="1037FFBC">
                  <wp:extent cx="2838450" cy="2480945"/>
                  <wp:effectExtent l="0" t="0" r="0" b="14605"/>
                  <wp:docPr id="229" name="Gráfico 2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503ADB0" w14:textId="3D3D8528" w:rsidR="00B545DE" w:rsidRPr="00287370" w:rsidRDefault="00B545DE" w:rsidP="00B545DE">
            <w:pPr>
              <w:jc w:val="both"/>
              <w:rPr>
                <w:sz w:val="18"/>
                <w:szCs w:val="20"/>
                <w:lang w:val="es-US"/>
              </w:rPr>
            </w:pPr>
            <w:r w:rsidRPr="00287370">
              <w:rPr>
                <w:sz w:val="18"/>
                <w:szCs w:val="18"/>
              </w:rPr>
              <w:t xml:space="preserve">Fuente: </w:t>
            </w:r>
            <w:r w:rsidR="00287370">
              <w:rPr>
                <w:sz w:val="18"/>
                <w:szCs w:val="18"/>
              </w:rPr>
              <w:t>Ministerio de Finanzas Públicas</w:t>
            </w:r>
            <w:r w:rsidRPr="00287370">
              <w:rPr>
                <w:sz w:val="18"/>
                <w:szCs w:val="18"/>
              </w:rPr>
              <w:t>.</w:t>
            </w:r>
          </w:p>
        </w:tc>
        <w:tc>
          <w:tcPr>
            <w:tcW w:w="4555" w:type="dxa"/>
          </w:tcPr>
          <w:p w14:paraId="292B2D4E" w14:textId="77777777" w:rsidR="00B545DE" w:rsidRPr="00287370" w:rsidRDefault="00B545DE" w:rsidP="00B545DE">
            <w:pPr>
              <w:jc w:val="both"/>
              <w:rPr>
                <w:sz w:val="18"/>
                <w:szCs w:val="20"/>
                <w:lang w:val="es-US"/>
              </w:rPr>
            </w:pPr>
            <w:r w:rsidRPr="00287370">
              <w:rPr>
                <w:noProof/>
                <w:sz w:val="18"/>
                <w:lang w:val="es-GT" w:eastAsia="es-GT"/>
              </w:rPr>
              <w:drawing>
                <wp:inline distT="0" distB="0" distL="0" distR="0" wp14:anchorId="54F7952F" wp14:editId="7ED36E36">
                  <wp:extent cx="2700655" cy="2548890"/>
                  <wp:effectExtent l="0" t="0" r="4445" b="3810"/>
                  <wp:docPr id="230" name="Gráfico 2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585D8349" w14:textId="3356D7BD" w:rsidR="00B545DE" w:rsidRDefault="00B545DE" w:rsidP="00B545DE">
      <w:pPr>
        <w:jc w:val="both"/>
        <w:rPr>
          <w:lang w:val="es-US"/>
        </w:rPr>
      </w:pPr>
    </w:p>
    <w:p w14:paraId="259F3BF6" w14:textId="77777777" w:rsidR="007C7883" w:rsidRPr="00773793" w:rsidRDefault="007C7883" w:rsidP="00B545DE">
      <w:pPr>
        <w:jc w:val="both"/>
        <w:rPr>
          <w:lang w:val="es-US"/>
        </w:rPr>
      </w:pPr>
    </w:p>
    <w:p w14:paraId="16826329" w14:textId="236EC863" w:rsidR="00B545DE" w:rsidRPr="00773793" w:rsidRDefault="00B545DE" w:rsidP="00B545DE">
      <w:pPr>
        <w:jc w:val="both"/>
        <w:rPr>
          <w:lang w:val="es-US"/>
        </w:rPr>
      </w:pPr>
      <w:r w:rsidRPr="00773793">
        <w:rPr>
          <w:lang w:val="es-US"/>
        </w:rPr>
        <w:t xml:space="preserve">Según información de la Superintendencia de Administración Tributaria </w:t>
      </w:r>
      <w:r w:rsidR="0044696D">
        <w:rPr>
          <w:lang w:val="es-US"/>
        </w:rPr>
        <w:t>(</w:t>
      </w:r>
      <w:r w:rsidRPr="00773793">
        <w:rPr>
          <w:lang w:val="es-US"/>
        </w:rPr>
        <w:t>SAT</w:t>
      </w:r>
      <w:r w:rsidR="0044696D">
        <w:rPr>
          <w:lang w:val="es-US"/>
        </w:rPr>
        <w:t>)</w:t>
      </w:r>
      <w:r w:rsidRPr="00773793">
        <w:rPr>
          <w:lang w:val="es-US"/>
        </w:rPr>
        <w:t>, a junio</w:t>
      </w:r>
      <w:r w:rsidR="0044696D">
        <w:rPr>
          <w:lang w:val="es-US"/>
        </w:rPr>
        <w:t xml:space="preserve"> de 2023</w:t>
      </w:r>
      <w:r w:rsidRPr="00773793">
        <w:rPr>
          <w:lang w:val="es-US"/>
        </w:rPr>
        <w:t xml:space="preserve"> el 89.2% de la recaudación tributaria proveniente de aduanas</w:t>
      </w:r>
      <w:r w:rsidR="004E4BD1">
        <w:rPr>
          <w:lang w:val="es-US"/>
        </w:rPr>
        <w:t>,</w:t>
      </w:r>
      <w:r w:rsidRPr="00773793">
        <w:rPr>
          <w:lang w:val="es-US"/>
        </w:rPr>
        <w:t xml:space="preserve"> se focaliza en 6 aduanas</w:t>
      </w:r>
      <w:r w:rsidR="004E4BD1">
        <w:rPr>
          <w:lang w:val="es-US"/>
        </w:rPr>
        <w:t>,</w:t>
      </w:r>
      <w:r w:rsidRPr="00773793">
        <w:rPr>
          <w:lang w:val="es-US"/>
        </w:rPr>
        <w:t xml:space="preserve"> siendo </w:t>
      </w:r>
      <w:r w:rsidR="004E4BD1">
        <w:rPr>
          <w:lang w:val="es-US"/>
        </w:rPr>
        <w:t>é</w:t>
      </w:r>
      <w:r w:rsidRPr="00773793">
        <w:rPr>
          <w:lang w:val="es-US"/>
        </w:rPr>
        <w:t>stas</w:t>
      </w:r>
      <w:r w:rsidR="004E4BD1">
        <w:rPr>
          <w:lang w:val="es-US"/>
        </w:rPr>
        <w:t>:</w:t>
      </w:r>
      <w:r w:rsidRPr="00773793">
        <w:rPr>
          <w:lang w:val="es-US"/>
        </w:rPr>
        <w:t xml:space="preserve"> la Aduana Puerto Quetzal (40.2%), Express Aéreo (13.4%), Santo Tomás</w:t>
      </w:r>
      <w:r w:rsidR="004E4BD1">
        <w:rPr>
          <w:lang w:val="es-US"/>
        </w:rPr>
        <w:t xml:space="preserve"> de Castilla</w:t>
      </w:r>
      <w:r w:rsidRPr="00773793">
        <w:rPr>
          <w:lang w:val="es-US"/>
        </w:rPr>
        <w:t xml:space="preserve"> (12.4%), Puerto Barrios (6.9%), Tecún Umán II (8.2%) y Aduana Central (8.1%)</w:t>
      </w:r>
      <w:r w:rsidR="004E4BD1">
        <w:rPr>
          <w:lang w:val="es-US"/>
        </w:rPr>
        <w:t>. E</w:t>
      </w:r>
      <w:r w:rsidRPr="00773793">
        <w:rPr>
          <w:lang w:val="es-US"/>
        </w:rPr>
        <w:t>ste grupo de aduanas aporta a la recaudación de impuestos asociados al comercio exterior</w:t>
      </w:r>
      <w:r w:rsidR="004E4BD1">
        <w:rPr>
          <w:lang w:val="es-US"/>
        </w:rPr>
        <w:t>,</w:t>
      </w:r>
      <w:r w:rsidRPr="00773793">
        <w:rPr>
          <w:lang w:val="es-US"/>
        </w:rPr>
        <w:t xml:space="preserve"> en términos brutos Q</w:t>
      </w:r>
      <w:r w:rsidR="004E4BD1">
        <w:rPr>
          <w:lang w:val="es-US"/>
        </w:rPr>
        <w:t>.</w:t>
      </w:r>
      <w:r w:rsidRPr="00773793">
        <w:rPr>
          <w:lang w:val="es-US"/>
        </w:rPr>
        <w:t>12,976.59 millones</w:t>
      </w:r>
      <w:r w:rsidR="004E4BD1">
        <w:rPr>
          <w:lang w:val="es-US"/>
        </w:rPr>
        <w:t>;</w:t>
      </w:r>
      <w:r w:rsidRPr="00773793">
        <w:rPr>
          <w:lang w:val="es-US"/>
        </w:rPr>
        <w:t xml:space="preserve"> el resto de aduanas a pesar que algunas tuvieron crecimientos importantes respecto </w:t>
      </w:r>
      <w:r w:rsidR="004E4BD1">
        <w:rPr>
          <w:lang w:val="es-US"/>
        </w:rPr>
        <w:t>de</w:t>
      </w:r>
      <w:r w:rsidRPr="00773793">
        <w:rPr>
          <w:lang w:val="es-US"/>
        </w:rPr>
        <w:t xml:space="preserve"> 2022</w:t>
      </w:r>
      <w:r w:rsidR="004E4BD1">
        <w:rPr>
          <w:lang w:val="es-US"/>
        </w:rPr>
        <w:t>,</w:t>
      </w:r>
      <w:r w:rsidRPr="00773793">
        <w:rPr>
          <w:lang w:val="es-US"/>
        </w:rPr>
        <w:t xml:space="preserve"> su aporte a la recaudación asociada al comercio exterior es menor.</w:t>
      </w:r>
    </w:p>
    <w:p w14:paraId="2322D4FE" w14:textId="3A0D1F9D" w:rsidR="00B545DE" w:rsidRDefault="00B545DE" w:rsidP="00B545DE">
      <w:pPr>
        <w:keepNext/>
        <w:jc w:val="center"/>
        <w:rPr>
          <w:b/>
          <w:iCs/>
          <w:lang w:val="es-GT" w:eastAsia="en-US"/>
        </w:rPr>
      </w:pPr>
    </w:p>
    <w:p w14:paraId="24828F0C" w14:textId="77777777" w:rsidR="007C7883" w:rsidRPr="00773793" w:rsidRDefault="007C7883" w:rsidP="00B545DE">
      <w:pPr>
        <w:keepNext/>
        <w:jc w:val="center"/>
        <w:rPr>
          <w:b/>
          <w:iCs/>
          <w:lang w:val="es-GT" w:eastAsia="en-US"/>
        </w:rPr>
      </w:pPr>
    </w:p>
    <w:p w14:paraId="0A51D77D" w14:textId="5282F634" w:rsidR="00B545DE" w:rsidRPr="00773793" w:rsidRDefault="00B545DE" w:rsidP="00B545DE">
      <w:pPr>
        <w:keepNext/>
        <w:jc w:val="center"/>
        <w:rPr>
          <w:b/>
          <w:iCs/>
          <w:color w:val="000000" w:themeColor="text2"/>
          <w:lang w:val="es-GT" w:eastAsia="en-US"/>
        </w:rPr>
      </w:pPr>
      <w:r w:rsidRPr="00773793">
        <w:rPr>
          <w:b/>
          <w:iCs/>
          <w:lang w:val="es-GT" w:eastAsia="en-US"/>
        </w:rPr>
        <w:t>Gráfic</w:t>
      </w:r>
      <w:r w:rsidR="000E33A6">
        <w:rPr>
          <w:b/>
          <w:iCs/>
          <w:lang w:val="es-GT" w:eastAsia="en-US"/>
        </w:rPr>
        <w:t>a 27</w:t>
      </w:r>
      <w:r w:rsidRPr="00773793">
        <w:rPr>
          <w:b/>
          <w:iCs/>
          <w:lang w:val="es-GT" w:eastAsia="en-US"/>
        </w:rPr>
        <w:t xml:space="preserve">.  Variación Interanual de </w:t>
      </w:r>
      <w:r w:rsidR="004E4BD1">
        <w:rPr>
          <w:b/>
          <w:iCs/>
          <w:lang w:val="es-GT" w:eastAsia="en-US"/>
        </w:rPr>
        <w:t>I</w:t>
      </w:r>
      <w:r w:rsidRPr="00773793">
        <w:rPr>
          <w:b/>
          <w:iCs/>
          <w:lang w:val="es-GT" w:eastAsia="en-US"/>
        </w:rPr>
        <w:t xml:space="preserve">mpuestos </w:t>
      </w:r>
      <w:r w:rsidR="004E4BD1">
        <w:rPr>
          <w:b/>
          <w:iCs/>
          <w:lang w:val="es-GT" w:eastAsia="en-US"/>
        </w:rPr>
        <w:t>A</w:t>
      </w:r>
      <w:r w:rsidRPr="00773793">
        <w:rPr>
          <w:b/>
          <w:iCs/>
          <w:lang w:val="es-GT" w:eastAsia="en-US"/>
        </w:rPr>
        <w:t xml:space="preserve">sociados al </w:t>
      </w:r>
      <w:r w:rsidR="004E4BD1">
        <w:rPr>
          <w:b/>
          <w:iCs/>
          <w:lang w:val="es-GT" w:eastAsia="en-US"/>
        </w:rPr>
        <w:t>C</w:t>
      </w:r>
      <w:r w:rsidRPr="00773793">
        <w:rPr>
          <w:b/>
          <w:iCs/>
          <w:lang w:val="es-GT" w:eastAsia="en-US"/>
        </w:rPr>
        <w:t xml:space="preserve">omercio </w:t>
      </w:r>
      <w:r w:rsidR="004E4BD1">
        <w:rPr>
          <w:b/>
          <w:iCs/>
          <w:lang w:val="es-GT" w:eastAsia="en-US"/>
        </w:rPr>
        <w:t>E</w:t>
      </w:r>
      <w:r w:rsidRPr="00773793">
        <w:rPr>
          <w:b/>
          <w:iCs/>
          <w:lang w:val="es-GT" w:eastAsia="en-US"/>
        </w:rPr>
        <w:t>xterior</w:t>
      </w:r>
      <w:r w:rsidR="004E4BD1">
        <w:rPr>
          <w:b/>
          <w:iCs/>
          <w:lang w:val="es-GT" w:eastAsia="en-US"/>
        </w:rPr>
        <w:t xml:space="preserve">           </w:t>
      </w:r>
      <w:r w:rsidRPr="00773793">
        <w:rPr>
          <w:b/>
          <w:iCs/>
          <w:lang w:val="es-GT" w:eastAsia="en-US"/>
        </w:rPr>
        <w:t xml:space="preserve"> (</w:t>
      </w:r>
      <w:r w:rsidR="004E4BD1">
        <w:rPr>
          <w:b/>
          <w:iCs/>
          <w:lang w:val="es-GT" w:eastAsia="en-US"/>
        </w:rPr>
        <w:t>E</w:t>
      </w:r>
      <w:r w:rsidRPr="00773793">
        <w:rPr>
          <w:b/>
          <w:iCs/>
          <w:lang w:val="es-GT" w:eastAsia="en-US"/>
        </w:rPr>
        <w:t xml:space="preserve">n </w:t>
      </w:r>
      <w:r w:rsidR="004E4BD1">
        <w:rPr>
          <w:b/>
          <w:iCs/>
          <w:lang w:val="es-GT" w:eastAsia="en-US"/>
        </w:rPr>
        <w:t>T</w:t>
      </w:r>
      <w:r w:rsidRPr="00773793">
        <w:rPr>
          <w:b/>
          <w:iCs/>
          <w:lang w:val="es-GT" w:eastAsia="en-US"/>
        </w:rPr>
        <w:t xml:space="preserve">érminos </w:t>
      </w:r>
      <w:r w:rsidR="004E4BD1">
        <w:rPr>
          <w:b/>
          <w:iCs/>
          <w:lang w:val="es-GT" w:eastAsia="en-US"/>
        </w:rPr>
        <w:t>B</w:t>
      </w:r>
      <w:r w:rsidRPr="00773793">
        <w:rPr>
          <w:b/>
          <w:iCs/>
          <w:lang w:val="es-GT" w:eastAsia="en-US"/>
        </w:rPr>
        <w:t>rutos al 30 de junio de cada año)</w:t>
      </w:r>
    </w:p>
    <w:p w14:paraId="00C48745" w14:textId="200954A5" w:rsidR="00B545DE" w:rsidRDefault="00B545DE" w:rsidP="00B545DE">
      <w:pPr>
        <w:jc w:val="center"/>
        <w:rPr>
          <w:b/>
        </w:rPr>
      </w:pPr>
      <w:r w:rsidRPr="004E4BD1">
        <w:rPr>
          <w:b/>
        </w:rPr>
        <w:t>Porcentajes (2023</w:t>
      </w:r>
      <w:r w:rsidR="004E4BD1">
        <w:rPr>
          <w:b/>
        </w:rPr>
        <w:t xml:space="preserve"> </w:t>
      </w:r>
      <w:r w:rsidRPr="004E4BD1">
        <w:rPr>
          <w:b/>
        </w:rPr>
        <w:t>/</w:t>
      </w:r>
      <w:r w:rsidR="004E4BD1">
        <w:rPr>
          <w:b/>
        </w:rPr>
        <w:t xml:space="preserve"> </w:t>
      </w:r>
      <w:r w:rsidRPr="004E4BD1">
        <w:rPr>
          <w:b/>
        </w:rPr>
        <w:t>2022)</w:t>
      </w:r>
    </w:p>
    <w:p w14:paraId="210107E6" w14:textId="77777777" w:rsidR="00530E58" w:rsidRPr="004E4BD1" w:rsidRDefault="00530E58" w:rsidP="00B545DE">
      <w:pPr>
        <w:jc w:val="center"/>
        <w:rPr>
          <w:b/>
        </w:rPr>
      </w:pPr>
    </w:p>
    <w:p w14:paraId="0E85FFAB" w14:textId="77777777" w:rsidR="00B545DE" w:rsidRPr="00773793" w:rsidRDefault="00B545DE" w:rsidP="00B545DE">
      <w:pPr>
        <w:jc w:val="center"/>
        <w:rPr>
          <w:highlight w:val="yellow"/>
          <w:lang w:val="es-US"/>
        </w:rPr>
      </w:pPr>
      <w:r w:rsidRPr="00773793">
        <w:rPr>
          <w:noProof/>
          <w:lang w:val="es-US"/>
        </w:rPr>
        <w:drawing>
          <wp:inline distT="0" distB="0" distL="0" distR="0" wp14:anchorId="0F3C5878" wp14:editId="06F1FDD0">
            <wp:extent cx="5777841" cy="5676595"/>
            <wp:effectExtent l="19050" t="19050" r="13970" b="1968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4560" cy="5712670"/>
                    </a:xfrm>
                    <a:prstGeom prst="rect">
                      <a:avLst/>
                    </a:prstGeom>
                    <a:noFill/>
                    <a:ln w="25400">
                      <a:solidFill>
                        <a:srgbClr val="DDDDDD"/>
                      </a:solidFill>
                    </a:ln>
                  </pic:spPr>
                </pic:pic>
              </a:graphicData>
            </a:graphic>
          </wp:inline>
        </w:drawing>
      </w:r>
    </w:p>
    <w:p w14:paraId="45ADECEF" w14:textId="3816A751" w:rsidR="00B545DE" w:rsidRPr="00287370" w:rsidRDefault="004E4BD1" w:rsidP="00B545DE">
      <w:pPr>
        <w:jc w:val="both"/>
        <w:rPr>
          <w:sz w:val="18"/>
          <w:lang w:val="es-MX"/>
        </w:rPr>
      </w:pPr>
      <w:r w:rsidRPr="00287370">
        <w:rPr>
          <w:sz w:val="18"/>
          <w:lang w:val="es-MX"/>
        </w:rPr>
        <w:t xml:space="preserve"> </w:t>
      </w:r>
      <w:r w:rsidR="00B545DE" w:rsidRPr="00287370">
        <w:rPr>
          <w:sz w:val="18"/>
          <w:lang w:val="es-MX"/>
        </w:rPr>
        <w:t xml:space="preserve">Fuente: </w:t>
      </w:r>
      <w:r w:rsidRPr="00287370">
        <w:rPr>
          <w:sz w:val="18"/>
          <w:lang w:val="es-MX"/>
        </w:rPr>
        <w:t>Ministerio de Finanza Públicas</w:t>
      </w:r>
      <w:r w:rsidR="00B545DE" w:rsidRPr="00287370">
        <w:rPr>
          <w:sz w:val="18"/>
          <w:lang w:val="es-MX"/>
        </w:rPr>
        <w:t>.</w:t>
      </w:r>
    </w:p>
    <w:p w14:paraId="3C675970" w14:textId="0CA2CB0A" w:rsidR="00B545DE" w:rsidRDefault="00B545DE" w:rsidP="00B545DE">
      <w:pPr>
        <w:jc w:val="both"/>
        <w:rPr>
          <w:lang w:val="es-MX"/>
        </w:rPr>
      </w:pPr>
    </w:p>
    <w:p w14:paraId="5C53F421" w14:textId="1BC98A5B" w:rsidR="007C7883" w:rsidRDefault="007C7883" w:rsidP="00B545DE">
      <w:pPr>
        <w:jc w:val="both"/>
        <w:rPr>
          <w:lang w:val="es-MX"/>
        </w:rPr>
      </w:pPr>
    </w:p>
    <w:p w14:paraId="1DCD7BE9" w14:textId="4AB0B78D" w:rsidR="007C7883" w:rsidRDefault="007C7883" w:rsidP="00B545DE">
      <w:pPr>
        <w:jc w:val="both"/>
        <w:rPr>
          <w:lang w:val="es-MX"/>
        </w:rPr>
      </w:pPr>
    </w:p>
    <w:p w14:paraId="787E70F7" w14:textId="77777777" w:rsidR="007C7883" w:rsidRPr="00773793" w:rsidRDefault="007C7883" w:rsidP="00B545DE">
      <w:pPr>
        <w:jc w:val="both"/>
        <w:rPr>
          <w:lang w:val="es-MX"/>
        </w:rPr>
      </w:pPr>
    </w:p>
    <w:p w14:paraId="63DF004B" w14:textId="1CCEB7F0" w:rsidR="00B545DE" w:rsidRPr="00AD03E4" w:rsidRDefault="00B545DE" w:rsidP="008B27EA">
      <w:pPr>
        <w:pStyle w:val="Ttulo3"/>
        <w:numPr>
          <w:ilvl w:val="0"/>
          <w:numId w:val="13"/>
        </w:numPr>
        <w:ind w:left="426"/>
        <w:rPr>
          <w:color w:val="auto"/>
        </w:rPr>
      </w:pPr>
      <w:bookmarkStart w:id="57" w:name="_Toc142549350"/>
      <w:bookmarkStart w:id="58" w:name="_Toc142920558"/>
      <w:r w:rsidRPr="00AD03E4">
        <w:rPr>
          <w:color w:val="auto"/>
        </w:rPr>
        <w:t xml:space="preserve">Estructura de la </w:t>
      </w:r>
      <w:r w:rsidR="00517A01" w:rsidRPr="00AD03E4">
        <w:rPr>
          <w:color w:val="auto"/>
        </w:rPr>
        <w:t>R</w:t>
      </w:r>
      <w:r w:rsidRPr="00AD03E4">
        <w:rPr>
          <w:color w:val="auto"/>
        </w:rPr>
        <w:t xml:space="preserve">ecaudación </w:t>
      </w:r>
      <w:r w:rsidR="00517A01" w:rsidRPr="00AD03E4">
        <w:rPr>
          <w:color w:val="auto"/>
        </w:rPr>
        <w:t>T</w:t>
      </w:r>
      <w:r w:rsidRPr="00AD03E4">
        <w:rPr>
          <w:color w:val="auto"/>
        </w:rPr>
        <w:t xml:space="preserve">ributaria </w:t>
      </w:r>
      <w:r w:rsidR="00517A01" w:rsidRPr="00AD03E4">
        <w:rPr>
          <w:color w:val="auto"/>
        </w:rPr>
        <w:t>A</w:t>
      </w:r>
      <w:r w:rsidRPr="00AD03E4">
        <w:rPr>
          <w:color w:val="auto"/>
        </w:rPr>
        <w:t>cumulada</w:t>
      </w:r>
      <w:bookmarkEnd w:id="57"/>
      <w:bookmarkEnd w:id="58"/>
    </w:p>
    <w:p w14:paraId="7D1B1895" w14:textId="77777777" w:rsidR="00B545DE" w:rsidRPr="003833A3" w:rsidRDefault="00B545DE" w:rsidP="00B545DE">
      <w:pPr>
        <w:jc w:val="both"/>
        <w:rPr>
          <w:highlight w:val="yellow"/>
          <w:lang w:val="es-US"/>
        </w:rPr>
      </w:pPr>
    </w:p>
    <w:p w14:paraId="138AF615" w14:textId="7BC7DC0D" w:rsidR="00B545DE" w:rsidRPr="00773793" w:rsidRDefault="00B545DE" w:rsidP="00517A01">
      <w:pPr>
        <w:jc w:val="both"/>
        <w:rPr>
          <w:b/>
          <w:bCs/>
        </w:rPr>
      </w:pPr>
      <w:r w:rsidRPr="00773793">
        <w:rPr>
          <w:lang w:val="es-US"/>
        </w:rPr>
        <w:t>El resultado de la recaudación tributaria a junio</w:t>
      </w:r>
      <w:r w:rsidR="00517A01">
        <w:rPr>
          <w:lang w:val="es-US"/>
        </w:rPr>
        <w:t xml:space="preserve"> de 2023</w:t>
      </w:r>
      <w:r w:rsidRPr="00773793">
        <w:rPr>
          <w:lang w:val="es-US"/>
        </w:rPr>
        <w:t xml:space="preserve"> está explicado principalmente por el desempeño positivo en impuestos</w:t>
      </w:r>
      <w:r w:rsidR="007C64BB">
        <w:rPr>
          <w:lang w:val="es-US"/>
        </w:rPr>
        <w:t>, tales</w:t>
      </w:r>
      <w:r w:rsidRPr="00773793">
        <w:rPr>
          <w:lang w:val="es-US"/>
        </w:rPr>
        <w:t xml:space="preserve"> como</w:t>
      </w:r>
      <w:r w:rsidR="007C64BB">
        <w:rPr>
          <w:lang w:val="es-US"/>
        </w:rPr>
        <w:t>,</w:t>
      </w:r>
      <w:r w:rsidRPr="00773793">
        <w:rPr>
          <w:lang w:val="es-US"/>
        </w:rPr>
        <w:t xml:space="preserve"> el ISR, el ISO, el IVA</w:t>
      </w:r>
      <w:r w:rsidR="007C64BB">
        <w:rPr>
          <w:lang w:val="es-US"/>
        </w:rPr>
        <w:t>, entre otros</w:t>
      </w:r>
      <w:r w:rsidRPr="00773793">
        <w:rPr>
          <w:lang w:val="es-US"/>
        </w:rPr>
        <w:t>.</w:t>
      </w:r>
    </w:p>
    <w:p w14:paraId="550F311C" w14:textId="77777777" w:rsidR="00B545DE" w:rsidRDefault="00B545DE" w:rsidP="00B545DE">
      <w:pPr>
        <w:rPr>
          <w:b/>
          <w:bCs/>
        </w:rPr>
      </w:pPr>
    </w:p>
    <w:p w14:paraId="0899A8D3" w14:textId="77777777" w:rsidR="00B545DE" w:rsidRDefault="00B545DE" w:rsidP="00B545DE">
      <w:pPr>
        <w:rPr>
          <w:b/>
          <w:bCs/>
        </w:rPr>
      </w:pPr>
    </w:p>
    <w:p w14:paraId="09EE56E9" w14:textId="77777777" w:rsidR="00B545DE" w:rsidRDefault="00B545DE" w:rsidP="00B545DE">
      <w:pPr>
        <w:rPr>
          <w:b/>
          <w:bCs/>
        </w:rPr>
      </w:pPr>
    </w:p>
    <w:p w14:paraId="71CAFDD8" w14:textId="45A220B1" w:rsidR="00B545DE" w:rsidRPr="00773793" w:rsidRDefault="00B545DE" w:rsidP="00B545DE">
      <w:pPr>
        <w:keepNext/>
        <w:jc w:val="center"/>
        <w:rPr>
          <w:b/>
          <w:iCs/>
          <w:lang w:val="es-GT" w:eastAsia="en-US"/>
        </w:rPr>
      </w:pPr>
      <w:r w:rsidRPr="00773793">
        <w:rPr>
          <w:b/>
          <w:iCs/>
          <w:lang w:val="es-GT" w:eastAsia="en-US"/>
        </w:rPr>
        <w:t>Gráfic</w:t>
      </w:r>
      <w:r w:rsidR="000E33A6">
        <w:rPr>
          <w:b/>
          <w:iCs/>
          <w:lang w:val="es-GT" w:eastAsia="en-US"/>
        </w:rPr>
        <w:t>a 28</w:t>
      </w:r>
      <w:r w:rsidRPr="00773793">
        <w:rPr>
          <w:b/>
          <w:iCs/>
          <w:lang w:val="es-GT" w:eastAsia="en-US"/>
        </w:rPr>
        <w:t xml:space="preserve">.  </w:t>
      </w:r>
      <w:r w:rsidRPr="00773793">
        <w:rPr>
          <w:b/>
          <w:bCs/>
          <w:iCs/>
          <w:lang w:val="es-US" w:eastAsia="en-US"/>
        </w:rPr>
        <w:t xml:space="preserve">Aporte por </w:t>
      </w:r>
      <w:r w:rsidR="007C64BB">
        <w:rPr>
          <w:b/>
          <w:bCs/>
          <w:iCs/>
          <w:lang w:val="es-US" w:eastAsia="en-US"/>
        </w:rPr>
        <w:t>I</w:t>
      </w:r>
      <w:r w:rsidRPr="00773793">
        <w:rPr>
          <w:b/>
          <w:bCs/>
          <w:iCs/>
          <w:lang w:val="es-US" w:eastAsia="en-US"/>
        </w:rPr>
        <w:t xml:space="preserve">mpuesto a la </w:t>
      </w:r>
      <w:r w:rsidR="007C64BB">
        <w:rPr>
          <w:b/>
          <w:bCs/>
          <w:iCs/>
          <w:lang w:val="es-US" w:eastAsia="en-US"/>
        </w:rPr>
        <w:t>R</w:t>
      </w:r>
      <w:r w:rsidRPr="00773793">
        <w:rPr>
          <w:b/>
          <w:bCs/>
          <w:iCs/>
          <w:lang w:val="es-US" w:eastAsia="en-US"/>
        </w:rPr>
        <w:t>ecaudación</w:t>
      </w:r>
    </w:p>
    <w:p w14:paraId="13794474" w14:textId="75DF47D9" w:rsidR="00B545DE" w:rsidRDefault="00B545DE" w:rsidP="00B545DE">
      <w:pPr>
        <w:jc w:val="center"/>
        <w:rPr>
          <w:b/>
          <w:bCs/>
          <w:lang w:val="es-US"/>
        </w:rPr>
      </w:pPr>
      <w:r w:rsidRPr="00773793">
        <w:rPr>
          <w:b/>
          <w:bCs/>
          <w:lang w:val="es-US"/>
        </w:rPr>
        <w:t xml:space="preserve">Tributaria </w:t>
      </w:r>
      <w:r w:rsidR="007C64BB">
        <w:rPr>
          <w:b/>
          <w:bCs/>
          <w:lang w:val="es-US"/>
        </w:rPr>
        <w:t>A</w:t>
      </w:r>
      <w:r w:rsidRPr="00773793">
        <w:rPr>
          <w:b/>
          <w:bCs/>
          <w:lang w:val="es-US"/>
        </w:rPr>
        <w:t>cumulada a junio 2023</w:t>
      </w:r>
    </w:p>
    <w:p w14:paraId="2E43C8B8" w14:textId="77777777" w:rsidR="00B545DE" w:rsidRPr="00773793" w:rsidRDefault="00B545DE" w:rsidP="00B545DE">
      <w:pPr>
        <w:jc w:val="center"/>
        <w:rPr>
          <w:b/>
          <w:bCs/>
          <w:lang w:val="es-US"/>
        </w:rPr>
      </w:pPr>
    </w:p>
    <w:p w14:paraId="7978059E" w14:textId="77777777" w:rsidR="00B545DE" w:rsidRPr="00773793" w:rsidRDefault="00B545DE" w:rsidP="00B545DE">
      <w:pPr>
        <w:jc w:val="center"/>
        <w:rPr>
          <w:noProof/>
          <w:lang w:eastAsia="es-GT"/>
        </w:rPr>
      </w:pPr>
      <w:r w:rsidRPr="00773793">
        <w:rPr>
          <w:noProof/>
          <w:lang w:eastAsia="es-GT"/>
        </w:rPr>
        <w:drawing>
          <wp:inline distT="0" distB="0" distL="0" distR="0" wp14:anchorId="2E5191AB" wp14:editId="77E77828">
            <wp:extent cx="4828032" cy="2457907"/>
            <wp:effectExtent l="0" t="0" r="0" b="0"/>
            <wp:docPr id="232" name="Gráfico 2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8A245D9" w14:textId="77777777" w:rsidR="007C64BB" w:rsidRDefault="007C64BB" w:rsidP="00B545DE">
      <w:pPr>
        <w:ind w:left="1"/>
        <w:jc w:val="both"/>
        <w:rPr>
          <w:color w:val="000000" w:themeColor="text1"/>
          <w:sz w:val="18"/>
          <w:szCs w:val="14"/>
          <w:lang w:val="es-US"/>
        </w:rPr>
      </w:pPr>
    </w:p>
    <w:p w14:paraId="0C7C893E" w14:textId="055F31A0" w:rsidR="00B545DE" w:rsidRPr="007C64BB" w:rsidRDefault="00B545DE" w:rsidP="00B545DE">
      <w:pPr>
        <w:ind w:left="1"/>
        <w:jc w:val="both"/>
        <w:rPr>
          <w:color w:val="000000" w:themeColor="text1"/>
          <w:sz w:val="18"/>
          <w:szCs w:val="14"/>
          <w:lang w:val="es-US"/>
        </w:rPr>
      </w:pPr>
      <w:r w:rsidRPr="007C64BB">
        <w:rPr>
          <w:color w:val="000000" w:themeColor="text1"/>
          <w:sz w:val="18"/>
          <w:szCs w:val="14"/>
          <w:lang w:val="es-US"/>
        </w:rPr>
        <w:t xml:space="preserve">                                              </w:t>
      </w:r>
      <w:r w:rsidRPr="007C64BB">
        <w:rPr>
          <w:sz w:val="18"/>
          <w:szCs w:val="18"/>
        </w:rPr>
        <w:t xml:space="preserve">Fuente: </w:t>
      </w:r>
      <w:r w:rsidR="007C64BB">
        <w:rPr>
          <w:sz w:val="18"/>
          <w:szCs w:val="18"/>
        </w:rPr>
        <w:t>Ministerio de Finanzas Públicas</w:t>
      </w:r>
      <w:r w:rsidRPr="007C64BB">
        <w:rPr>
          <w:sz w:val="18"/>
          <w:szCs w:val="18"/>
        </w:rPr>
        <w:t>.</w:t>
      </w:r>
    </w:p>
    <w:p w14:paraId="20A9D954" w14:textId="309EC6CA" w:rsidR="00B545DE" w:rsidRDefault="00B545DE" w:rsidP="00B545DE">
      <w:pPr>
        <w:jc w:val="both"/>
        <w:rPr>
          <w:bCs/>
          <w:lang w:val="es-US"/>
        </w:rPr>
      </w:pPr>
    </w:p>
    <w:p w14:paraId="563CFD7C" w14:textId="77777777" w:rsidR="007C64BB" w:rsidRPr="00773793" w:rsidRDefault="007C64BB" w:rsidP="00B545DE">
      <w:pPr>
        <w:jc w:val="both"/>
        <w:rPr>
          <w:bCs/>
          <w:lang w:val="es-US"/>
        </w:rPr>
      </w:pPr>
    </w:p>
    <w:p w14:paraId="2F034222" w14:textId="60719DAB" w:rsidR="00B545DE" w:rsidRPr="00AD03E4" w:rsidRDefault="00B545DE" w:rsidP="008B27EA">
      <w:pPr>
        <w:pStyle w:val="Ttulo3"/>
        <w:numPr>
          <w:ilvl w:val="0"/>
          <w:numId w:val="13"/>
        </w:numPr>
        <w:ind w:left="426"/>
        <w:rPr>
          <w:color w:val="auto"/>
        </w:rPr>
      </w:pPr>
      <w:bookmarkStart w:id="59" w:name="_Toc142549351"/>
      <w:bookmarkStart w:id="60" w:name="_Toc142920559"/>
      <w:r w:rsidRPr="00AD03E4">
        <w:rPr>
          <w:color w:val="auto"/>
        </w:rPr>
        <w:t xml:space="preserve">Recaudación </w:t>
      </w:r>
      <w:r w:rsidR="007C64BB" w:rsidRPr="00AD03E4">
        <w:rPr>
          <w:color w:val="auto"/>
        </w:rPr>
        <w:t>T</w:t>
      </w:r>
      <w:r w:rsidRPr="00AD03E4">
        <w:rPr>
          <w:color w:val="auto"/>
        </w:rPr>
        <w:t>ributaria por Actividad Económica</w:t>
      </w:r>
      <w:bookmarkEnd w:id="59"/>
      <w:bookmarkEnd w:id="60"/>
    </w:p>
    <w:p w14:paraId="2B0CEB4B" w14:textId="77777777" w:rsidR="00B545DE" w:rsidRPr="00773793" w:rsidRDefault="00B545DE" w:rsidP="00B545DE"/>
    <w:p w14:paraId="29AB6707" w14:textId="4DDBD134" w:rsidR="00B545DE" w:rsidRPr="00773793" w:rsidRDefault="00B545DE" w:rsidP="00B545DE">
      <w:pPr>
        <w:jc w:val="both"/>
        <w:rPr>
          <w:bCs/>
        </w:rPr>
      </w:pPr>
      <w:r w:rsidRPr="00773793">
        <w:rPr>
          <w:bCs/>
        </w:rPr>
        <w:t>En cuanto a la recaudación por actividad económica al mes de junio</w:t>
      </w:r>
      <w:r w:rsidR="007C64BB">
        <w:rPr>
          <w:bCs/>
        </w:rPr>
        <w:t xml:space="preserve"> de 2023</w:t>
      </w:r>
      <w:r w:rsidRPr="00773793">
        <w:rPr>
          <w:bCs/>
        </w:rPr>
        <w:t>, se observa que las actividades económicas que más aportan a la recaudación tributaria acumulada son</w:t>
      </w:r>
      <w:r w:rsidR="007C64BB">
        <w:rPr>
          <w:bCs/>
        </w:rPr>
        <w:t>:</w:t>
      </w:r>
      <w:r w:rsidRPr="00773793">
        <w:rPr>
          <w:bCs/>
        </w:rPr>
        <w:t xml:space="preserve"> comercio al por mayor y al por menor; reparación de vehículos automotores y motocicletas (41.0%)</w:t>
      </w:r>
      <w:r w:rsidR="007C64BB">
        <w:rPr>
          <w:bCs/>
        </w:rPr>
        <w:t>;</w:t>
      </w:r>
      <w:r w:rsidRPr="00773793">
        <w:rPr>
          <w:bCs/>
        </w:rPr>
        <w:t xml:space="preserve"> industrias manufactureras (19.8%)</w:t>
      </w:r>
      <w:r w:rsidR="007C64BB">
        <w:rPr>
          <w:bCs/>
        </w:rPr>
        <w:t>;</w:t>
      </w:r>
      <w:r w:rsidRPr="00773793">
        <w:rPr>
          <w:bCs/>
        </w:rPr>
        <w:t xml:space="preserve"> actividades financieras y de seguros (8.5%), que en conjunto representan el 69.2% de la recaudación tributaria acumulada. Vale indicar que estas actividades crecen en 9.8%, 4.5% y 18.7%, respectivamente, medidos </w:t>
      </w:r>
      <w:r w:rsidR="007C64BB">
        <w:rPr>
          <w:bCs/>
        </w:rPr>
        <w:t xml:space="preserve">con </w:t>
      </w:r>
      <w:r w:rsidRPr="00773793">
        <w:rPr>
          <w:bCs/>
        </w:rPr>
        <w:t>respecto a la recaudación observada a junio de 2022.</w:t>
      </w:r>
    </w:p>
    <w:p w14:paraId="2F9C35A9" w14:textId="05F98128" w:rsidR="00B545DE" w:rsidRDefault="00B545DE" w:rsidP="00B545DE">
      <w:pPr>
        <w:jc w:val="both"/>
        <w:rPr>
          <w:color w:val="FF0000"/>
        </w:rPr>
      </w:pPr>
    </w:p>
    <w:p w14:paraId="4FDCA14A" w14:textId="5E2471D7" w:rsidR="007C7883" w:rsidRDefault="007C7883" w:rsidP="00B545DE">
      <w:pPr>
        <w:jc w:val="both"/>
        <w:rPr>
          <w:color w:val="FF0000"/>
        </w:rPr>
      </w:pPr>
    </w:p>
    <w:p w14:paraId="37303CC4" w14:textId="5098081D" w:rsidR="007C7883" w:rsidRDefault="007C7883" w:rsidP="00B545DE">
      <w:pPr>
        <w:jc w:val="both"/>
        <w:rPr>
          <w:color w:val="FF0000"/>
        </w:rPr>
      </w:pPr>
    </w:p>
    <w:p w14:paraId="737C235D" w14:textId="7C659706" w:rsidR="007C7883" w:rsidRDefault="007C7883" w:rsidP="00B545DE">
      <w:pPr>
        <w:jc w:val="both"/>
        <w:rPr>
          <w:color w:val="FF0000"/>
        </w:rPr>
      </w:pPr>
    </w:p>
    <w:p w14:paraId="605FC547" w14:textId="5520179F" w:rsidR="007C7883" w:rsidRDefault="007C7883" w:rsidP="00B545DE">
      <w:pPr>
        <w:jc w:val="both"/>
        <w:rPr>
          <w:color w:val="FF0000"/>
        </w:rPr>
      </w:pPr>
    </w:p>
    <w:p w14:paraId="4B371F01" w14:textId="1CAD46F4" w:rsidR="007C7883" w:rsidRDefault="007C7883" w:rsidP="00B545DE">
      <w:pPr>
        <w:jc w:val="both"/>
        <w:rPr>
          <w:color w:val="FF0000"/>
        </w:rPr>
      </w:pPr>
    </w:p>
    <w:p w14:paraId="3E87AD19" w14:textId="77777777" w:rsidR="007C7883" w:rsidRPr="00773793" w:rsidRDefault="007C7883" w:rsidP="00B545DE">
      <w:pPr>
        <w:jc w:val="both"/>
        <w:rPr>
          <w:color w:val="FF0000"/>
        </w:rPr>
      </w:pPr>
    </w:p>
    <w:p w14:paraId="16C35E20" w14:textId="26187FE2" w:rsidR="00B545DE" w:rsidRPr="00773793" w:rsidRDefault="00B545DE" w:rsidP="00B545DE">
      <w:pPr>
        <w:keepNext/>
        <w:jc w:val="center"/>
        <w:rPr>
          <w:b/>
          <w:iCs/>
          <w:color w:val="000000" w:themeColor="text2"/>
          <w:lang w:val="es-GT" w:eastAsia="en-US"/>
        </w:rPr>
      </w:pPr>
      <w:r w:rsidRPr="00773793">
        <w:rPr>
          <w:b/>
          <w:iCs/>
          <w:lang w:val="es-GT" w:eastAsia="en-US"/>
        </w:rPr>
        <w:t>Gráfic</w:t>
      </w:r>
      <w:r w:rsidR="000E33A6">
        <w:rPr>
          <w:b/>
          <w:iCs/>
          <w:lang w:val="es-GT" w:eastAsia="en-US"/>
        </w:rPr>
        <w:t>a 29</w:t>
      </w:r>
      <w:r w:rsidRPr="00773793">
        <w:rPr>
          <w:b/>
          <w:iCs/>
          <w:lang w:val="es-GT" w:eastAsia="en-US"/>
        </w:rPr>
        <w:t xml:space="preserve">.  Variación Interanual de </w:t>
      </w:r>
      <w:r w:rsidR="007C64BB">
        <w:rPr>
          <w:b/>
          <w:iCs/>
          <w:lang w:val="es-GT" w:eastAsia="en-US"/>
        </w:rPr>
        <w:t>R</w:t>
      </w:r>
      <w:r w:rsidRPr="00773793">
        <w:rPr>
          <w:b/>
          <w:iCs/>
          <w:lang w:val="es-GT" w:eastAsia="en-US"/>
        </w:rPr>
        <w:t xml:space="preserve">ecaudación </w:t>
      </w:r>
      <w:r w:rsidR="007C64BB">
        <w:rPr>
          <w:b/>
          <w:iCs/>
          <w:lang w:val="es-GT" w:eastAsia="en-US"/>
        </w:rPr>
        <w:t>T</w:t>
      </w:r>
      <w:r w:rsidRPr="00773793">
        <w:rPr>
          <w:b/>
          <w:iCs/>
          <w:lang w:val="es-GT" w:eastAsia="en-US"/>
        </w:rPr>
        <w:t xml:space="preserve">ributaria por </w:t>
      </w:r>
      <w:r w:rsidR="007C64BB">
        <w:rPr>
          <w:b/>
          <w:iCs/>
          <w:lang w:val="es-GT" w:eastAsia="en-US"/>
        </w:rPr>
        <w:t>A</w:t>
      </w:r>
      <w:r w:rsidRPr="00773793">
        <w:rPr>
          <w:b/>
          <w:iCs/>
          <w:lang w:val="es-GT" w:eastAsia="en-US"/>
        </w:rPr>
        <w:t xml:space="preserve">ctividad </w:t>
      </w:r>
      <w:r w:rsidR="007C64BB">
        <w:rPr>
          <w:b/>
          <w:iCs/>
          <w:lang w:val="es-GT" w:eastAsia="en-US"/>
        </w:rPr>
        <w:t>E</w:t>
      </w:r>
      <w:r w:rsidRPr="00773793">
        <w:rPr>
          <w:b/>
          <w:iCs/>
          <w:lang w:val="es-GT" w:eastAsia="en-US"/>
        </w:rPr>
        <w:t>conómica</w:t>
      </w:r>
    </w:p>
    <w:p w14:paraId="5FFEC146" w14:textId="51BA0461" w:rsidR="00B545DE" w:rsidRPr="007C64BB" w:rsidRDefault="007C64BB" w:rsidP="00B545DE">
      <w:pPr>
        <w:jc w:val="center"/>
        <w:rPr>
          <w:b/>
        </w:rPr>
      </w:pPr>
      <w:r w:rsidRPr="007C64BB">
        <w:rPr>
          <w:b/>
        </w:rPr>
        <w:t>(</w:t>
      </w:r>
      <w:r w:rsidR="00B545DE" w:rsidRPr="007C64BB">
        <w:rPr>
          <w:b/>
        </w:rPr>
        <w:t>Porcentajes 2023/2022)</w:t>
      </w:r>
    </w:p>
    <w:p w14:paraId="4B49777E" w14:textId="77777777" w:rsidR="00B545DE" w:rsidRPr="00773793" w:rsidRDefault="00B545DE" w:rsidP="00B545DE">
      <w:pPr>
        <w:rPr>
          <w:lang w:val="es-US"/>
        </w:rPr>
      </w:pPr>
      <w:r w:rsidRPr="00773793">
        <w:rPr>
          <w:noProof/>
          <w:lang w:val="es-GT" w:eastAsia="es-GT"/>
        </w:rPr>
        <w:drawing>
          <wp:inline distT="0" distB="0" distL="0" distR="0" wp14:anchorId="73649B19" wp14:editId="6B04C416">
            <wp:extent cx="5875655" cy="2655735"/>
            <wp:effectExtent l="0" t="0" r="10795" b="11430"/>
            <wp:docPr id="247" name="Gráfico 2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C79E72D" w14:textId="264EA3E0" w:rsidR="00B545DE" w:rsidRPr="007C64BB" w:rsidRDefault="00B545DE" w:rsidP="00B545DE">
      <w:pPr>
        <w:ind w:left="1"/>
        <w:jc w:val="both"/>
        <w:rPr>
          <w:sz w:val="18"/>
          <w:szCs w:val="18"/>
        </w:rPr>
      </w:pPr>
      <w:r w:rsidRPr="007C64BB">
        <w:rPr>
          <w:sz w:val="18"/>
          <w:szCs w:val="18"/>
        </w:rPr>
        <w:t xml:space="preserve">Fuente: </w:t>
      </w:r>
      <w:r w:rsidR="007C64BB">
        <w:rPr>
          <w:sz w:val="18"/>
          <w:szCs w:val="18"/>
        </w:rPr>
        <w:t>Ministerio de Finanzas Públicas</w:t>
      </w:r>
      <w:r w:rsidRPr="007C64BB">
        <w:rPr>
          <w:sz w:val="18"/>
          <w:szCs w:val="18"/>
        </w:rPr>
        <w:t>.</w:t>
      </w:r>
    </w:p>
    <w:p w14:paraId="4BA69159" w14:textId="77777777" w:rsidR="00B545DE" w:rsidRDefault="00B545DE" w:rsidP="00B545DE">
      <w:pPr>
        <w:ind w:left="1"/>
        <w:jc w:val="both"/>
        <w:rPr>
          <w:sz w:val="16"/>
          <w:szCs w:val="18"/>
        </w:rPr>
      </w:pPr>
    </w:p>
    <w:p w14:paraId="5022E1AB" w14:textId="77777777" w:rsidR="00B545DE" w:rsidRPr="00106077" w:rsidRDefault="00B545DE" w:rsidP="00B545DE">
      <w:pPr>
        <w:ind w:left="1"/>
        <w:jc w:val="both"/>
        <w:rPr>
          <w:b/>
          <w:bCs/>
          <w:color w:val="FF0000"/>
          <w:sz w:val="20"/>
          <w:szCs w:val="22"/>
        </w:rPr>
      </w:pPr>
    </w:p>
    <w:p w14:paraId="65382AE5" w14:textId="19FAD14C" w:rsidR="00B545DE" w:rsidRPr="00AD03E4" w:rsidRDefault="00B545DE" w:rsidP="008B27EA">
      <w:pPr>
        <w:pStyle w:val="Ttulo3"/>
        <w:numPr>
          <w:ilvl w:val="0"/>
          <w:numId w:val="13"/>
        </w:numPr>
        <w:ind w:left="426"/>
        <w:rPr>
          <w:color w:val="auto"/>
        </w:rPr>
      </w:pPr>
      <w:bookmarkStart w:id="61" w:name="_Toc142549352"/>
      <w:bookmarkStart w:id="62" w:name="_Toc142920560"/>
      <w:r w:rsidRPr="00AD03E4">
        <w:rPr>
          <w:color w:val="auto"/>
        </w:rPr>
        <w:t xml:space="preserve">Factores </w:t>
      </w:r>
      <w:r w:rsidR="00055556" w:rsidRPr="00AD03E4">
        <w:rPr>
          <w:color w:val="auto"/>
        </w:rPr>
        <w:t>E</w:t>
      </w:r>
      <w:r w:rsidRPr="00AD03E4">
        <w:rPr>
          <w:color w:val="auto"/>
        </w:rPr>
        <w:t xml:space="preserve">xternos que </w:t>
      </w:r>
      <w:r w:rsidR="00055556" w:rsidRPr="00AD03E4">
        <w:rPr>
          <w:color w:val="auto"/>
        </w:rPr>
        <w:t>A</w:t>
      </w:r>
      <w:r w:rsidRPr="00AD03E4">
        <w:rPr>
          <w:color w:val="auto"/>
        </w:rPr>
        <w:t xml:space="preserve">fectan la </w:t>
      </w:r>
      <w:r w:rsidR="00055556" w:rsidRPr="00AD03E4">
        <w:rPr>
          <w:color w:val="auto"/>
        </w:rPr>
        <w:t>R</w:t>
      </w:r>
      <w:r w:rsidRPr="00AD03E4">
        <w:rPr>
          <w:color w:val="auto"/>
        </w:rPr>
        <w:t xml:space="preserve">ecaudación </w:t>
      </w:r>
      <w:r w:rsidR="00055556" w:rsidRPr="00AD03E4">
        <w:rPr>
          <w:color w:val="auto"/>
        </w:rPr>
        <w:t>T</w:t>
      </w:r>
      <w:r w:rsidRPr="00AD03E4">
        <w:rPr>
          <w:color w:val="auto"/>
        </w:rPr>
        <w:t>ributaria.</w:t>
      </w:r>
      <w:bookmarkEnd w:id="61"/>
      <w:bookmarkEnd w:id="62"/>
    </w:p>
    <w:p w14:paraId="36D281DD" w14:textId="77777777" w:rsidR="00B545DE" w:rsidRPr="00773793" w:rsidRDefault="00B545DE" w:rsidP="00B545DE"/>
    <w:p w14:paraId="44CCB9A0" w14:textId="3212252E" w:rsidR="00B545DE" w:rsidRPr="00773793" w:rsidRDefault="00B545DE" w:rsidP="00B545DE">
      <w:pPr>
        <w:ind w:left="1"/>
        <w:jc w:val="both"/>
      </w:pPr>
      <w:r w:rsidRPr="00773793">
        <w:t>Dentro de los principales factores que afectan la recaudación tributaria se pueden citar</w:t>
      </w:r>
      <w:r w:rsidR="00055556">
        <w:t>,</w:t>
      </w:r>
      <w:r w:rsidRPr="00773793">
        <w:t xml:space="preserve"> las fluctuaciones del tipo de cambio y el precio internacional del petróleo</w:t>
      </w:r>
      <w:r w:rsidR="00055556">
        <w:t>. A</w:t>
      </w:r>
      <w:r w:rsidRPr="00773793">
        <w:t xml:space="preserve"> junio</w:t>
      </w:r>
      <w:r w:rsidR="00055556">
        <w:t xml:space="preserve"> de </w:t>
      </w:r>
      <w:r w:rsidRPr="00773793">
        <w:t>2023 la recaudación asociada al comercio exterior se ha visto afectad</w:t>
      </w:r>
      <w:r>
        <w:t>a</w:t>
      </w:r>
      <w:r w:rsidRPr="00773793">
        <w:t xml:space="preserve"> de manera positiva en Q</w:t>
      </w:r>
      <w:r w:rsidR="00055556">
        <w:t>.</w:t>
      </w:r>
      <w:r w:rsidRPr="00773793">
        <w:t>259.0 millones</w:t>
      </w:r>
      <w:r w:rsidR="00055556">
        <w:t>,</w:t>
      </w:r>
      <w:r w:rsidRPr="00773793">
        <w:t xml:space="preserve"> de los cuales por Derechos Arancelarios a la Importación se han recaudado Q</w:t>
      </w:r>
      <w:r w:rsidR="00055556">
        <w:t>.</w:t>
      </w:r>
      <w:r w:rsidRPr="00773793">
        <w:t>30.5 millones y por el IVA asociado a las importaciones Q</w:t>
      </w:r>
      <w:r w:rsidR="00055556">
        <w:t>.</w:t>
      </w:r>
      <w:r w:rsidRPr="00773793">
        <w:t>228.5 millones.</w:t>
      </w:r>
    </w:p>
    <w:p w14:paraId="7CFA0DC2" w14:textId="77777777" w:rsidR="00B545DE" w:rsidRPr="00773793" w:rsidRDefault="00B545DE" w:rsidP="00B545DE">
      <w:pPr>
        <w:ind w:left="1"/>
        <w:jc w:val="both"/>
      </w:pPr>
    </w:p>
    <w:p w14:paraId="1FEEB521" w14:textId="16234FAB" w:rsidR="00B545DE" w:rsidRDefault="00B545DE" w:rsidP="00B545DE">
      <w:pPr>
        <w:ind w:left="1"/>
        <w:jc w:val="both"/>
      </w:pPr>
      <w:r w:rsidRPr="00773793">
        <w:t>Para el caso del impacto del precio internacional del petróleo</w:t>
      </w:r>
      <w:r w:rsidR="004F770E">
        <w:t>,</w:t>
      </w:r>
      <w:r w:rsidRPr="00773793">
        <w:t xml:space="preserve"> vale indicar que </w:t>
      </w:r>
      <w:r w:rsidR="004F770E">
        <w:t>é</w:t>
      </w:r>
      <w:r w:rsidRPr="00773793">
        <w:t>ste ha sido negativo en Q</w:t>
      </w:r>
      <w:r w:rsidR="004F770E">
        <w:t>.</w:t>
      </w:r>
      <w:r w:rsidRPr="00773793">
        <w:t>206.4 millones</w:t>
      </w:r>
      <w:r w:rsidR="004F770E">
        <w:t>,</w:t>
      </w:r>
      <w:r w:rsidRPr="00773793">
        <w:t xml:space="preserve"> los cuales se descomponen por efectos en el cambio de volumen y en el precio</w:t>
      </w:r>
      <w:r w:rsidR="00C642AF">
        <w:t>. L</w:t>
      </w:r>
      <w:r w:rsidR="00C642AF" w:rsidRPr="00773793">
        <w:t>os montos para cada uno de estos impactos fueron</w:t>
      </w:r>
      <w:r w:rsidR="00C642AF">
        <w:t>,</w:t>
      </w:r>
      <w:r w:rsidRPr="00773793">
        <w:t xml:space="preserve"> positivo para el volumen </w:t>
      </w:r>
      <w:r w:rsidR="00C642AF">
        <w:t xml:space="preserve">en </w:t>
      </w:r>
      <w:r w:rsidRPr="00773793">
        <w:t>Q</w:t>
      </w:r>
      <w:r w:rsidR="00C642AF">
        <w:t>.</w:t>
      </w:r>
      <w:r w:rsidRPr="00773793">
        <w:t xml:space="preserve">271.0 millones y negativo en el precio </w:t>
      </w:r>
      <w:r w:rsidR="00C642AF">
        <w:t xml:space="preserve">por </w:t>
      </w:r>
      <w:r w:rsidRPr="00773793">
        <w:t>Q</w:t>
      </w:r>
      <w:r w:rsidR="00C642AF">
        <w:t>.</w:t>
      </w:r>
      <w:r w:rsidRPr="00773793">
        <w:t>477.4 millones</w:t>
      </w:r>
      <w:r w:rsidR="00C642AF">
        <w:t>; estos</w:t>
      </w:r>
      <w:r w:rsidRPr="00773793">
        <w:t xml:space="preserve"> impactos en la recaudación tributaria de tipo de cambio y precio del petróleo fueron cuantificados por la Superintendencia de Administración Tributaria </w:t>
      </w:r>
      <w:r w:rsidR="00C642AF">
        <w:t>(</w:t>
      </w:r>
      <w:r w:rsidRPr="00773793">
        <w:t>SAT</w:t>
      </w:r>
      <w:r w:rsidR="00C642AF">
        <w:t>)</w:t>
      </w:r>
      <w:r w:rsidRPr="00773793">
        <w:t xml:space="preserve"> y se encuentran publicados en su portal</w:t>
      </w:r>
      <w:r w:rsidR="00C642AF">
        <w:t xml:space="preserve"> web</w:t>
      </w:r>
      <w:r w:rsidRPr="00773793">
        <w:t>.</w:t>
      </w:r>
    </w:p>
    <w:p w14:paraId="34B2103D" w14:textId="77777777" w:rsidR="00C642AF" w:rsidRPr="00773793" w:rsidRDefault="00C642AF" w:rsidP="00B545DE">
      <w:pPr>
        <w:ind w:left="1"/>
        <w:jc w:val="both"/>
        <w:rPr>
          <w:color w:val="000000" w:themeColor="text1"/>
          <w:sz w:val="16"/>
          <w:szCs w:val="14"/>
          <w:lang w:val="es-US"/>
        </w:rPr>
      </w:pPr>
    </w:p>
    <w:p w14:paraId="23A76AF6" w14:textId="77777777" w:rsidR="00B545DE" w:rsidRPr="00AD03E4" w:rsidRDefault="00B545DE" w:rsidP="008B27EA">
      <w:pPr>
        <w:pStyle w:val="Ttulo3"/>
        <w:numPr>
          <w:ilvl w:val="0"/>
          <w:numId w:val="13"/>
        </w:numPr>
        <w:ind w:left="426"/>
        <w:rPr>
          <w:color w:val="auto"/>
        </w:rPr>
      </w:pPr>
      <w:bookmarkStart w:id="63" w:name="_Toc142549353"/>
      <w:bookmarkStart w:id="64" w:name="_Toc142920561"/>
      <w:r w:rsidRPr="00AD03E4">
        <w:rPr>
          <w:color w:val="auto"/>
        </w:rPr>
        <w:t>Perspectivas de Cierre 2023</w:t>
      </w:r>
      <w:bookmarkEnd w:id="63"/>
      <w:bookmarkEnd w:id="64"/>
    </w:p>
    <w:p w14:paraId="68BF2D24" w14:textId="77777777" w:rsidR="00B545DE" w:rsidRPr="00773793" w:rsidRDefault="00B545DE" w:rsidP="00B545DE">
      <w:pPr>
        <w:jc w:val="both"/>
        <w:rPr>
          <w:sz w:val="18"/>
        </w:rPr>
      </w:pPr>
    </w:p>
    <w:p w14:paraId="0933ACC0" w14:textId="21D49B94" w:rsidR="00B545DE" w:rsidRDefault="00B545DE" w:rsidP="00B545DE">
      <w:pPr>
        <w:jc w:val="both"/>
      </w:pPr>
      <w:r>
        <w:t>La estimación de cierre de la recaudación tributaria se espera se sitúe en Q</w:t>
      </w:r>
      <w:r w:rsidR="005A36A7">
        <w:t>.</w:t>
      </w:r>
      <w:r>
        <w:t>93,407.6 millones</w:t>
      </w:r>
      <w:r w:rsidR="005A36A7">
        <w:t>,</w:t>
      </w:r>
      <w:r>
        <w:t xml:space="preserve"> monto superior a lo programado en el </w:t>
      </w:r>
      <w:r w:rsidR="005A36A7">
        <w:t>p</w:t>
      </w:r>
      <w:r>
        <w:t xml:space="preserve">resupuesto </w:t>
      </w:r>
      <w:r w:rsidR="005A36A7">
        <w:t>por</w:t>
      </w:r>
      <w:r>
        <w:t xml:space="preserve"> Q</w:t>
      </w:r>
      <w:r w:rsidR="005A36A7">
        <w:t>.</w:t>
      </w:r>
      <w:r>
        <w:t>7,160.0 millones</w:t>
      </w:r>
      <w:r w:rsidR="005A36A7">
        <w:t>. D</w:t>
      </w:r>
      <w:r>
        <w:t>e conformidad al desempeño a junio</w:t>
      </w:r>
      <w:r w:rsidR="005A36A7">
        <w:t xml:space="preserve"> de 2023</w:t>
      </w:r>
      <w:r>
        <w:t xml:space="preserve"> se prevé una mayor dinámica en los principales impuestos que representan el 84.8% de la recaudación total</w:t>
      </w:r>
      <w:r w:rsidR="005A36A7">
        <w:t>,</w:t>
      </w:r>
      <w:r>
        <w:t xml:space="preserve"> siendo estos ISR, ISO e IVA, como se aprecia en </w:t>
      </w:r>
      <w:r w:rsidR="000E33A6">
        <w:t xml:space="preserve">el Cuadro 19, </w:t>
      </w:r>
      <w:r>
        <w:t>estos resultados son producto de los esfuerzos que realiza el ente recaudador mediante la agilización del pago de impuestos, mayor percepción de riesgo de los contribuyentes y las medidas de fiscalización por sector económico que implementó el ente recaudador</w:t>
      </w:r>
      <w:r w:rsidR="005A36A7">
        <w:t>,</w:t>
      </w:r>
      <w:r>
        <w:t xml:space="preserve"> entre otras</w:t>
      </w:r>
      <w:r w:rsidR="005A36A7">
        <w:t xml:space="preserve"> acciones</w:t>
      </w:r>
      <w:r>
        <w:t>.</w:t>
      </w:r>
    </w:p>
    <w:p w14:paraId="1E770018" w14:textId="77777777" w:rsidR="00B545DE" w:rsidRDefault="00B545DE" w:rsidP="00B545DE">
      <w:pPr>
        <w:jc w:val="both"/>
      </w:pPr>
    </w:p>
    <w:p w14:paraId="564B50FD" w14:textId="74B13B41" w:rsidR="00B545DE" w:rsidRPr="00760D5A" w:rsidRDefault="000E33A6" w:rsidP="00B545DE">
      <w:pPr>
        <w:jc w:val="center"/>
        <w:rPr>
          <w:b/>
          <w:bCs/>
        </w:rPr>
      </w:pPr>
      <w:r>
        <w:rPr>
          <w:b/>
          <w:bCs/>
        </w:rPr>
        <w:t>Cuadro 19</w:t>
      </w:r>
    </w:p>
    <w:p w14:paraId="226EE390" w14:textId="5835C5E4" w:rsidR="00B545DE" w:rsidRPr="00760D5A" w:rsidRDefault="00B545DE" w:rsidP="00B545DE">
      <w:pPr>
        <w:jc w:val="center"/>
        <w:rPr>
          <w:b/>
          <w:bCs/>
        </w:rPr>
      </w:pPr>
      <w:r w:rsidRPr="00760D5A">
        <w:rPr>
          <w:b/>
          <w:bCs/>
        </w:rPr>
        <w:t xml:space="preserve">Comparativo de </w:t>
      </w:r>
      <w:r w:rsidR="005A36A7">
        <w:rPr>
          <w:b/>
          <w:bCs/>
        </w:rPr>
        <w:t>R</w:t>
      </w:r>
      <w:r w:rsidRPr="00760D5A">
        <w:rPr>
          <w:b/>
          <w:bCs/>
        </w:rPr>
        <w:t xml:space="preserve">ecaudación </w:t>
      </w:r>
      <w:r w:rsidR="005A36A7">
        <w:rPr>
          <w:b/>
          <w:bCs/>
        </w:rPr>
        <w:t>T</w:t>
      </w:r>
      <w:r w:rsidRPr="00760D5A">
        <w:rPr>
          <w:b/>
          <w:bCs/>
        </w:rPr>
        <w:t xml:space="preserve">ributaria </w:t>
      </w:r>
      <w:r w:rsidR="005A36A7">
        <w:rPr>
          <w:b/>
          <w:bCs/>
        </w:rPr>
        <w:t>O</w:t>
      </w:r>
      <w:r w:rsidRPr="00760D5A">
        <w:rPr>
          <w:b/>
          <w:bCs/>
        </w:rPr>
        <w:t>bservada a junio</w:t>
      </w:r>
      <w:r w:rsidR="005A36A7">
        <w:rPr>
          <w:b/>
          <w:bCs/>
        </w:rPr>
        <w:t xml:space="preserve"> 2023,</w:t>
      </w:r>
      <w:r w:rsidRPr="00760D5A">
        <w:rPr>
          <w:b/>
          <w:bCs/>
        </w:rPr>
        <w:t xml:space="preserve"> </w:t>
      </w:r>
      <w:r w:rsidR="005A36A7">
        <w:rPr>
          <w:b/>
          <w:bCs/>
        </w:rPr>
        <w:t>R</w:t>
      </w:r>
      <w:r w:rsidRPr="00760D5A">
        <w:rPr>
          <w:b/>
          <w:bCs/>
        </w:rPr>
        <w:t>especto</w:t>
      </w:r>
      <w:r w:rsidR="005A36A7">
        <w:rPr>
          <w:b/>
          <w:bCs/>
        </w:rPr>
        <w:t xml:space="preserve"> de la</w:t>
      </w:r>
      <w:r w:rsidRPr="00760D5A">
        <w:rPr>
          <w:b/>
          <w:bCs/>
        </w:rPr>
        <w:t xml:space="preserve"> </w:t>
      </w:r>
      <w:r w:rsidR="005A36A7">
        <w:rPr>
          <w:b/>
          <w:bCs/>
        </w:rPr>
        <w:t>M</w:t>
      </w:r>
      <w:r w:rsidRPr="00760D5A">
        <w:rPr>
          <w:b/>
          <w:bCs/>
        </w:rPr>
        <w:t>eta de</w:t>
      </w:r>
      <w:r w:rsidR="005A36A7">
        <w:rPr>
          <w:b/>
          <w:bCs/>
        </w:rPr>
        <w:t>l P</w:t>
      </w:r>
      <w:r w:rsidRPr="00760D5A">
        <w:rPr>
          <w:b/>
          <w:bCs/>
        </w:rPr>
        <w:t xml:space="preserve">resupuesto y a la </w:t>
      </w:r>
      <w:r w:rsidR="005A36A7">
        <w:rPr>
          <w:b/>
          <w:bCs/>
        </w:rPr>
        <w:t>E</w:t>
      </w:r>
      <w:r w:rsidRPr="00760D5A">
        <w:rPr>
          <w:b/>
          <w:bCs/>
        </w:rPr>
        <w:t xml:space="preserve">stimación de </w:t>
      </w:r>
      <w:r w:rsidR="005A36A7">
        <w:rPr>
          <w:b/>
          <w:bCs/>
        </w:rPr>
        <w:t>C</w:t>
      </w:r>
      <w:r w:rsidRPr="00760D5A">
        <w:rPr>
          <w:b/>
          <w:bCs/>
        </w:rPr>
        <w:t xml:space="preserve">ierre del </w:t>
      </w:r>
      <w:r w:rsidR="005A36A7">
        <w:rPr>
          <w:b/>
          <w:bCs/>
        </w:rPr>
        <w:t>E</w:t>
      </w:r>
      <w:r w:rsidRPr="00760D5A">
        <w:rPr>
          <w:b/>
          <w:bCs/>
        </w:rPr>
        <w:t xml:space="preserve">jercicio </w:t>
      </w:r>
      <w:r w:rsidR="005A36A7">
        <w:rPr>
          <w:b/>
          <w:bCs/>
        </w:rPr>
        <w:t>F</w:t>
      </w:r>
      <w:r w:rsidRPr="00760D5A">
        <w:rPr>
          <w:b/>
          <w:bCs/>
        </w:rPr>
        <w:t>iscal 2023</w:t>
      </w:r>
    </w:p>
    <w:p w14:paraId="131CC323" w14:textId="77777777" w:rsidR="00B545DE" w:rsidRDefault="00B545DE" w:rsidP="00B545DE">
      <w:pPr>
        <w:jc w:val="center"/>
      </w:pPr>
      <w:r w:rsidRPr="00CE6232">
        <w:rPr>
          <w:noProof/>
        </w:rPr>
        <w:drawing>
          <wp:inline distT="0" distB="0" distL="0" distR="0" wp14:anchorId="6E5EE172" wp14:editId="51B887C8">
            <wp:extent cx="5976345" cy="3781958"/>
            <wp:effectExtent l="0" t="0" r="5715" b="952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42898" cy="3824074"/>
                    </a:xfrm>
                    <a:prstGeom prst="rect">
                      <a:avLst/>
                    </a:prstGeom>
                    <a:noFill/>
                    <a:ln>
                      <a:noFill/>
                    </a:ln>
                  </pic:spPr>
                </pic:pic>
              </a:graphicData>
            </a:graphic>
          </wp:inline>
        </w:drawing>
      </w:r>
    </w:p>
    <w:p w14:paraId="5176D58E" w14:textId="6FBC1B75" w:rsidR="00B545DE" w:rsidRPr="005A36A7" w:rsidRDefault="00B545DE" w:rsidP="00B545DE">
      <w:pPr>
        <w:jc w:val="both"/>
        <w:rPr>
          <w:sz w:val="18"/>
          <w:szCs w:val="18"/>
        </w:rPr>
      </w:pPr>
      <w:r w:rsidRPr="005A36A7">
        <w:rPr>
          <w:bCs/>
          <w:sz w:val="18"/>
          <w:szCs w:val="18"/>
        </w:rPr>
        <w:t>Fuente: Ministerio de Finanzas Públicas</w:t>
      </w:r>
      <w:r w:rsidR="005A36A7" w:rsidRPr="005A36A7">
        <w:rPr>
          <w:sz w:val="18"/>
          <w:szCs w:val="18"/>
        </w:rPr>
        <w:t>.</w:t>
      </w:r>
    </w:p>
    <w:p w14:paraId="64593FDA" w14:textId="2F3DE00B" w:rsidR="005A36A7" w:rsidRPr="005A36A7" w:rsidRDefault="005A36A7" w:rsidP="00B545DE">
      <w:pPr>
        <w:jc w:val="both"/>
        <w:rPr>
          <w:szCs w:val="18"/>
        </w:rPr>
      </w:pPr>
    </w:p>
    <w:p w14:paraId="73C8DE69" w14:textId="77777777" w:rsidR="005A36A7" w:rsidRPr="005A36A7" w:rsidRDefault="005A36A7" w:rsidP="00B545DE">
      <w:pPr>
        <w:jc w:val="both"/>
        <w:rPr>
          <w:szCs w:val="18"/>
        </w:rPr>
      </w:pPr>
    </w:p>
    <w:p w14:paraId="56EB7922" w14:textId="1435DD82" w:rsidR="00B545DE" w:rsidRPr="00773793" w:rsidRDefault="00B545DE" w:rsidP="00B545DE">
      <w:pPr>
        <w:jc w:val="both"/>
      </w:pPr>
      <w:r w:rsidRPr="00773793">
        <w:t>Con los resultados anteriormente expuestos se prevé que la carga tributaria para 2023 se ubiqu</w:t>
      </w:r>
      <w:r w:rsidR="005A36A7">
        <w:t>e</w:t>
      </w:r>
      <w:r w:rsidRPr="00773793">
        <w:t xml:space="preserve"> en 11.7%, monto ligeramente inferior al observado en </w:t>
      </w:r>
      <w:r w:rsidR="005A36A7">
        <w:t xml:space="preserve">junio de </w:t>
      </w:r>
      <w:r w:rsidRPr="00773793">
        <w:t>2022</w:t>
      </w:r>
      <w:r w:rsidR="005A36A7">
        <w:t>,</w:t>
      </w:r>
      <w:r w:rsidRPr="00773793">
        <w:t xml:space="preserve"> esto</w:t>
      </w:r>
      <w:r w:rsidR="005A36A7">
        <w:t xml:space="preserve"> obedece</w:t>
      </w:r>
      <w:r w:rsidRPr="00773793">
        <w:t xml:space="preserve"> en parte </w:t>
      </w:r>
      <w:r w:rsidR="005A36A7">
        <w:t>al</w:t>
      </w:r>
      <w:r w:rsidRPr="00773793">
        <w:t xml:space="preserve"> el impacto de la caída en el precio internacional del petróleo y los problemas geopolíticos actuales. Este nivel de carga tributaria deriva </w:t>
      </w:r>
      <w:r w:rsidR="005A36A7">
        <w:t>de</w:t>
      </w:r>
      <w:r w:rsidRPr="00773793">
        <w:t xml:space="preserve"> la apertura de la economía de manera gradual y a los esfuerzos del ente recaudador para recobrar la senda positiva en la recaudación tributaria, incrementando la percepción de riesgo y mejorando por ende el cumplimiento voluntario. Además, de aspectos relevantes que ha logrado fortalecer el ente recaudador en la mejora de la valoración de mercancías en las aduanas, mayor eficiencia en los principales puertos del país, mejora en los planes internos de la SAT mediante la implementación de planes de fiscalización por sector económico y mejoras en la matriz de la percepción de riesgo y la implementación de los puestos de control interinstitucional (a la fecha van 7).</w:t>
      </w:r>
    </w:p>
    <w:p w14:paraId="2292F14F" w14:textId="7C0948DE" w:rsidR="00B545DE" w:rsidRDefault="00B545DE" w:rsidP="00B545DE">
      <w:pPr>
        <w:jc w:val="center"/>
      </w:pPr>
    </w:p>
    <w:p w14:paraId="0B3D6E0E" w14:textId="4EB3B6DF" w:rsidR="005A36A7" w:rsidRDefault="005A36A7" w:rsidP="00B545DE">
      <w:pPr>
        <w:jc w:val="center"/>
      </w:pPr>
    </w:p>
    <w:p w14:paraId="5F7B7428" w14:textId="1E2418FF" w:rsidR="005A36A7" w:rsidRDefault="005A36A7" w:rsidP="00B545DE">
      <w:pPr>
        <w:jc w:val="center"/>
      </w:pPr>
    </w:p>
    <w:p w14:paraId="69DFA8C7" w14:textId="445AD8B2" w:rsidR="005A36A7" w:rsidRDefault="005A36A7" w:rsidP="00B545DE">
      <w:pPr>
        <w:jc w:val="center"/>
      </w:pPr>
    </w:p>
    <w:p w14:paraId="6C380EE9" w14:textId="3DA0F037" w:rsidR="005A36A7" w:rsidRDefault="005A36A7" w:rsidP="00B545DE">
      <w:pPr>
        <w:jc w:val="center"/>
      </w:pPr>
    </w:p>
    <w:p w14:paraId="5B112AE3" w14:textId="7608633B" w:rsidR="005A36A7" w:rsidRDefault="005A36A7" w:rsidP="00B545DE">
      <w:pPr>
        <w:jc w:val="center"/>
      </w:pPr>
    </w:p>
    <w:p w14:paraId="3AD3D5C1" w14:textId="6BBC28C0" w:rsidR="007C7883" w:rsidRDefault="007C7883" w:rsidP="00B545DE">
      <w:pPr>
        <w:jc w:val="center"/>
      </w:pPr>
    </w:p>
    <w:p w14:paraId="2C742D36" w14:textId="77777777" w:rsidR="007C7883" w:rsidRDefault="007C7883" w:rsidP="00B545DE">
      <w:pPr>
        <w:jc w:val="center"/>
      </w:pPr>
    </w:p>
    <w:p w14:paraId="76B3D249" w14:textId="7C2A3428" w:rsidR="005A36A7" w:rsidRDefault="005A36A7" w:rsidP="00B545DE">
      <w:pPr>
        <w:jc w:val="center"/>
      </w:pPr>
    </w:p>
    <w:p w14:paraId="7A1FE08F" w14:textId="77777777" w:rsidR="00287370" w:rsidRDefault="00287370" w:rsidP="00B545DE">
      <w:pPr>
        <w:jc w:val="center"/>
      </w:pPr>
    </w:p>
    <w:p w14:paraId="7A402303" w14:textId="6CDD7915" w:rsidR="00B545DE" w:rsidRPr="00773793" w:rsidRDefault="00B545DE" w:rsidP="00B545DE">
      <w:pPr>
        <w:keepNext/>
        <w:jc w:val="center"/>
        <w:rPr>
          <w:b/>
          <w:iCs/>
          <w:color w:val="000000" w:themeColor="text2"/>
          <w:lang w:val="es-GT" w:eastAsia="en-US"/>
        </w:rPr>
      </w:pPr>
      <w:r w:rsidRPr="00773793">
        <w:rPr>
          <w:b/>
          <w:iCs/>
          <w:lang w:val="es-GT" w:eastAsia="en-US"/>
        </w:rPr>
        <w:t>Gráfic</w:t>
      </w:r>
      <w:r w:rsidR="000E33A6">
        <w:rPr>
          <w:b/>
          <w:iCs/>
          <w:lang w:val="es-GT" w:eastAsia="en-US"/>
        </w:rPr>
        <w:t>a 30</w:t>
      </w:r>
      <w:r w:rsidRPr="00773793">
        <w:rPr>
          <w:b/>
          <w:iCs/>
          <w:lang w:val="es-GT" w:eastAsia="en-US"/>
        </w:rPr>
        <w:t xml:space="preserve">.  Evolución de la </w:t>
      </w:r>
      <w:r w:rsidR="005A36A7">
        <w:rPr>
          <w:b/>
          <w:iCs/>
          <w:lang w:val="es-GT" w:eastAsia="en-US"/>
        </w:rPr>
        <w:t>C</w:t>
      </w:r>
      <w:r w:rsidRPr="00773793">
        <w:rPr>
          <w:b/>
          <w:iCs/>
          <w:lang w:val="es-GT" w:eastAsia="en-US"/>
        </w:rPr>
        <w:t xml:space="preserve">arga </w:t>
      </w:r>
      <w:r w:rsidR="005A36A7">
        <w:rPr>
          <w:b/>
          <w:iCs/>
          <w:lang w:val="es-GT" w:eastAsia="en-US"/>
        </w:rPr>
        <w:t>T</w:t>
      </w:r>
      <w:r w:rsidRPr="00773793">
        <w:rPr>
          <w:b/>
          <w:iCs/>
          <w:lang w:val="es-GT" w:eastAsia="en-US"/>
        </w:rPr>
        <w:t>ributaria</w:t>
      </w:r>
    </w:p>
    <w:p w14:paraId="098C1697" w14:textId="5730393E" w:rsidR="00B545DE" w:rsidRPr="00B00FC6" w:rsidRDefault="00B00FC6" w:rsidP="00B545DE">
      <w:pPr>
        <w:jc w:val="center"/>
        <w:rPr>
          <w:b/>
        </w:rPr>
      </w:pPr>
      <w:r w:rsidRPr="00B00FC6">
        <w:rPr>
          <w:b/>
        </w:rPr>
        <w:t xml:space="preserve">(En </w:t>
      </w:r>
      <w:r w:rsidR="00B545DE" w:rsidRPr="00B00FC6">
        <w:rPr>
          <w:b/>
        </w:rPr>
        <w:t>Porcentajes</w:t>
      </w:r>
      <w:r w:rsidRPr="00B00FC6">
        <w:rPr>
          <w:b/>
        </w:rPr>
        <w:t>)</w:t>
      </w:r>
    </w:p>
    <w:p w14:paraId="5E4B52EE" w14:textId="77777777" w:rsidR="00B545DE" w:rsidRPr="00773793" w:rsidRDefault="00B545DE" w:rsidP="00B545DE">
      <w:pPr>
        <w:jc w:val="center"/>
      </w:pPr>
      <w:r w:rsidRPr="00773793">
        <w:rPr>
          <w:noProof/>
          <w:lang w:val="es-GT" w:eastAsia="es-GT"/>
        </w:rPr>
        <w:drawing>
          <wp:inline distT="0" distB="0" distL="0" distR="0" wp14:anchorId="7B877A49" wp14:editId="2BCC297E">
            <wp:extent cx="5859475" cy="3562502"/>
            <wp:effectExtent l="0" t="0" r="8255" b="0"/>
            <wp:docPr id="249" name="Gráfico 2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35F41BE" w14:textId="02D80F42" w:rsidR="00B545DE" w:rsidRPr="00B00FC6" w:rsidRDefault="00B545DE" w:rsidP="00B545DE">
      <w:pPr>
        <w:rPr>
          <w:bCs/>
          <w:sz w:val="20"/>
        </w:rPr>
      </w:pPr>
      <w:r w:rsidRPr="00B00FC6">
        <w:rPr>
          <w:sz w:val="18"/>
          <w:szCs w:val="18"/>
        </w:rPr>
        <w:t xml:space="preserve">Fuente: </w:t>
      </w:r>
      <w:r w:rsidR="00B00FC6">
        <w:rPr>
          <w:sz w:val="18"/>
          <w:szCs w:val="18"/>
        </w:rPr>
        <w:t>Ministerio de Finanzas Públicas</w:t>
      </w:r>
      <w:r w:rsidRPr="00B00FC6">
        <w:rPr>
          <w:sz w:val="18"/>
          <w:szCs w:val="18"/>
        </w:rPr>
        <w:t>.</w:t>
      </w:r>
    </w:p>
    <w:p w14:paraId="7869C0E1" w14:textId="77777777" w:rsidR="00B545DE" w:rsidRPr="00773793" w:rsidRDefault="00B545DE" w:rsidP="00B545DE">
      <w:pPr>
        <w:widowControl w:val="0"/>
        <w:autoSpaceDE w:val="0"/>
        <w:autoSpaceDN w:val="0"/>
        <w:adjustRightInd w:val="0"/>
        <w:jc w:val="both"/>
        <w:rPr>
          <w:color w:val="000000"/>
        </w:rPr>
      </w:pPr>
    </w:p>
    <w:p w14:paraId="0C19740C" w14:textId="77777777" w:rsidR="00B545DE" w:rsidRDefault="00B545DE" w:rsidP="00B545DE">
      <w:pPr>
        <w:rPr>
          <w:bCs/>
          <w:sz w:val="18"/>
        </w:rPr>
      </w:pPr>
    </w:p>
    <w:p w14:paraId="4785B106" w14:textId="2351C426" w:rsidR="00B545DE" w:rsidRPr="00324312" w:rsidRDefault="00B545DE" w:rsidP="00B545DE">
      <w:pPr>
        <w:jc w:val="both"/>
      </w:pPr>
      <w:r w:rsidRPr="00324312">
        <w:t>Los ingresos no tributarios, por su parte, muestran un comportamiento bastante dinámico</w:t>
      </w:r>
      <w:r w:rsidR="00B00FC6">
        <w:t>;</w:t>
      </w:r>
      <w:r w:rsidRPr="00324312">
        <w:t xml:space="preserve"> se observa una recaudación al 30 de junio de</w:t>
      </w:r>
      <w:r w:rsidR="00B00FC6">
        <w:t xml:space="preserve"> 2023,</w:t>
      </w:r>
      <w:r w:rsidRPr="00324312">
        <w:t xml:space="preserve"> </w:t>
      </w:r>
      <w:r w:rsidR="00B00FC6">
        <w:t xml:space="preserve">de </w:t>
      </w:r>
      <w:r w:rsidRPr="00324312">
        <w:t>Q</w:t>
      </w:r>
      <w:r w:rsidR="00B00FC6">
        <w:t>.</w:t>
      </w:r>
      <w:r w:rsidRPr="00324312">
        <w:t>2,552.5 millones, representando el 53.7% del presupuesto, destacando en este caso los ingresos proveniente</w:t>
      </w:r>
      <w:r>
        <w:t>s</w:t>
      </w:r>
      <w:r w:rsidRPr="00324312">
        <w:t xml:space="preserve"> de aportes a la previsión social</w:t>
      </w:r>
      <w:r>
        <w:t>,</w:t>
      </w:r>
      <w:r w:rsidRPr="00324312">
        <w:t xml:space="preserve"> los cuales muestran una recaudación de Q</w:t>
      </w:r>
      <w:r w:rsidR="00B00FC6">
        <w:t>.</w:t>
      </w:r>
      <w:r w:rsidRPr="00324312">
        <w:t>1,460.2 millones. Asimismo, los ingresos por rentas de la propiedad muestran un</w:t>
      </w:r>
      <w:r>
        <w:t>a</w:t>
      </w:r>
      <w:r w:rsidRPr="00324312">
        <w:t xml:space="preserve"> recaudación de Q</w:t>
      </w:r>
      <w:r w:rsidR="00B00FC6">
        <w:t>.</w:t>
      </w:r>
      <w:r w:rsidRPr="00324312">
        <w:t>356.9 millones, que superan el monto presupuestado, debido al dinamismo de los ingresos por dividendos asociados a empresas públicas y otras participaciones de capital del gobierno. De esa cuenta, se espera que al cierre del año</w:t>
      </w:r>
      <w:r w:rsidR="00B00FC6">
        <w:t>,</w:t>
      </w:r>
      <w:r w:rsidRPr="00324312">
        <w:t xml:space="preserve"> el total de ingresos no tributarios se ubique en torno a los Q</w:t>
      </w:r>
      <w:r w:rsidR="00B00FC6">
        <w:t>.</w:t>
      </w:r>
      <w:r w:rsidRPr="00324312">
        <w:t>4,677.6 millones, representando el 98.5% del presupuesto previsto al inicio de año.</w:t>
      </w:r>
    </w:p>
    <w:p w14:paraId="6EE503A6" w14:textId="77777777" w:rsidR="00B545DE" w:rsidRDefault="00B545DE" w:rsidP="00B545DE">
      <w:pPr>
        <w:rPr>
          <w:bCs/>
          <w:sz w:val="18"/>
        </w:rPr>
      </w:pPr>
    </w:p>
    <w:p w14:paraId="62C9FAA7" w14:textId="77777777" w:rsidR="00B545DE" w:rsidRDefault="00B545DE" w:rsidP="00B545DE">
      <w:pPr>
        <w:rPr>
          <w:bCs/>
          <w:sz w:val="18"/>
        </w:rPr>
      </w:pPr>
    </w:p>
    <w:p w14:paraId="79A1C28A" w14:textId="77777777" w:rsidR="00B545DE" w:rsidRDefault="00B545DE" w:rsidP="00B545DE">
      <w:pPr>
        <w:rPr>
          <w:bCs/>
          <w:sz w:val="18"/>
        </w:rPr>
      </w:pPr>
    </w:p>
    <w:p w14:paraId="4DB11B39" w14:textId="77777777" w:rsidR="00B545DE" w:rsidRDefault="00B545DE" w:rsidP="00B545DE">
      <w:pPr>
        <w:rPr>
          <w:bCs/>
          <w:sz w:val="18"/>
        </w:rPr>
      </w:pPr>
    </w:p>
    <w:p w14:paraId="1E6E338C" w14:textId="74A51B78" w:rsidR="00B545DE" w:rsidRDefault="00B545DE" w:rsidP="00B545DE">
      <w:pPr>
        <w:rPr>
          <w:bCs/>
          <w:sz w:val="18"/>
        </w:rPr>
      </w:pPr>
    </w:p>
    <w:p w14:paraId="7D1BC1A7" w14:textId="2CE115A3" w:rsidR="00B00FC6" w:rsidRDefault="00B00FC6" w:rsidP="00B545DE">
      <w:pPr>
        <w:rPr>
          <w:bCs/>
          <w:sz w:val="18"/>
        </w:rPr>
      </w:pPr>
    </w:p>
    <w:p w14:paraId="5207CC54" w14:textId="1036A29D" w:rsidR="00B00FC6" w:rsidRDefault="00B00FC6" w:rsidP="00B545DE">
      <w:pPr>
        <w:rPr>
          <w:bCs/>
          <w:sz w:val="18"/>
        </w:rPr>
      </w:pPr>
    </w:p>
    <w:p w14:paraId="1B090A53" w14:textId="44DDC8DA" w:rsidR="00B00FC6" w:rsidRDefault="00B00FC6" w:rsidP="00B545DE">
      <w:pPr>
        <w:rPr>
          <w:bCs/>
          <w:sz w:val="18"/>
        </w:rPr>
      </w:pPr>
    </w:p>
    <w:p w14:paraId="0B6F1D9A" w14:textId="40CF5E95" w:rsidR="00B00FC6" w:rsidRDefault="00B00FC6" w:rsidP="00B545DE">
      <w:pPr>
        <w:rPr>
          <w:bCs/>
          <w:sz w:val="18"/>
        </w:rPr>
      </w:pPr>
    </w:p>
    <w:p w14:paraId="6E6C5876" w14:textId="4D8A9B01" w:rsidR="00B00FC6" w:rsidRDefault="00B00FC6" w:rsidP="00B545DE">
      <w:pPr>
        <w:rPr>
          <w:bCs/>
          <w:sz w:val="18"/>
        </w:rPr>
      </w:pPr>
    </w:p>
    <w:p w14:paraId="5969642E" w14:textId="3B352B5A" w:rsidR="00B00FC6" w:rsidRDefault="00B00FC6" w:rsidP="00B545DE">
      <w:pPr>
        <w:rPr>
          <w:bCs/>
          <w:sz w:val="18"/>
        </w:rPr>
      </w:pPr>
    </w:p>
    <w:p w14:paraId="01CCF217" w14:textId="2E702064" w:rsidR="00B00FC6" w:rsidRDefault="00B00FC6" w:rsidP="00B545DE">
      <w:pPr>
        <w:rPr>
          <w:bCs/>
          <w:sz w:val="18"/>
        </w:rPr>
      </w:pPr>
    </w:p>
    <w:p w14:paraId="1E977379" w14:textId="3335BCF4" w:rsidR="00B00FC6" w:rsidRDefault="00B00FC6" w:rsidP="00B545DE">
      <w:pPr>
        <w:rPr>
          <w:bCs/>
          <w:sz w:val="18"/>
        </w:rPr>
      </w:pPr>
    </w:p>
    <w:p w14:paraId="2F9EA7DF" w14:textId="749AD792" w:rsidR="00B00FC6" w:rsidRDefault="00B00FC6" w:rsidP="00B545DE">
      <w:pPr>
        <w:rPr>
          <w:bCs/>
          <w:sz w:val="18"/>
        </w:rPr>
      </w:pPr>
    </w:p>
    <w:p w14:paraId="04BC5389" w14:textId="77777777" w:rsidR="00B545DE" w:rsidRDefault="00B545DE" w:rsidP="00B545DE">
      <w:pPr>
        <w:rPr>
          <w:bCs/>
          <w:sz w:val="18"/>
        </w:rPr>
      </w:pPr>
    </w:p>
    <w:p w14:paraId="2689B7FF" w14:textId="09F3161A" w:rsidR="00B545DE" w:rsidRPr="00044BB8" w:rsidRDefault="000E33A6" w:rsidP="00B545DE">
      <w:pPr>
        <w:jc w:val="center"/>
        <w:rPr>
          <w:b/>
          <w:szCs w:val="36"/>
        </w:rPr>
      </w:pPr>
      <w:r>
        <w:rPr>
          <w:b/>
          <w:szCs w:val="36"/>
        </w:rPr>
        <w:t>Cuadro 20</w:t>
      </w:r>
      <w:r w:rsidR="00B545DE">
        <w:rPr>
          <w:b/>
          <w:szCs w:val="36"/>
        </w:rPr>
        <w:t xml:space="preserve">. </w:t>
      </w:r>
      <w:r w:rsidR="00B545DE" w:rsidRPr="00044BB8">
        <w:rPr>
          <w:b/>
          <w:szCs w:val="36"/>
        </w:rPr>
        <w:t>Ingresos No Tributarios</w:t>
      </w:r>
    </w:p>
    <w:p w14:paraId="0C647D9E" w14:textId="77777777" w:rsidR="00B545DE" w:rsidRPr="00044BB8" w:rsidRDefault="00B545DE" w:rsidP="00B545DE">
      <w:pPr>
        <w:jc w:val="center"/>
        <w:rPr>
          <w:b/>
          <w:szCs w:val="36"/>
        </w:rPr>
      </w:pPr>
      <w:r w:rsidRPr="00044BB8">
        <w:rPr>
          <w:b/>
          <w:szCs w:val="36"/>
        </w:rPr>
        <w:t>Presupuesto, Estimación y Ejecución al 30 de junio de 2023</w:t>
      </w:r>
    </w:p>
    <w:p w14:paraId="0633D0EC" w14:textId="22FB3CE7" w:rsidR="00B545DE" w:rsidRPr="00805D14" w:rsidRDefault="00805D14" w:rsidP="00B545DE">
      <w:pPr>
        <w:jc w:val="center"/>
        <w:rPr>
          <w:b/>
          <w:bCs/>
          <w:szCs w:val="32"/>
        </w:rPr>
      </w:pPr>
      <w:r w:rsidRPr="00805D14">
        <w:rPr>
          <w:b/>
          <w:bCs/>
          <w:szCs w:val="32"/>
        </w:rPr>
        <w:t xml:space="preserve">(En </w:t>
      </w:r>
      <w:r w:rsidR="00B545DE" w:rsidRPr="00805D14">
        <w:rPr>
          <w:b/>
          <w:bCs/>
          <w:szCs w:val="32"/>
        </w:rPr>
        <w:t xml:space="preserve">Millones de </w:t>
      </w:r>
      <w:r w:rsidRPr="00805D14">
        <w:rPr>
          <w:b/>
          <w:bCs/>
          <w:szCs w:val="32"/>
        </w:rPr>
        <w:t>Q</w:t>
      </w:r>
      <w:r w:rsidR="00B545DE" w:rsidRPr="00805D14">
        <w:rPr>
          <w:b/>
          <w:bCs/>
          <w:szCs w:val="32"/>
        </w:rPr>
        <w:t>uetzales</w:t>
      </w:r>
      <w:r w:rsidRPr="00805D14">
        <w:rPr>
          <w:b/>
          <w:bCs/>
          <w:szCs w:val="32"/>
        </w:rPr>
        <w:t>)</w:t>
      </w:r>
    </w:p>
    <w:tbl>
      <w:tblPr>
        <w:tblW w:w="8331" w:type="dxa"/>
        <w:jc w:val="center"/>
        <w:tblCellMar>
          <w:left w:w="70" w:type="dxa"/>
          <w:right w:w="70" w:type="dxa"/>
        </w:tblCellMar>
        <w:tblLook w:val="04A0" w:firstRow="1" w:lastRow="0" w:firstColumn="1" w:lastColumn="0" w:noHBand="0" w:noVBand="1"/>
      </w:tblPr>
      <w:tblGrid>
        <w:gridCol w:w="199"/>
        <w:gridCol w:w="3664"/>
        <w:gridCol w:w="1489"/>
        <w:gridCol w:w="1442"/>
        <w:gridCol w:w="1537"/>
      </w:tblGrid>
      <w:tr w:rsidR="00805D14" w:rsidRPr="00805D14" w14:paraId="4F60AA53" w14:textId="77777777" w:rsidTr="00805D14">
        <w:trPr>
          <w:trHeight w:val="474"/>
          <w:jc w:val="center"/>
        </w:trPr>
        <w:tc>
          <w:tcPr>
            <w:tcW w:w="3863" w:type="dxa"/>
            <w:gridSpan w:val="2"/>
            <w:vMerge w:val="restart"/>
            <w:tcBorders>
              <w:top w:val="single" w:sz="8" w:space="0" w:color="auto"/>
              <w:left w:val="single" w:sz="8" w:space="0" w:color="auto"/>
              <w:bottom w:val="single" w:sz="8" w:space="0" w:color="000000"/>
              <w:right w:val="single" w:sz="8" w:space="0" w:color="000000"/>
            </w:tcBorders>
            <w:shd w:val="clear" w:color="auto" w:fill="00B0F0"/>
            <w:vAlign w:val="center"/>
            <w:hideMark/>
          </w:tcPr>
          <w:p w14:paraId="0CE29BE5" w14:textId="77777777" w:rsidR="00B545DE" w:rsidRPr="00805D14" w:rsidRDefault="00B545DE" w:rsidP="00B545DE">
            <w:pPr>
              <w:jc w:val="center"/>
              <w:rPr>
                <w:b/>
                <w:bCs/>
                <w:sz w:val="20"/>
                <w:szCs w:val="20"/>
                <w:lang w:val="es-GT" w:eastAsia="es-GT"/>
              </w:rPr>
            </w:pPr>
            <w:r w:rsidRPr="00805D14">
              <w:rPr>
                <w:b/>
                <w:bCs/>
                <w:sz w:val="20"/>
                <w:szCs w:val="20"/>
                <w:lang w:val="es-GT" w:eastAsia="es-GT"/>
              </w:rPr>
              <w:t>Descripción</w:t>
            </w:r>
          </w:p>
        </w:tc>
        <w:tc>
          <w:tcPr>
            <w:tcW w:w="1489" w:type="dxa"/>
            <w:vMerge w:val="restart"/>
            <w:tcBorders>
              <w:top w:val="single" w:sz="8" w:space="0" w:color="auto"/>
              <w:left w:val="single" w:sz="8" w:space="0" w:color="auto"/>
              <w:bottom w:val="single" w:sz="8" w:space="0" w:color="000000"/>
              <w:right w:val="single" w:sz="4" w:space="0" w:color="auto"/>
            </w:tcBorders>
            <w:shd w:val="clear" w:color="auto" w:fill="00B0F0"/>
            <w:vAlign w:val="center"/>
            <w:hideMark/>
          </w:tcPr>
          <w:p w14:paraId="6C834F78" w14:textId="77777777" w:rsidR="00B545DE" w:rsidRPr="00805D14" w:rsidRDefault="00B545DE" w:rsidP="00B545DE">
            <w:pPr>
              <w:jc w:val="center"/>
              <w:rPr>
                <w:b/>
                <w:bCs/>
                <w:sz w:val="22"/>
                <w:szCs w:val="22"/>
                <w:lang w:val="es-GT" w:eastAsia="es-GT"/>
              </w:rPr>
            </w:pPr>
            <w:r w:rsidRPr="00805D14">
              <w:rPr>
                <w:b/>
                <w:bCs/>
                <w:sz w:val="22"/>
                <w:szCs w:val="22"/>
                <w:lang w:val="es-GT" w:eastAsia="es-GT"/>
              </w:rPr>
              <w:t xml:space="preserve">Presupuesto </w:t>
            </w:r>
          </w:p>
        </w:tc>
        <w:tc>
          <w:tcPr>
            <w:tcW w:w="144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048CA00A" w14:textId="77777777" w:rsidR="00B545DE" w:rsidRPr="00805D14" w:rsidRDefault="00B545DE" w:rsidP="00B545DE">
            <w:pPr>
              <w:jc w:val="center"/>
              <w:rPr>
                <w:b/>
                <w:bCs/>
                <w:sz w:val="22"/>
                <w:szCs w:val="22"/>
                <w:lang w:val="es-GT" w:eastAsia="es-GT"/>
              </w:rPr>
            </w:pPr>
            <w:r w:rsidRPr="00805D14">
              <w:rPr>
                <w:b/>
                <w:bCs/>
                <w:sz w:val="22"/>
                <w:szCs w:val="22"/>
                <w:lang w:val="es-GT" w:eastAsia="es-GT"/>
              </w:rPr>
              <w:t xml:space="preserve">Estimación de Cierre </w:t>
            </w:r>
          </w:p>
        </w:tc>
        <w:tc>
          <w:tcPr>
            <w:tcW w:w="1537"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21E45369" w14:textId="5DD76399" w:rsidR="00B545DE" w:rsidRPr="00805D14" w:rsidRDefault="00B545DE" w:rsidP="00B545DE">
            <w:pPr>
              <w:jc w:val="center"/>
              <w:rPr>
                <w:b/>
                <w:bCs/>
                <w:sz w:val="22"/>
                <w:szCs w:val="22"/>
                <w:lang w:val="es-GT" w:eastAsia="es-GT"/>
              </w:rPr>
            </w:pPr>
            <w:r w:rsidRPr="00805D14">
              <w:rPr>
                <w:b/>
                <w:bCs/>
                <w:sz w:val="22"/>
                <w:szCs w:val="22"/>
                <w:lang w:val="es-GT" w:eastAsia="es-GT"/>
              </w:rPr>
              <w:t xml:space="preserve">Recaudado al 30 de </w:t>
            </w:r>
            <w:r w:rsidR="00805D14">
              <w:rPr>
                <w:b/>
                <w:bCs/>
                <w:sz w:val="22"/>
                <w:szCs w:val="22"/>
                <w:lang w:val="es-GT" w:eastAsia="es-GT"/>
              </w:rPr>
              <w:t>j</w:t>
            </w:r>
            <w:r w:rsidRPr="00805D14">
              <w:rPr>
                <w:b/>
                <w:bCs/>
                <w:sz w:val="22"/>
                <w:szCs w:val="22"/>
                <w:lang w:val="es-GT" w:eastAsia="es-GT"/>
              </w:rPr>
              <w:t>unio</w:t>
            </w:r>
          </w:p>
        </w:tc>
      </w:tr>
      <w:tr w:rsidR="00B545DE" w:rsidRPr="00044BB8" w14:paraId="6884E698" w14:textId="77777777" w:rsidTr="00805D14">
        <w:trPr>
          <w:trHeight w:val="276"/>
          <w:jc w:val="center"/>
        </w:trPr>
        <w:tc>
          <w:tcPr>
            <w:tcW w:w="3863" w:type="dxa"/>
            <w:gridSpan w:val="2"/>
            <w:vMerge/>
            <w:tcBorders>
              <w:top w:val="single" w:sz="8" w:space="0" w:color="auto"/>
              <w:left w:val="single" w:sz="8" w:space="0" w:color="auto"/>
              <w:bottom w:val="single" w:sz="8" w:space="0" w:color="000000"/>
              <w:right w:val="single" w:sz="8" w:space="0" w:color="000000"/>
            </w:tcBorders>
            <w:shd w:val="clear" w:color="auto" w:fill="00B0F0"/>
            <w:vAlign w:val="center"/>
            <w:hideMark/>
          </w:tcPr>
          <w:p w14:paraId="4A73216C" w14:textId="77777777" w:rsidR="00B545DE" w:rsidRPr="00044BB8" w:rsidRDefault="00B545DE" w:rsidP="00B545DE">
            <w:pPr>
              <w:rPr>
                <w:b/>
                <w:bCs/>
                <w:color w:val="FFFFFF"/>
                <w:sz w:val="20"/>
                <w:szCs w:val="20"/>
                <w:lang w:val="es-GT" w:eastAsia="es-GT"/>
              </w:rPr>
            </w:pPr>
          </w:p>
        </w:tc>
        <w:tc>
          <w:tcPr>
            <w:tcW w:w="1489"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3DD5FBF5" w14:textId="77777777" w:rsidR="00B545DE" w:rsidRPr="00044BB8" w:rsidRDefault="00B545DE" w:rsidP="00B545DE">
            <w:pPr>
              <w:rPr>
                <w:b/>
                <w:bCs/>
                <w:color w:val="FFFFFF"/>
                <w:sz w:val="22"/>
                <w:szCs w:val="22"/>
                <w:lang w:val="es-GT" w:eastAsia="es-GT"/>
              </w:rPr>
            </w:pPr>
          </w:p>
        </w:tc>
        <w:tc>
          <w:tcPr>
            <w:tcW w:w="144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552FCA08" w14:textId="77777777" w:rsidR="00B545DE" w:rsidRPr="00044BB8" w:rsidRDefault="00B545DE" w:rsidP="00B545DE">
            <w:pPr>
              <w:rPr>
                <w:b/>
                <w:bCs/>
                <w:color w:val="FFFFFF"/>
                <w:sz w:val="22"/>
                <w:szCs w:val="22"/>
                <w:lang w:val="es-GT" w:eastAsia="es-GT"/>
              </w:rPr>
            </w:pPr>
          </w:p>
        </w:tc>
        <w:tc>
          <w:tcPr>
            <w:tcW w:w="1537"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2566818E" w14:textId="77777777" w:rsidR="00B545DE" w:rsidRPr="00044BB8" w:rsidRDefault="00B545DE" w:rsidP="00B545DE">
            <w:pPr>
              <w:rPr>
                <w:b/>
                <w:bCs/>
                <w:color w:val="FFFFFF"/>
                <w:sz w:val="22"/>
                <w:szCs w:val="22"/>
                <w:lang w:val="es-GT" w:eastAsia="es-GT"/>
              </w:rPr>
            </w:pPr>
          </w:p>
        </w:tc>
      </w:tr>
      <w:tr w:rsidR="00B545DE" w:rsidRPr="00044BB8" w14:paraId="77626FBD" w14:textId="77777777" w:rsidTr="00805D14">
        <w:trPr>
          <w:trHeight w:val="237"/>
          <w:jc w:val="center"/>
        </w:trPr>
        <w:tc>
          <w:tcPr>
            <w:tcW w:w="3863" w:type="dxa"/>
            <w:gridSpan w:val="2"/>
            <w:tcBorders>
              <w:top w:val="nil"/>
              <w:left w:val="single" w:sz="8" w:space="0" w:color="auto"/>
              <w:bottom w:val="nil"/>
              <w:right w:val="single" w:sz="8" w:space="0" w:color="000000"/>
            </w:tcBorders>
            <w:shd w:val="clear" w:color="000000" w:fill="FFFFFF"/>
            <w:noWrap/>
            <w:vAlign w:val="center"/>
            <w:hideMark/>
          </w:tcPr>
          <w:p w14:paraId="4D8F5665" w14:textId="77777777" w:rsidR="00B545DE" w:rsidRPr="00044BB8" w:rsidRDefault="00B545DE" w:rsidP="00B545DE">
            <w:pPr>
              <w:rPr>
                <w:b/>
                <w:bCs/>
                <w:sz w:val="20"/>
                <w:szCs w:val="20"/>
                <w:lang w:val="es-GT" w:eastAsia="es-GT"/>
              </w:rPr>
            </w:pPr>
            <w:r w:rsidRPr="00044BB8">
              <w:rPr>
                <w:b/>
                <w:bCs/>
                <w:sz w:val="20"/>
                <w:szCs w:val="20"/>
                <w:lang w:val="es-GT" w:eastAsia="es-GT"/>
              </w:rPr>
              <w:t>Ingresos no Tributarios</w:t>
            </w:r>
          </w:p>
        </w:tc>
        <w:tc>
          <w:tcPr>
            <w:tcW w:w="1489" w:type="dxa"/>
            <w:tcBorders>
              <w:top w:val="nil"/>
              <w:left w:val="nil"/>
              <w:bottom w:val="nil"/>
              <w:right w:val="single" w:sz="4" w:space="0" w:color="auto"/>
            </w:tcBorders>
            <w:shd w:val="clear" w:color="000000" w:fill="FFFFFF"/>
            <w:noWrap/>
            <w:vAlign w:val="bottom"/>
            <w:hideMark/>
          </w:tcPr>
          <w:p w14:paraId="0EF2403A"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874.6</w:t>
            </w:r>
          </w:p>
        </w:tc>
        <w:tc>
          <w:tcPr>
            <w:tcW w:w="1442" w:type="dxa"/>
            <w:tcBorders>
              <w:top w:val="nil"/>
              <w:left w:val="single" w:sz="4" w:space="0" w:color="auto"/>
              <w:bottom w:val="nil"/>
              <w:right w:val="single" w:sz="4" w:space="0" w:color="auto"/>
            </w:tcBorders>
            <w:shd w:val="clear" w:color="000000" w:fill="FFFFFF"/>
            <w:noWrap/>
            <w:vAlign w:val="bottom"/>
            <w:hideMark/>
          </w:tcPr>
          <w:p w14:paraId="7E96BB3F"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832.8</w:t>
            </w:r>
          </w:p>
        </w:tc>
        <w:tc>
          <w:tcPr>
            <w:tcW w:w="1537" w:type="dxa"/>
            <w:tcBorders>
              <w:top w:val="nil"/>
              <w:left w:val="nil"/>
              <w:bottom w:val="nil"/>
              <w:right w:val="single" w:sz="8" w:space="0" w:color="auto"/>
            </w:tcBorders>
            <w:shd w:val="clear" w:color="000000" w:fill="FFFFFF"/>
            <w:noWrap/>
            <w:vAlign w:val="bottom"/>
            <w:hideMark/>
          </w:tcPr>
          <w:p w14:paraId="779A5958"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440.4</w:t>
            </w:r>
          </w:p>
        </w:tc>
      </w:tr>
      <w:tr w:rsidR="00B545DE" w:rsidRPr="00044BB8" w14:paraId="6E5A37A4"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16659FB9"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53AD2BA3" w14:textId="3E28CBF6"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Derechos</w:t>
            </w:r>
          </w:p>
        </w:tc>
        <w:tc>
          <w:tcPr>
            <w:tcW w:w="1489" w:type="dxa"/>
            <w:tcBorders>
              <w:top w:val="nil"/>
              <w:left w:val="nil"/>
              <w:bottom w:val="nil"/>
              <w:right w:val="single" w:sz="4" w:space="0" w:color="auto"/>
            </w:tcBorders>
            <w:shd w:val="clear" w:color="000000" w:fill="FFFFFF"/>
            <w:noWrap/>
            <w:vAlign w:val="bottom"/>
            <w:hideMark/>
          </w:tcPr>
          <w:p w14:paraId="356FE53B"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85.8</w:t>
            </w:r>
          </w:p>
        </w:tc>
        <w:tc>
          <w:tcPr>
            <w:tcW w:w="1442" w:type="dxa"/>
            <w:tcBorders>
              <w:top w:val="nil"/>
              <w:left w:val="single" w:sz="4" w:space="0" w:color="auto"/>
              <w:bottom w:val="nil"/>
              <w:right w:val="single" w:sz="4" w:space="0" w:color="auto"/>
            </w:tcBorders>
            <w:shd w:val="clear" w:color="000000" w:fill="FFFFFF"/>
            <w:noWrap/>
            <w:vAlign w:val="bottom"/>
            <w:hideMark/>
          </w:tcPr>
          <w:p w14:paraId="20B9DA2F"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90.4</w:t>
            </w:r>
          </w:p>
        </w:tc>
        <w:tc>
          <w:tcPr>
            <w:tcW w:w="1537" w:type="dxa"/>
            <w:tcBorders>
              <w:top w:val="nil"/>
              <w:left w:val="nil"/>
              <w:bottom w:val="nil"/>
              <w:right w:val="single" w:sz="8" w:space="0" w:color="auto"/>
            </w:tcBorders>
            <w:shd w:val="clear" w:color="000000" w:fill="FFFFFF"/>
            <w:noWrap/>
            <w:vAlign w:val="bottom"/>
            <w:hideMark/>
          </w:tcPr>
          <w:p w14:paraId="14F3F712"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41.8</w:t>
            </w:r>
          </w:p>
        </w:tc>
      </w:tr>
      <w:tr w:rsidR="00B545DE" w:rsidRPr="00044BB8" w14:paraId="37023048"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16158112"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520557FE" w14:textId="6A3CE2B1"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Tasas</w:t>
            </w:r>
          </w:p>
        </w:tc>
        <w:tc>
          <w:tcPr>
            <w:tcW w:w="1489" w:type="dxa"/>
            <w:tcBorders>
              <w:top w:val="nil"/>
              <w:left w:val="nil"/>
              <w:bottom w:val="nil"/>
              <w:right w:val="single" w:sz="4" w:space="0" w:color="auto"/>
            </w:tcBorders>
            <w:shd w:val="clear" w:color="000000" w:fill="FFFFFF"/>
            <w:noWrap/>
            <w:vAlign w:val="bottom"/>
            <w:hideMark/>
          </w:tcPr>
          <w:p w14:paraId="320D9DEA"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423.7</w:t>
            </w:r>
          </w:p>
        </w:tc>
        <w:tc>
          <w:tcPr>
            <w:tcW w:w="1442" w:type="dxa"/>
            <w:tcBorders>
              <w:top w:val="nil"/>
              <w:left w:val="single" w:sz="4" w:space="0" w:color="auto"/>
              <w:bottom w:val="nil"/>
              <w:right w:val="single" w:sz="4" w:space="0" w:color="auto"/>
            </w:tcBorders>
            <w:shd w:val="clear" w:color="000000" w:fill="FFFFFF"/>
            <w:noWrap/>
            <w:vAlign w:val="bottom"/>
            <w:hideMark/>
          </w:tcPr>
          <w:p w14:paraId="4F6FF066"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340.4</w:t>
            </w:r>
          </w:p>
        </w:tc>
        <w:tc>
          <w:tcPr>
            <w:tcW w:w="1537" w:type="dxa"/>
            <w:tcBorders>
              <w:top w:val="nil"/>
              <w:left w:val="nil"/>
              <w:bottom w:val="nil"/>
              <w:right w:val="single" w:sz="8" w:space="0" w:color="auto"/>
            </w:tcBorders>
            <w:shd w:val="clear" w:color="000000" w:fill="FFFFFF"/>
            <w:noWrap/>
            <w:vAlign w:val="bottom"/>
            <w:hideMark/>
          </w:tcPr>
          <w:p w14:paraId="14666375"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244.9</w:t>
            </w:r>
          </w:p>
        </w:tc>
      </w:tr>
      <w:tr w:rsidR="00B545DE" w:rsidRPr="00044BB8" w14:paraId="05F4CD12"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6A031D82"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148FFEE3" w14:textId="054706D2" w:rsidR="00B545DE" w:rsidRPr="00044BB8" w:rsidRDefault="00B545DE" w:rsidP="00805D14">
            <w:pPr>
              <w:ind w:left="150"/>
              <w:rPr>
                <w:sz w:val="20"/>
                <w:szCs w:val="20"/>
                <w:lang w:val="es-GT" w:eastAsia="es-GT"/>
              </w:rPr>
            </w:pPr>
            <w:r w:rsidRPr="00044BB8">
              <w:rPr>
                <w:sz w:val="20"/>
                <w:szCs w:val="20"/>
                <w:lang w:val="es-GT" w:eastAsia="es-GT"/>
              </w:rPr>
              <w:t>Arrendamientos Edificios, Equipos e</w:t>
            </w:r>
            <w:r w:rsidR="00805D14">
              <w:rPr>
                <w:sz w:val="20"/>
                <w:szCs w:val="20"/>
                <w:lang w:val="es-GT" w:eastAsia="es-GT"/>
              </w:rPr>
              <w:t xml:space="preserve"> </w:t>
            </w:r>
            <w:r w:rsidRPr="00044BB8">
              <w:rPr>
                <w:sz w:val="20"/>
                <w:szCs w:val="20"/>
                <w:lang w:val="es-GT" w:eastAsia="es-GT"/>
              </w:rPr>
              <w:t>Instalaciones</w:t>
            </w:r>
          </w:p>
        </w:tc>
        <w:tc>
          <w:tcPr>
            <w:tcW w:w="1489" w:type="dxa"/>
            <w:tcBorders>
              <w:top w:val="nil"/>
              <w:left w:val="nil"/>
              <w:bottom w:val="nil"/>
              <w:right w:val="single" w:sz="4" w:space="0" w:color="auto"/>
            </w:tcBorders>
            <w:shd w:val="clear" w:color="000000" w:fill="FFFFFF"/>
            <w:noWrap/>
            <w:vAlign w:val="bottom"/>
            <w:hideMark/>
          </w:tcPr>
          <w:p w14:paraId="73320B33"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70.7</w:t>
            </w:r>
          </w:p>
        </w:tc>
        <w:tc>
          <w:tcPr>
            <w:tcW w:w="1442" w:type="dxa"/>
            <w:tcBorders>
              <w:top w:val="nil"/>
              <w:left w:val="single" w:sz="4" w:space="0" w:color="auto"/>
              <w:bottom w:val="nil"/>
              <w:right w:val="single" w:sz="4" w:space="0" w:color="auto"/>
            </w:tcBorders>
            <w:shd w:val="clear" w:color="000000" w:fill="FFFFFF"/>
            <w:noWrap/>
            <w:vAlign w:val="bottom"/>
            <w:hideMark/>
          </w:tcPr>
          <w:p w14:paraId="61E4A155"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63.1</w:t>
            </w:r>
          </w:p>
        </w:tc>
        <w:tc>
          <w:tcPr>
            <w:tcW w:w="1537" w:type="dxa"/>
            <w:tcBorders>
              <w:top w:val="nil"/>
              <w:left w:val="nil"/>
              <w:bottom w:val="nil"/>
              <w:right w:val="single" w:sz="8" w:space="0" w:color="auto"/>
            </w:tcBorders>
            <w:shd w:val="clear" w:color="000000" w:fill="FFFFFF"/>
            <w:noWrap/>
            <w:vAlign w:val="bottom"/>
            <w:hideMark/>
          </w:tcPr>
          <w:p w14:paraId="1B0E12D2"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33.5</w:t>
            </w:r>
          </w:p>
        </w:tc>
      </w:tr>
      <w:tr w:rsidR="00B545DE" w:rsidRPr="00044BB8" w14:paraId="3971787F"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1B6BE9A8"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15EF9BC3" w14:textId="2BADEE8E"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Multas</w:t>
            </w:r>
          </w:p>
        </w:tc>
        <w:tc>
          <w:tcPr>
            <w:tcW w:w="1489" w:type="dxa"/>
            <w:tcBorders>
              <w:top w:val="nil"/>
              <w:left w:val="nil"/>
              <w:bottom w:val="nil"/>
              <w:right w:val="single" w:sz="4" w:space="0" w:color="auto"/>
            </w:tcBorders>
            <w:shd w:val="clear" w:color="000000" w:fill="FFFFFF"/>
            <w:noWrap/>
            <w:vAlign w:val="bottom"/>
            <w:hideMark/>
          </w:tcPr>
          <w:p w14:paraId="2437577E"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73.4</w:t>
            </w:r>
          </w:p>
        </w:tc>
        <w:tc>
          <w:tcPr>
            <w:tcW w:w="1442" w:type="dxa"/>
            <w:tcBorders>
              <w:top w:val="nil"/>
              <w:left w:val="single" w:sz="4" w:space="0" w:color="auto"/>
              <w:bottom w:val="nil"/>
              <w:right w:val="single" w:sz="4" w:space="0" w:color="auto"/>
            </w:tcBorders>
            <w:shd w:val="clear" w:color="000000" w:fill="FFFFFF"/>
            <w:noWrap/>
            <w:vAlign w:val="bottom"/>
            <w:hideMark/>
          </w:tcPr>
          <w:p w14:paraId="7A243378"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70.5</w:t>
            </w:r>
          </w:p>
        </w:tc>
        <w:tc>
          <w:tcPr>
            <w:tcW w:w="1537" w:type="dxa"/>
            <w:tcBorders>
              <w:top w:val="nil"/>
              <w:left w:val="nil"/>
              <w:bottom w:val="nil"/>
              <w:right w:val="single" w:sz="8" w:space="0" w:color="auto"/>
            </w:tcBorders>
            <w:shd w:val="clear" w:color="000000" w:fill="FFFFFF"/>
            <w:noWrap/>
            <w:vAlign w:val="bottom"/>
            <w:hideMark/>
          </w:tcPr>
          <w:p w14:paraId="59D7735C"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35.0</w:t>
            </w:r>
          </w:p>
        </w:tc>
      </w:tr>
      <w:tr w:rsidR="00B545DE" w:rsidRPr="00044BB8" w14:paraId="60727622"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51288570"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1A9409B5" w14:textId="38EC00A6"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Intereses por Mora</w:t>
            </w:r>
          </w:p>
        </w:tc>
        <w:tc>
          <w:tcPr>
            <w:tcW w:w="1489" w:type="dxa"/>
            <w:tcBorders>
              <w:top w:val="nil"/>
              <w:left w:val="nil"/>
              <w:bottom w:val="nil"/>
              <w:right w:val="single" w:sz="4" w:space="0" w:color="auto"/>
            </w:tcBorders>
            <w:shd w:val="clear" w:color="000000" w:fill="FFFFFF"/>
            <w:noWrap/>
            <w:vAlign w:val="bottom"/>
            <w:hideMark/>
          </w:tcPr>
          <w:p w14:paraId="3C452D6F"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0.1</w:t>
            </w:r>
          </w:p>
        </w:tc>
        <w:tc>
          <w:tcPr>
            <w:tcW w:w="1442" w:type="dxa"/>
            <w:tcBorders>
              <w:top w:val="nil"/>
              <w:left w:val="single" w:sz="4" w:space="0" w:color="auto"/>
              <w:bottom w:val="nil"/>
              <w:right w:val="single" w:sz="4" w:space="0" w:color="auto"/>
            </w:tcBorders>
            <w:shd w:val="clear" w:color="000000" w:fill="FFFFFF"/>
            <w:noWrap/>
            <w:vAlign w:val="bottom"/>
            <w:hideMark/>
          </w:tcPr>
          <w:p w14:paraId="44ECDC82"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0.0</w:t>
            </w:r>
          </w:p>
        </w:tc>
        <w:tc>
          <w:tcPr>
            <w:tcW w:w="1537" w:type="dxa"/>
            <w:tcBorders>
              <w:top w:val="nil"/>
              <w:left w:val="nil"/>
              <w:bottom w:val="nil"/>
              <w:right w:val="single" w:sz="8" w:space="0" w:color="auto"/>
            </w:tcBorders>
            <w:shd w:val="clear" w:color="000000" w:fill="FFFFFF"/>
            <w:noWrap/>
            <w:vAlign w:val="bottom"/>
            <w:hideMark/>
          </w:tcPr>
          <w:p w14:paraId="4DD43141"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0.0</w:t>
            </w:r>
          </w:p>
        </w:tc>
      </w:tr>
      <w:tr w:rsidR="00B545DE" w:rsidRPr="00044BB8" w14:paraId="20023C07"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222AE94B"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6344AE26" w14:textId="10BAAEE3"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 xml:space="preserve">Otros Ingresos </w:t>
            </w:r>
          </w:p>
        </w:tc>
        <w:tc>
          <w:tcPr>
            <w:tcW w:w="1489" w:type="dxa"/>
            <w:tcBorders>
              <w:top w:val="nil"/>
              <w:left w:val="nil"/>
              <w:bottom w:val="nil"/>
              <w:right w:val="single" w:sz="4" w:space="0" w:color="auto"/>
            </w:tcBorders>
            <w:shd w:val="clear" w:color="000000" w:fill="FFFFFF"/>
            <w:noWrap/>
            <w:vAlign w:val="bottom"/>
            <w:hideMark/>
          </w:tcPr>
          <w:p w14:paraId="5CD9C1B8"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220.8</w:t>
            </w:r>
          </w:p>
        </w:tc>
        <w:tc>
          <w:tcPr>
            <w:tcW w:w="1442" w:type="dxa"/>
            <w:tcBorders>
              <w:top w:val="nil"/>
              <w:left w:val="single" w:sz="4" w:space="0" w:color="auto"/>
              <w:bottom w:val="nil"/>
              <w:right w:val="single" w:sz="4" w:space="0" w:color="auto"/>
            </w:tcBorders>
            <w:shd w:val="clear" w:color="000000" w:fill="FFFFFF"/>
            <w:noWrap/>
            <w:vAlign w:val="bottom"/>
            <w:hideMark/>
          </w:tcPr>
          <w:p w14:paraId="28E9887C"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268.4</w:t>
            </w:r>
          </w:p>
        </w:tc>
        <w:tc>
          <w:tcPr>
            <w:tcW w:w="1537" w:type="dxa"/>
            <w:tcBorders>
              <w:top w:val="nil"/>
              <w:left w:val="nil"/>
              <w:bottom w:val="nil"/>
              <w:right w:val="single" w:sz="8" w:space="0" w:color="auto"/>
            </w:tcBorders>
            <w:shd w:val="clear" w:color="000000" w:fill="FFFFFF"/>
            <w:noWrap/>
            <w:vAlign w:val="bottom"/>
            <w:hideMark/>
          </w:tcPr>
          <w:p w14:paraId="2225D251"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85.2</w:t>
            </w:r>
          </w:p>
        </w:tc>
      </w:tr>
      <w:tr w:rsidR="00B545DE" w:rsidRPr="00044BB8" w14:paraId="741AAAFD" w14:textId="77777777" w:rsidTr="00805D14">
        <w:trPr>
          <w:trHeight w:val="237"/>
          <w:jc w:val="center"/>
        </w:trPr>
        <w:tc>
          <w:tcPr>
            <w:tcW w:w="3863" w:type="dxa"/>
            <w:gridSpan w:val="2"/>
            <w:tcBorders>
              <w:top w:val="nil"/>
              <w:left w:val="single" w:sz="8" w:space="0" w:color="auto"/>
              <w:bottom w:val="nil"/>
              <w:right w:val="single" w:sz="8" w:space="0" w:color="000000"/>
            </w:tcBorders>
            <w:shd w:val="clear" w:color="000000" w:fill="FFFFFF"/>
            <w:noWrap/>
            <w:vAlign w:val="center"/>
            <w:hideMark/>
          </w:tcPr>
          <w:p w14:paraId="10C5A0C7" w14:textId="34EAA5CB" w:rsidR="00B545DE" w:rsidRPr="00044BB8" w:rsidRDefault="00B545DE" w:rsidP="00B545DE">
            <w:pPr>
              <w:rPr>
                <w:b/>
                <w:bCs/>
                <w:sz w:val="20"/>
                <w:szCs w:val="20"/>
                <w:lang w:val="es-GT" w:eastAsia="es-GT"/>
              </w:rPr>
            </w:pPr>
            <w:r w:rsidRPr="00044BB8">
              <w:rPr>
                <w:b/>
                <w:bCs/>
                <w:sz w:val="20"/>
                <w:szCs w:val="20"/>
                <w:lang w:val="es-GT" w:eastAsia="es-GT"/>
              </w:rPr>
              <w:t xml:space="preserve">Contribuciones a la Seguridad </w:t>
            </w:r>
            <w:r w:rsidR="00805D14">
              <w:rPr>
                <w:b/>
                <w:bCs/>
                <w:sz w:val="20"/>
                <w:szCs w:val="20"/>
                <w:lang w:val="es-GT" w:eastAsia="es-GT"/>
              </w:rPr>
              <w:t xml:space="preserve">y Previsión </w:t>
            </w:r>
            <w:r w:rsidRPr="00044BB8">
              <w:rPr>
                <w:b/>
                <w:bCs/>
                <w:sz w:val="20"/>
                <w:szCs w:val="20"/>
                <w:lang w:val="es-GT" w:eastAsia="es-GT"/>
              </w:rPr>
              <w:t>Social</w:t>
            </w:r>
          </w:p>
        </w:tc>
        <w:tc>
          <w:tcPr>
            <w:tcW w:w="1489" w:type="dxa"/>
            <w:tcBorders>
              <w:top w:val="nil"/>
              <w:left w:val="nil"/>
              <w:bottom w:val="nil"/>
              <w:right w:val="single" w:sz="4" w:space="0" w:color="auto"/>
            </w:tcBorders>
            <w:shd w:val="clear" w:color="000000" w:fill="FFFFFF"/>
            <w:noWrap/>
            <w:vAlign w:val="bottom"/>
            <w:hideMark/>
          </w:tcPr>
          <w:p w14:paraId="08B5A9AB"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3,043.1</w:t>
            </w:r>
          </w:p>
        </w:tc>
        <w:tc>
          <w:tcPr>
            <w:tcW w:w="1442" w:type="dxa"/>
            <w:tcBorders>
              <w:top w:val="nil"/>
              <w:left w:val="single" w:sz="4" w:space="0" w:color="auto"/>
              <w:bottom w:val="nil"/>
              <w:right w:val="single" w:sz="4" w:space="0" w:color="auto"/>
            </w:tcBorders>
            <w:shd w:val="clear" w:color="000000" w:fill="FFFFFF"/>
            <w:noWrap/>
            <w:vAlign w:val="bottom"/>
            <w:hideMark/>
          </w:tcPr>
          <w:p w14:paraId="3C3AC184"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2,871.5</w:t>
            </w:r>
          </w:p>
        </w:tc>
        <w:tc>
          <w:tcPr>
            <w:tcW w:w="1537" w:type="dxa"/>
            <w:tcBorders>
              <w:top w:val="nil"/>
              <w:left w:val="nil"/>
              <w:bottom w:val="nil"/>
              <w:right w:val="single" w:sz="8" w:space="0" w:color="auto"/>
            </w:tcBorders>
            <w:shd w:val="clear" w:color="000000" w:fill="FFFFFF"/>
            <w:noWrap/>
            <w:vAlign w:val="bottom"/>
            <w:hideMark/>
          </w:tcPr>
          <w:p w14:paraId="351EA7DD"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1,460.2</w:t>
            </w:r>
          </w:p>
        </w:tc>
      </w:tr>
      <w:tr w:rsidR="00B545DE" w:rsidRPr="00044BB8" w14:paraId="68BA9DF5"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3E1EA6B8"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38EEAF98" w14:textId="5E0142C8"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Aportes a la Previsión Social</w:t>
            </w:r>
          </w:p>
        </w:tc>
        <w:tc>
          <w:tcPr>
            <w:tcW w:w="1489" w:type="dxa"/>
            <w:tcBorders>
              <w:top w:val="nil"/>
              <w:left w:val="nil"/>
              <w:bottom w:val="nil"/>
              <w:right w:val="single" w:sz="4" w:space="0" w:color="auto"/>
            </w:tcBorders>
            <w:shd w:val="clear" w:color="000000" w:fill="FFFFFF"/>
            <w:noWrap/>
            <w:vAlign w:val="bottom"/>
            <w:hideMark/>
          </w:tcPr>
          <w:p w14:paraId="37D33063"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3,043.1</w:t>
            </w:r>
          </w:p>
        </w:tc>
        <w:tc>
          <w:tcPr>
            <w:tcW w:w="1442" w:type="dxa"/>
            <w:tcBorders>
              <w:top w:val="nil"/>
              <w:left w:val="single" w:sz="4" w:space="0" w:color="auto"/>
              <w:bottom w:val="nil"/>
              <w:right w:val="single" w:sz="4" w:space="0" w:color="auto"/>
            </w:tcBorders>
            <w:shd w:val="clear" w:color="000000" w:fill="FFFFFF"/>
            <w:noWrap/>
            <w:vAlign w:val="bottom"/>
            <w:hideMark/>
          </w:tcPr>
          <w:p w14:paraId="3BF41B75"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2,871.5</w:t>
            </w:r>
          </w:p>
        </w:tc>
        <w:tc>
          <w:tcPr>
            <w:tcW w:w="1537" w:type="dxa"/>
            <w:tcBorders>
              <w:top w:val="nil"/>
              <w:left w:val="nil"/>
              <w:bottom w:val="nil"/>
              <w:right w:val="single" w:sz="8" w:space="0" w:color="auto"/>
            </w:tcBorders>
            <w:shd w:val="clear" w:color="000000" w:fill="FFFFFF"/>
            <w:noWrap/>
            <w:vAlign w:val="bottom"/>
            <w:hideMark/>
          </w:tcPr>
          <w:p w14:paraId="1ECE3B03"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1,460.2</w:t>
            </w:r>
          </w:p>
        </w:tc>
      </w:tr>
      <w:tr w:rsidR="00B545DE" w:rsidRPr="00044BB8" w14:paraId="7E3A2DC3" w14:textId="77777777" w:rsidTr="00805D14">
        <w:trPr>
          <w:trHeight w:val="237"/>
          <w:jc w:val="center"/>
        </w:trPr>
        <w:tc>
          <w:tcPr>
            <w:tcW w:w="3863" w:type="dxa"/>
            <w:gridSpan w:val="2"/>
            <w:tcBorders>
              <w:top w:val="nil"/>
              <w:left w:val="single" w:sz="8" w:space="0" w:color="auto"/>
              <w:bottom w:val="nil"/>
              <w:right w:val="single" w:sz="8" w:space="0" w:color="000000"/>
            </w:tcBorders>
            <w:shd w:val="clear" w:color="000000" w:fill="FFFFFF"/>
            <w:noWrap/>
            <w:vAlign w:val="center"/>
            <w:hideMark/>
          </w:tcPr>
          <w:p w14:paraId="5A4A9EDD" w14:textId="77777777" w:rsidR="00B545DE" w:rsidRPr="00044BB8" w:rsidRDefault="00B545DE" w:rsidP="00B545DE">
            <w:pPr>
              <w:rPr>
                <w:b/>
                <w:bCs/>
                <w:sz w:val="20"/>
                <w:szCs w:val="20"/>
                <w:lang w:val="es-GT" w:eastAsia="es-GT"/>
              </w:rPr>
            </w:pPr>
            <w:r w:rsidRPr="00044BB8">
              <w:rPr>
                <w:b/>
                <w:bCs/>
                <w:sz w:val="20"/>
                <w:szCs w:val="20"/>
                <w:lang w:val="es-GT" w:eastAsia="es-GT"/>
              </w:rPr>
              <w:t>Venta de Bienes y Servicios de la Administración Pública</w:t>
            </w:r>
          </w:p>
        </w:tc>
        <w:tc>
          <w:tcPr>
            <w:tcW w:w="1489" w:type="dxa"/>
            <w:tcBorders>
              <w:top w:val="nil"/>
              <w:left w:val="nil"/>
              <w:bottom w:val="nil"/>
              <w:right w:val="single" w:sz="4" w:space="0" w:color="auto"/>
            </w:tcBorders>
            <w:shd w:val="clear" w:color="000000" w:fill="FFFFFF"/>
            <w:noWrap/>
            <w:vAlign w:val="bottom"/>
            <w:hideMark/>
          </w:tcPr>
          <w:p w14:paraId="7BBD5C79"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515.4</w:t>
            </w:r>
          </w:p>
        </w:tc>
        <w:tc>
          <w:tcPr>
            <w:tcW w:w="1442" w:type="dxa"/>
            <w:tcBorders>
              <w:top w:val="nil"/>
              <w:left w:val="single" w:sz="4" w:space="0" w:color="auto"/>
              <w:bottom w:val="nil"/>
              <w:right w:val="single" w:sz="4" w:space="0" w:color="auto"/>
            </w:tcBorders>
            <w:shd w:val="clear" w:color="000000" w:fill="FFFFFF"/>
            <w:noWrap/>
            <w:vAlign w:val="bottom"/>
            <w:hideMark/>
          </w:tcPr>
          <w:p w14:paraId="2A918625"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527.7</w:t>
            </w:r>
          </w:p>
        </w:tc>
        <w:tc>
          <w:tcPr>
            <w:tcW w:w="1537" w:type="dxa"/>
            <w:tcBorders>
              <w:top w:val="nil"/>
              <w:left w:val="nil"/>
              <w:bottom w:val="nil"/>
              <w:right w:val="single" w:sz="8" w:space="0" w:color="auto"/>
            </w:tcBorders>
            <w:shd w:val="clear" w:color="000000" w:fill="FFFFFF"/>
            <w:noWrap/>
            <w:vAlign w:val="bottom"/>
            <w:hideMark/>
          </w:tcPr>
          <w:p w14:paraId="2BD3FA68"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275.1</w:t>
            </w:r>
          </w:p>
        </w:tc>
      </w:tr>
      <w:tr w:rsidR="00B545DE" w:rsidRPr="00044BB8" w14:paraId="3E986F15"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18FA84B5"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5DC1D8C3" w14:textId="27E55C12"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Venta de Bienes</w:t>
            </w:r>
          </w:p>
        </w:tc>
        <w:tc>
          <w:tcPr>
            <w:tcW w:w="1489" w:type="dxa"/>
            <w:tcBorders>
              <w:top w:val="nil"/>
              <w:left w:val="nil"/>
              <w:bottom w:val="nil"/>
              <w:right w:val="single" w:sz="4" w:space="0" w:color="auto"/>
            </w:tcBorders>
            <w:shd w:val="clear" w:color="000000" w:fill="FFFFFF"/>
            <w:noWrap/>
            <w:vAlign w:val="bottom"/>
            <w:hideMark/>
          </w:tcPr>
          <w:p w14:paraId="70A595D7"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32.5</w:t>
            </w:r>
          </w:p>
        </w:tc>
        <w:tc>
          <w:tcPr>
            <w:tcW w:w="1442" w:type="dxa"/>
            <w:tcBorders>
              <w:top w:val="nil"/>
              <w:left w:val="single" w:sz="4" w:space="0" w:color="auto"/>
              <w:bottom w:val="nil"/>
              <w:right w:val="single" w:sz="4" w:space="0" w:color="auto"/>
            </w:tcBorders>
            <w:shd w:val="clear" w:color="000000" w:fill="FFFFFF"/>
            <w:noWrap/>
            <w:vAlign w:val="bottom"/>
            <w:hideMark/>
          </w:tcPr>
          <w:p w14:paraId="1B72539E"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49.1</w:t>
            </w:r>
          </w:p>
        </w:tc>
        <w:tc>
          <w:tcPr>
            <w:tcW w:w="1537" w:type="dxa"/>
            <w:tcBorders>
              <w:top w:val="nil"/>
              <w:left w:val="nil"/>
              <w:bottom w:val="nil"/>
              <w:right w:val="single" w:sz="8" w:space="0" w:color="auto"/>
            </w:tcBorders>
            <w:shd w:val="clear" w:color="000000" w:fill="FFFFFF"/>
            <w:noWrap/>
            <w:vAlign w:val="bottom"/>
            <w:hideMark/>
          </w:tcPr>
          <w:p w14:paraId="0BFE8747"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15.8</w:t>
            </w:r>
          </w:p>
        </w:tc>
      </w:tr>
      <w:tr w:rsidR="00B545DE" w:rsidRPr="00044BB8" w14:paraId="59420B65"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78EA4C9F"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4F8A615A" w14:textId="3786D6C5"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Venta de Servicios</w:t>
            </w:r>
          </w:p>
        </w:tc>
        <w:tc>
          <w:tcPr>
            <w:tcW w:w="1489" w:type="dxa"/>
            <w:tcBorders>
              <w:top w:val="nil"/>
              <w:left w:val="nil"/>
              <w:bottom w:val="nil"/>
              <w:right w:val="single" w:sz="4" w:space="0" w:color="auto"/>
            </w:tcBorders>
            <w:shd w:val="clear" w:color="000000" w:fill="FFFFFF"/>
            <w:noWrap/>
            <w:vAlign w:val="bottom"/>
            <w:hideMark/>
          </w:tcPr>
          <w:p w14:paraId="0AC5A1A0"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482.9</w:t>
            </w:r>
          </w:p>
        </w:tc>
        <w:tc>
          <w:tcPr>
            <w:tcW w:w="1442" w:type="dxa"/>
            <w:tcBorders>
              <w:top w:val="nil"/>
              <w:left w:val="single" w:sz="4" w:space="0" w:color="auto"/>
              <w:bottom w:val="nil"/>
              <w:right w:val="single" w:sz="4" w:space="0" w:color="auto"/>
            </w:tcBorders>
            <w:shd w:val="clear" w:color="000000" w:fill="FFFFFF"/>
            <w:noWrap/>
            <w:vAlign w:val="bottom"/>
            <w:hideMark/>
          </w:tcPr>
          <w:p w14:paraId="5AD62820"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478.6</w:t>
            </w:r>
          </w:p>
        </w:tc>
        <w:tc>
          <w:tcPr>
            <w:tcW w:w="1537" w:type="dxa"/>
            <w:tcBorders>
              <w:top w:val="nil"/>
              <w:left w:val="nil"/>
              <w:bottom w:val="nil"/>
              <w:right w:val="single" w:sz="8" w:space="0" w:color="auto"/>
            </w:tcBorders>
            <w:shd w:val="clear" w:color="000000" w:fill="FFFFFF"/>
            <w:noWrap/>
            <w:vAlign w:val="bottom"/>
            <w:hideMark/>
          </w:tcPr>
          <w:p w14:paraId="64CE4BE2"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259.3</w:t>
            </w:r>
          </w:p>
        </w:tc>
      </w:tr>
      <w:tr w:rsidR="00B545DE" w:rsidRPr="00044BB8" w14:paraId="2EA1E794" w14:textId="77777777" w:rsidTr="00805D14">
        <w:trPr>
          <w:trHeight w:val="237"/>
          <w:jc w:val="center"/>
        </w:trPr>
        <w:tc>
          <w:tcPr>
            <w:tcW w:w="3863" w:type="dxa"/>
            <w:gridSpan w:val="2"/>
            <w:tcBorders>
              <w:top w:val="nil"/>
              <w:left w:val="single" w:sz="8" w:space="0" w:color="auto"/>
              <w:bottom w:val="nil"/>
              <w:right w:val="single" w:sz="8" w:space="0" w:color="000000"/>
            </w:tcBorders>
            <w:shd w:val="clear" w:color="000000" w:fill="FFFFFF"/>
            <w:noWrap/>
            <w:vAlign w:val="center"/>
            <w:hideMark/>
          </w:tcPr>
          <w:p w14:paraId="55BC09EA" w14:textId="77777777" w:rsidR="00B545DE" w:rsidRPr="00044BB8" w:rsidRDefault="00B545DE" w:rsidP="00B545DE">
            <w:pPr>
              <w:rPr>
                <w:b/>
                <w:bCs/>
                <w:sz w:val="20"/>
                <w:szCs w:val="20"/>
                <w:lang w:val="es-GT" w:eastAsia="es-GT"/>
              </w:rPr>
            </w:pPr>
            <w:r w:rsidRPr="00044BB8">
              <w:rPr>
                <w:b/>
                <w:bCs/>
                <w:sz w:val="20"/>
                <w:szCs w:val="20"/>
                <w:lang w:val="es-GT" w:eastAsia="es-GT"/>
              </w:rPr>
              <w:t>Rentas de la Propiedad</w:t>
            </w:r>
          </w:p>
        </w:tc>
        <w:tc>
          <w:tcPr>
            <w:tcW w:w="1489" w:type="dxa"/>
            <w:tcBorders>
              <w:top w:val="nil"/>
              <w:left w:val="nil"/>
              <w:bottom w:val="nil"/>
              <w:right w:val="single" w:sz="4" w:space="0" w:color="auto"/>
            </w:tcBorders>
            <w:shd w:val="clear" w:color="000000" w:fill="FFFFFF"/>
            <w:noWrap/>
            <w:vAlign w:val="bottom"/>
            <w:hideMark/>
          </w:tcPr>
          <w:p w14:paraId="29D54940"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217.8</w:t>
            </w:r>
          </w:p>
        </w:tc>
        <w:tc>
          <w:tcPr>
            <w:tcW w:w="1442" w:type="dxa"/>
            <w:tcBorders>
              <w:top w:val="nil"/>
              <w:left w:val="single" w:sz="4" w:space="0" w:color="auto"/>
              <w:bottom w:val="nil"/>
              <w:right w:val="single" w:sz="4" w:space="0" w:color="auto"/>
            </w:tcBorders>
            <w:shd w:val="clear" w:color="000000" w:fill="FFFFFF"/>
            <w:noWrap/>
            <w:vAlign w:val="bottom"/>
            <w:hideMark/>
          </w:tcPr>
          <w:p w14:paraId="7667DDA9"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380.6</w:t>
            </w:r>
          </w:p>
        </w:tc>
        <w:tc>
          <w:tcPr>
            <w:tcW w:w="1537" w:type="dxa"/>
            <w:tcBorders>
              <w:top w:val="nil"/>
              <w:left w:val="nil"/>
              <w:bottom w:val="nil"/>
              <w:right w:val="single" w:sz="8" w:space="0" w:color="auto"/>
            </w:tcBorders>
            <w:shd w:val="clear" w:color="000000" w:fill="FFFFFF"/>
            <w:noWrap/>
            <w:vAlign w:val="bottom"/>
            <w:hideMark/>
          </w:tcPr>
          <w:p w14:paraId="09AF8C31"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356.9</w:t>
            </w:r>
          </w:p>
        </w:tc>
      </w:tr>
      <w:tr w:rsidR="00B545DE" w:rsidRPr="00044BB8" w14:paraId="6DC24ECB"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143DDFF3"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24C5362F" w14:textId="5AEF9A25"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Intereses</w:t>
            </w:r>
          </w:p>
        </w:tc>
        <w:tc>
          <w:tcPr>
            <w:tcW w:w="1489" w:type="dxa"/>
            <w:tcBorders>
              <w:top w:val="nil"/>
              <w:left w:val="nil"/>
              <w:bottom w:val="nil"/>
              <w:right w:val="single" w:sz="4" w:space="0" w:color="auto"/>
            </w:tcBorders>
            <w:shd w:val="clear" w:color="000000" w:fill="FFFFFF"/>
            <w:noWrap/>
            <w:vAlign w:val="bottom"/>
            <w:hideMark/>
          </w:tcPr>
          <w:p w14:paraId="3CBC78CC"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41.6</w:t>
            </w:r>
          </w:p>
        </w:tc>
        <w:tc>
          <w:tcPr>
            <w:tcW w:w="1442" w:type="dxa"/>
            <w:tcBorders>
              <w:top w:val="nil"/>
              <w:left w:val="single" w:sz="4" w:space="0" w:color="auto"/>
              <w:bottom w:val="nil"/>
              <w:right w:val="single" w:sz="4" w:space="0" w:color="auto"/>
            </w:tcBorders>
            <w:shd w:val="clear" w:color="000000" w:fill="FFFFFF"/>
            <w:noWrap/>
            <w:vAlign w:val="bottom"/>
            <w:hideMark/>
          </w:tcPr>
          <w:p w14:paraId="25730E24"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20.6</w:t>
            </w:r>
          </w:p>
        </w:tc>
        <w:tc>
          <w:tcPr>
            <w:tcW w:w="1537" w:type="dxa"/>
            <w:tcBorders>
              <w:top w:val="nil"/>
              <w:left w:val="nil"/>
              <w:bottom w:val="nil"/>
              <w:right w:val="single" w:sz="8" w:space="0" w:color="auto"/>
            </w:tcBorders>
            <w:shd w:val="clear" w:color="000000" w:fill="FFFFFF"/>
            <w:noWrap/>
            <w:vAlign w:val="bottom"/>
            <w:hideMark/>
          </w:tcPr>
          <w:p w14:paraId="49F2415C"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9.3</w:t>
            </w:r>
          </w:p>
        </w:tc>
      </w:tr>
      <w:tr w:rsidR="00B545DE" w:rsidRPr="00044BB8" w14:paraId="448A5CC1"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5255C2EC"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3F23B745" w14:textId="5A88607B"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Dividendos</w:t>
            </w:r>
          </w:p>
        </w:tc>
        <w:tc>
          <w:tcPr>
            <w:tcW w:w="1489" w:type="dxa"/>
            <w:tcBorders>
              <w:top w:val="nil"/>
              <w:left w:val="nil"/>
              <w:bottom w:val="nil"/>
              <w:right w:val="single" w:sz="4" w:space="0" w:color="auto"/>
            </w:tcBorders>
            <w:shd w:val="clear" w:color="000000" w:fill="FFFFFF"/>
            <w:noWrap/>
            <w:vAlign w:val="bottom"/>
            <w:hideMark/>
          </w:tcPr>
          <w:p w14:paraId="583A9C3F"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161.5</w:t>
            </w:r>
          </w:p>
        </w:tc>
        <w:tc>
          <w:tcPr>
            <w:tcW w:w="1442" w:type="dxa"/>
            <w:tcBorders>
              <w:top w:val="nil"/>
              <w:left w:val="single" w:sz="4" w:space="0" w:color="auto"/>
              <w:bottom w:val="nil"/>
              <w:right w:val="single" w:sz="4" w:space="0" w:color="auto"/>
            </w:tcBorders>
            <w:shd w:val="clear" w:color="000000" w:fill="FFFFFF"/>
            <w:noWrap/>
            <w:vAlign w:val="bottom"/>
            <w:hideMark/>
          </w:tcPr>
          <w:p w14:paraId="5B88EFFB"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340.8</w:t>
            </w:r>
          </w:p>
        </w:tc>
        <w:tc>
          <w:tcPr>
            <w:tcW w:w="1537" w:type="dxa"/>
            <w:tcBorders>
              <w:top w:val="nil"/>
              <w:left w:val="nil"/>
              <w:bottom w:val="nil"/>
              <w:right w:val="single" w:sz="8" w:space="0" w:color="auto"/>
            </w:tcBorders>
            <w:shd w:val="clear" w:color="000000" w:fill="FFFFFF"/>
            <w:noWrap/>
            <w:vAlign w:val="bottom"/>
            <w:hideMark/>
          </w:tcPr>
          <w:p w14:paraId="2F6B5AE2"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340.7</w:t>
            </w:r>
          </w:p>
        </w:tc>
      </w:tr>
      <w:tr w:rsidR="00B545DE" w:rsidRPr="00044BB8" w14:paraId="4B5C1599"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0B152AFD"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461EDB57" w14:textId="3FA3AB70"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Arrendamiento de Tierras y Terrenos</w:t>
            </w:r>
          </w:p>
        </w:tc>
        <w:tc>
          <w:tcPr>
            <w:tcW w:w="1489" w:type="dxa"/>
            <w:tcBorders>
              <w:top w:val="nil"/>
              <w:left w:val="nil"/>
              <w:bottom w:val="nil"/>
              <w:right w:val="single" w:sz="4" w:space="0" w:color="auto"/>
            </w:tcBorders>
            <w:shd w:val="clear" w:color="000000" w:fill="FFFFFF"/>
            <w:noWrap/>
            <w:vAlign w:val="bottom"/>
            <w:hideMark/>
          </w:tcPr>
          <w:p w14:paraId="28D1719F"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14.7</w:t>
            </w:r>
          </w:p>
        </w:tc>
        <w:tc>
          <w:tcPr>
            <w:tcW w:w="1442" w:type="dxa"/>
            <w:tcBorders>
              <w:top w:val="nil"/>
              <w:left w:val="single" w:sz="4" w:space="0" w:color="auto"/>
              <w:bottom w:val="nil"/>
              <w:right w:val="single" w:sz="4" w:space="0" w:color="auto"/>
            </w:tcBorders>
            <w:shd w:val="clear" w:color="000000" w:fill="FFFFFF"/>
            <w:noWrap/>
            <w:vAlign w:val="bottom"/>
            <w:hideMark/>
          </w:tcPr>
          <w:p w14:paraId="0600B283"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19.2</w:t>
            </w:r>
          </w:p>
        </w:tc>
        <w:tc>
          <w:tcPr>
            <w:tcW w:w="1537" w:type="dxa"/>
            <w:tcBorders>
              <w:top w:val="nil"/>
              <w:left w:val="nil"/>
              <w:bottom w:val="nil"/>
              <w:right w:val="single" w:sz="8" w:space="0" w:color="auto"/>
            </w:tcBorders>
            <w:shd w:val="clear" w:color="000000" w:fill="FFFFFF"/>
            <w:noWrap/>
            <w:vAlign w:val="bottom"/>
            <w:hideMark/>
          </w:tcPr>
          <w:p w14:paraId="63CD0595"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6.9</w:t>
            </w:r>
          </w:p>
        </w:tc>
      </w:tr>
      <w:tr w:rsidR="00B545DE" w:rsidRPr="00044BB8" w14:paraId="5DF80E58" w14:textId="77777777" w:rsidTr="00805D14">
        <w:trPr>
          <w:trHeight w:val="237"/>
          <w:jc w:val="center"/>
        </w:trPr>
        <w:tc>
          <w:tcPr>
            <w:tcW w:w="3863" w:type="dxa"/>
            <w:gridSpan w:val="2"/>
            <w:tcBorders>
              <w:top w:val="nil"/>
              <w:left w:val="single" w:sz="8" w:space="0" w:color="auto"/>
              <w:bottom w:val="nil"/>
              <w:right w:val="single" w:sz="8" w:space="0" w:color="000000"/>
            </w:tcBorders>
            <w:shd w:val="clear" w:color="000000" w:fill="FFFFFF"/>
            <w:noWrap/>
            <w:vAlign w:val="center"/>
            <w:hideMark/>
          </w:tcPr>
          <w:p w14:paraId="26B55AB6" w14:textId="77777777" w:rsidR="00B545DE" w:rsidRPr="00044BB8" w:rsidRDefault="00B545DE" w:rsidP="00B545DE">
            <w:pPr>
              <w:rPr>
                <w:b/>
                <w:bCs/>
                <w:sz w:val="20"/>
                <w:szCs w:val="20"/>
                <w:lang w:val="es-GT" w:eastAsia="es-GT"/>
              </w:rPr>
            </w:pPr>
            <w:r w:rsidRPr="00044BB8">
              <w:rPr>
                <w:b/>
                <w:bCs/>
                <w:sz w:val="20"/>
                <w:szCs w:val="20"/>
                <w:lang w:val="es-GT" w:eastAsia="es-GT"/>
              </w:rPr>
              <w:t>Transferencias Corrientes</w:t>
            </w:r>
          </w:p>
        </w:tc>
        <w:tc>
          <w:tcPr>
            <w:tcW w:w="1489" w:type="dxa"/>
            <w:tcBorders>
              <w:top w:val="nil"/>
              <w:left w:val="nil"/>
              <w:bottom w:val="nil"/>
              <w:right w:val="single" w:sz="4" w:space="0" w:color="auto"/>
            </w:tcBorders>
            <w:shd w:val="clear" w:color="000000" w:fill="FFFFFF"/>
            <w:noWrap/>
            <w:vAlign w:val="bottom"/>
            <w:hideMark/>
          </w:tcPr>
          <w:p w14:paraId="1665C093"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98.7</w:t>
            </w:r>
          </w:p>
        </w:tc>
        <w:tc>
          <w:tcPr>
            <w:tcW w:w="1442" w:type="dxa"/>
            <w:tcBorders>
              <w:top w:val="nil"/>
              <w:left w:val="single" w:sz="4" w:space="0" w:color="auto"/>
              <w:bottom w:val="nil"/>
              <w:right w:val="single" w:sz="4" w:space="0" w:color="auto"/>
            </w:tcBorders>
            <w:shd w:val="clear" w:color="000000" w:fill="FFFFFF"/>
            <w:noWrap/>
            <w:vAlign w:val="bottom"/>
            <w:hideMark/>
          </w:tcPr>
          <w:p w14:paraId="589993AE"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65.0</w:t>
            </w:r>
          </w:p>
        </w:tc>
        <w:tc>
          <w:tcPr>
            <w:tcW w:w="1537" w:type="dxa"/>
            <w:tcBorders>
              <w:top w:val="nil"/>
              <w:left w:val="nil"/>
              <w:bottom w:val="nil"/>
              <w:right w:val="single" w:sz="8" w:space="0" w:color="auto"/>
            </w:tcBorders>
            <w:shd w:val="clear" w:color="000000" w:fill="FFFFFF"/>
            <w:noWrap/>
            <w:vAlign w:val="bottom"/>
            <w:hideMark/>
          </w:tcPr>
          <w:p w14:paraId="16C3509B"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19.9</w:t>
            </w:r>
          </w:p>
        </w:tc>
      </w:tr>
      <w:tr w:rsidR="00B545DE" w:rsidRPr="00044BB8" w14:paraId="1D950303" w14:textId="77777777" w:rsidTr="00805D14">
        <w:trPr>
          <w:trHeight w:val="237"/>
          <w:jc w:val="center"/>
        </w:trPr>
        <w:tc>
          <w:tcPr>
            <w:tcW w:w="199" w:type="dxa"/>
            <w:tcBorders>
              <w:top w:val="nil"/>
              <w:left w:val="single" w:sz="8" w:space="0" w:color="auto"/>
              <w:bottom w:val="nil"/>
              <w:right w:val="nil"/>
            </w:tcBorders>
            <w:shd w:val="clear" w:color="000000" w:fill="FFFFFF"/>
            <w:noWrap/>
            <w:vAlign w:val="center"/>
            <w:hideMark/>
          </w:tcPr>
          <w:p w14:paraId="104B1D1D"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2CA89E87" w14:textId="635A26C2"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Del Sector Privado</w:t>
            </w:r>
          </w:p>
        </w:tc>
        <w:tc>
          <w:tcPr>
            <w:tcW w:w="1489" w:type="dxa"/>
            <w:tcBorders>
              <w:top w:val="nil"/>
              <w:left w:val="nil"/>
              <w:bottom w:val="nil"/>
              <w:right w:val="single" w:sz="4" w:space="0" w:color="auto"/>
            </w:tcBorders>
            <w:shd w:val="clear" w:color="000000" w:fill="FFFFFF"/>
            <w:noWrap/>
            <w:vAlign w:val="bottom"/>
            <w:hideMark/>
          </w:tcPr>
          <w:p w14:paraId="5BD67556"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13.4</w:t>
            </w:r>
          </w:p>
        </w:tc>
        <w:tc>
          <w:tcPr>
            <w:tcW w:w="1442" w:type="dxa"/>
            <w:tcBorders>
              <w:top w:val="nil"/>
              <w:left w:val="single" w:sz="4" w:space="0" w:color="auto"/>
              <w:bottom w:val="nil"/>
              <w:right w:val="single" w:sz="4" w:space="0" w:color="auto"/>
            </w:tcBorders>
            <w:shd w:val="clear" w:color="000000" w:fill="FFFFFF"/>
            <w:noWrap/>
            <w:vAlign w:val="bottom"/>
            <w:hideMark/>
          </w:tcPr>
          <w:p w14:paraId="4D604B58"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6.0</w:t>
            </w:r>
          </w:p>
        </w:tc>
        <w:tc>
          <w:tcPr>
            <w:tcW w:w="1537" w:type="dxa"/>
            <w:tcBorders>
              <w:top w:val="nil"/>
              <w:left w:val="nil"/>
              <w:bottom w:val="nil"/>
              <w:right w:val="single" w:sz="8" w:space="0" w:color="auto"/>
            </w:tcBorders>
            <w:shd w:val="clear" w:color="000000" w:fill="FFFFFF"/>
            <w:noWrap/>
            <w:vAlign w:val="bottom"/>
            <w:hideMark/>
          </w:tcPr>
          <w:p w14:paraId="0237466A"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2.9</w:t>
            </w:r>
          </w:p>
        </w:tc>
      </w:tr>
      <w:tr w:rsidR="00B545DE" w:rsidRPr="00044BB8" w14:paraId="3AAA0055" w14:textId="77777777" w:rsidTr="00805D14">
        <w:trPr>
          <w:trHeight w:val="249"/>
          <w:jc w:val="center"/>
        </w:trPr>
        <w:tc>
          <w:tcPr>
            <w:tcW w:w="199" w:type="dxa"/>
            <w:tcBorders>
              <w:top w:val="nil"/>
              <w:left w:val="single" w:sz="8" w:space="0" w:color="auto"/>
              <w:bottom w:val="nil"/>
              <w:right w:val="nil"/>
            </w:tcBorders>
            <w:shd w:val="clear" w:color="000000" w:fill="FFFFFF"/>
            <w:noWrap/>
            <w:vAlign w:val="center"/>
            <w:hideMark/>
          </w:tcPr>
          <w:p w14:paraId="78A14DE6" w14:textId="77777777" w:rsidR="00B545DE" w:rsidRPr="00044BB8" w:rsidRDefault="00B545DE" w:rsidP="00B545DE">
            <w:pPr>
              <w:rPr>
                <w:sz w:val="20"/>
                <w:szCs w:val="20"/>
                <w:lang w:val="es-GT" w:eastAsia="es-GT"/>
              </w:rPr>
            </w:pPr>
            <w:r w:rsidRPr="00044BB8">
              <w:rPr>
                <w:sz w:val="20"/>
                <w:szCs w:val="20"/>
                <w:lang w:val="es-GT" w:eastAsia="es-GT"/>
              </w:rPr>
              <w:t> </w:t>
            </w:r>
          </w:p>
        </w:tc>
        <w:tc>
          <w:tcPr>
            <w:tcW w:w="3664" w:type="dxa"/>
            <w:tcBorders>
              <w:top w:val="nil"/>
              <w:left w:val="nil"/>
              <w:bottom w:val="nil"/>
              <w:right w:val="single" w:sz="8" w:space="0" w:color="auto"/>
            </w:tcBorders>
            <w:shd w:val="clear" w:color="000000" w:fill="FFFFFF"/>
            <w:noWrap/>
            <w:vAlign w:val="center"/>
            <w:hideMark/>
          </w:tcPr>
          <w:p w14:paraId="5F367028" w14:textId="05493730" w:rsidR="00B545DE" w:rsidRPr="00044BB8" w:rsidRDefault="00805D14" w:rsidP="00B545DE">
            <w:pPr>
              <w:rPr>
                <w:sz w:val="20"/>
                <w:szCs w:val="20"/>
                <w:lang w:val="es-GT" w:eastAsia="es-GT"/>
              </w:rPr>
            </w:pPr>
            <w:r>
              <w:rPr>
                <w:sz w:val="20"/>
                <w:szCs w:val="20"/>
                <w:lang w:val="es-GT" w:eastAsia="es-GT"/>
              </w:rPr>
              <w:t xml:space="preserve">   </w:t>
            </w:r>
            <w:r w:rsidR="00B545DE" w:rsidRPr="00044BB8">
              <w:rPr>
                <w:sz w:val="20"/>
                <w:szCs w:val="20"/>
                <w:lang w:val="es-GT" w:eastAsia="es-GT"/>
              </w:rPr>
              <w:t>Donaciones Corrientes</w:t>
            </w:r>
          </w:p>
        </w:tc>
        <w:tc>
          <w:tcPr>
            <w:tcW w:w="1489" w:type="dxa"/>
            <w:tcBorders>
              <w:top w:val="nil"/>
              <w:left w:val="nil"/>
              <w:bottom w:val="nil"/>
              <w:right w:val="single" w:sz="4" w:space="0" w:color="auto"/>
            </w:tcBorders>
            <w:shd w:val="clear" w:color="000000" w:fill="FFFFFF"/>
            <w:noWrap/>
            <w:vAlign w:val="bottom"/>
            <w:hideMark/>
          </w:tcPr>
          <w:p w14:paraId="46799542"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85.3</w:t>
            </w:r>
          </w:p>
        </w:tc>
        <w:tc>
          <w:tcPr>
            <w:tcW w:w="1442" w:type="dxa"/>
            <w:tcBorders>
              <w:top w:val="nil"/>
              <w:left w:val="single" w:sz="4" w:space="0" w:color="auto"/>
              <w:bottom w:val="nil"/>
              <w:right w:val="single" w:sz="4" w:space="0" w:color="auto"/>
            </w:tcBorders>
            <w:shd w:val="clear" w:color="000000" w:fill="FFFFFF"/>
            <w:noWrap/>
            <w:vAlign w:val="bottom"/>
            <w:hideMark/>
          </w:tcPr>
          <w:p w14:paraId="415FDFF1"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59.0</w:t>
            </w:r>
          </w:p>
        </w:tc>
        <w:tc>
          <w:tcPr>
            <w:tcW w:w="1537" w:type="dxa"/>
            <w:tcBorders>
              <w:top w:val="nil"/>
              <w:left w:val="nil"/>
              <w:bottom w:val="nil"/>
              <w:right w:val="single" w:sz="8" w:space="0" w:color="auto"/>
            </w:tcBorders>
            <w:shd w:val="clear" w:color="000000" w:fill="FFFFFF"/>
            <w:noWrap/>
            <w:vAlign w:val="bottom"/>
            <w:hideMark/>
          </w:tcPr>
          <w:p w14:paraId="161EE7A9" w14:textId="77777777" w:rsidR="00B545DE" w:rsidRPr="00044BB8" w:rsidRDefault="00B545DE" w:rsidP="00B545DE">
            <w:pPr>
              <w:jc w:val="right"/>
              <w:rPr>
                <w:color w:val="000000"/>
                <w:sz w:val="22"/>
                <w:szCs w:val="22"/>
                <w:lang w:val="es-GT" w:eastAsia="es-GT"/>
              </w:rPr>
            </w:pPr>
            <w:r w:rsidRPr="00044BB8">
              <w:rPr>
                <w:color w:val="000000"/>
                <w:sz w:val="22"/>
                <w:szCs w:val="22"/>
                <w:lang w:val="es-GT" w:eastAsia="es-GT"/>
              </w:rPr>
              <w:t>17.1</w:t>
            </w:r>
          </w:p>
        </w:tc>
      </w:tr>
      <w:tr w:rsidR="00B545DE" w:rsidRPr="00044BB8" w14:paraId="13FB1566" w14:textId="77777777" w:rsidTr="00805D14">
        <w:trPr>
          <w:trHeight w:val="249"/>
          <w:jc w:val="center"/>
        </w:trPr>
        <w:tc>
          <w:tcPr>
            <w:tcW w:w="3863" w:type="dxa"/>
            <w:gridSpan w:val="2"/>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26DB90BA" w14:textId="77777777" w:rsidR="00B545DE" w:rsidRPr="00044BB8" w:rsidRDefault="00B545DE" w:rsidP="00B545DE">
            <w:pPr>
              <w:jc w:val="center"/>
              <w:rPr>
                <w:b/>
                <w:bCs/>
                <w:sz w:val="20"/>
                <w:szCs w:val="20"/>
                <w:lang w:val="es-GT" w:eastAsia="es-GT"/>
              </w:rPr>
            </w:pPr>
            <w:r w:rsidRPr="00044BB8">
              <w:rPr>
                <w:b/>
                <w:bCs/>
                <w:sz w:val="20"/>
                <w:szCs w:val="20"/>
                <w:lang w:val="es-GT" w:eastAsia="es-GT"/>
              </w:rPr>
              <w:t>Total Ingresos No Tributarios</w:t>
            </w:r>
          </w:p>
        </w:tc>
        <w:tc>
          <w:tcPr>
            <w:tcW w:w="1489" w:type="dxa"/>
            <w:tcBorders>
              <w:top w:val="single" w:sz="8" w:space="0" w:color="auto"/>
              <w:left w:val="nil"/>
              <w:bottom w:val="single" w:sz="8" w:space="0" w:color="auto"/>
              <w:right w:val="single" w:sz="4" w:space="0" w:color="auto"/>
            </w:tcBorders>
            <w:shd w:val="clear" w:color="000000" w:fill="FFFFFF"/>
            <w:noWrap/>
            <w:vAlign w:val="bottom"/>
            <w:hideMark/>
          </w:tcPr>
          <w:p w14:paraId="504BECDC"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4,749.6</w:t>
            </w:r>
          </w:p>
        </w:tc>
        <w:tc>
          <w:tcPr>
            <w:tcW w:w="1442"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14:paraId="0BCAA418"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4,677.6</w:t>
            </w:r>
          </w:p>
        </w:tc>
        <w:tc>
          <w:tcPr>
            <w:tcW w:w="1537" w:type="dxa"/>
            <w:tcBorders>
              <w:top w:val="single" w:sz="8" w:space="0" w:color="auto"/>
              <w:left w:val="nil"/>
              <w:bottom w:val="single" w:sz="8" w:space="0" w:color="auto"/>
              <w:right w:val="single" w:sz="8" w:space="0" w:color="auto"/>
            </w:tcBorders>
            <w:shd w:val="clear" w:color="000000" w:fill="FFFFFF"/>
            <w:noWrap/>
            <w:vAlign w:val="bottom"/>
            <w:hideMark/>
          </w:tcPr>
          <w:p w14:paraId="7805DCF8"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2,552.5</w:t>
            </w:r>
          </w:p>
        </w:tc>
      </w:tr>
      <w:tr w:rsidR="00B545DE" w:rsidRPr="00044BB8" w14:paraId="56AD1DDB" w14:textId="77777777" w:rsidTr="00805D14">
        <w:trPr>
          <w:trHeight w:val="249"/>
          <w:jc w:val="center"/>
        </w:trPr>
        <w:tc>
          <w:tcPr>
            <w:tcW w:w="3863" w:type="dxa"/>
            <w:gridSpan w:val="2"/>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2270B4E9" w14:textId="77777777" w:rsidR="00B545DE" w:rsidRPr="00044BB8" w:rsidRDefault="00B545DE" w:rsidP="00B545DE">
            <w:pPr>
              <w:jc w:val="center"/>
              <w:rPr>
                <w:b/>
                <w:bCs/>
                <w:sz w:val="20"/>
                <w:szCs w:val="20"/>
                <w:lang w:val="es-GT" w:eastAsia="es-GT"/>
              </w:rPr>
            </w:pPr>
            <w:r w:rsidRPr="00044BB8">
              <w:rPr>
                <w:b/>
                <w:bCs/>
                <w:sz w:val="20"/>
                <w:szCs w:val="20"/>
                <w:lang w:val="es-GT" w:eastAsia="es-GT"/>
              </w:rPr>
              <w:t>Ingresos de Capital</w:t>
            </w:r>
          </w:p>
        </w:tc>
        <w:tc>
          <w:tcPr>
            <w:tcW w:w="1489" w:type="dxa"/>
            <w:tcBorders>
              <w:top w:val="nil"/>
              <w:left w:val="nil"/>
              <w:bottom w:val="single" w:sz="8" w:space="0" w:color="auto"/>
              <w:right w:val="single" w:sz="4" w:space="0" w:color="auto"/>
            </w:tcBorders>
            <w:shd w:val="clear" w:color="000000" w:fill="FFFFFF"/>
            <w:noWrap/>
            <w:vAlign w:val="bottom"/>
            <w:hideMark/>
          </w:tcPr>
          <w:p w14:paraId="58D913BA"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122.4</w:t>
            </w:r>
          </w:p>
        </w:tc>
        <w:tc>
          <w:tcPr>
            <w:tcW w:w="1442" w:type="dxa"/>
            <w:tcBorders>
              <w:top w:val="nil"/>
              <w:left w:val="single" w:sz="4" w:space="0" w:color="auto"/>
              <w:bottom w:val="single" w:sz="8" w:space="0" w:color="auto"/>
              <w:right w:val="single" w:sz="4" w:space="0" w:color="auto"/>
            </w:tcBorders>
            <w:shd w:val="clear" w:color="000000" w:fill="FFFFFF"/>
            <w:noWrap/>
            <w:vAlign w:val="bottom"/>
            <w:hideMark/>
          </w:tcPr>
          <w:p w14:paraId="1AD6B28B"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80.1</w:t>
            </w:r>
          </w:p>
        </w:tc>
        <w:tc>
          <w:tcPr>
            <w:tcW w:w="1537" w:type="dxa"/>
            <w:tcBorders>
              <w:top w:val="nil"/>
              <w:left w:val="nil"/>
              <w:bottom w:val="single" w:sz="8" w:space="0" w:color="auto"/>
              <w:right w:val="single" w:sz="8" w:space="0" w:color="auto"/>
            </w:tcBorders>
            <w:shd w:val="clear" w:color="000000" w:fill="FFFFFF"/>
            <w:noWrap/>
            <w:vAlign w:val="bottom"/>
            <w:hideMark/>
          </w:tcPr>
          <w:p w14:paraId="398C4E85" w14:textId="77777777" w:rsidR="00B545DE" w:rsidRPr="00044BB8" w:rsidRDefault="00B545DE" w:rsidP="00B545DE">
            <w:pPr>
              <w:jc w:val="right"/>
              <w:rPr>
                <w:b/>
                <w:bCs/>
                <w:color w:val="000000"/>
                <w:sz w:val="22"/>
                <w:szCs w:val="22"/>
                <w:lang w:val="es-GT" w:eastAsia="es-GT"/>
              </w:rPr>
            </w:pPr>
            <w:r w:rsidRPr="00044BB8">
              <w:rPr>
                <w:b/>
                <w:bCs/>
                <w:color w:val="000000"/>
                <w:sz w:val="22"/>
                <w:szCs w:val="22"/>
                <w:lang w:val="es-GT" w:eastAsia="es-GT"/>
              </w:rPr>
              <w:t>40.9</w:t>
            </w:r>
          </w:p>
        </w:tc>
      </w:tr>
    </w:tbl>
    <w:p w14:paraId="3E730829" w14:textId="77777777" w:rsidR="00805D14" w:rsidRDefault="00805D14" w:rsidP="00805D14">
      <w:pPr>
        <w:rPr>
          <w:bCs/>
          <w:sz w:val="18"/>
        </w:rPr>
      </w:pPr>
      <w:r>
        <w:rPr>
          <w:bCs/>
          <w:sz w:val="18"/>
        </w:rPr>
        <w:t xml:space="preserve">         Fuente: Ministerio de Finanzas Públicas.</w:t>
      </w:r>
    </w:p>
    <w:p w14:paraId="4A5F36B8" w14:textId="77777777" w:rsidR="00B545DE" w:rsidRDefault="00B545DE" w:rsidP="00B545DE">
      <w:pPr>
        <w:rPr>
          <w:bCs/>
          <w:sz w:val="18"/>
        </w:rPr>
      </w:pPr>
    </w:p>
    <w:p w14:paraId="41C31AB8" w14:textId="77777777" w:rsidR="00B545DE" w:rsidRDefault="00B545DE" w:rsidP="00B545DE">
      <w:pPr>
        <w:rPr>
          <w:bCs/>
          <w:sz w:val="18"/>
        </w:rPr>
      </w:pPr>
    </w:p>
    <w:p w14:paraId="74E4D191" w14:textId="77777777" w:rsidR="00B545DE" w:rsidRDefault="00B545DE" w:rsidP="00B545DE">
      <w:pPr>
        <w:rPr>
          <w:bCs/>
          <w:sz w:val="18"/>
        </w:rPr>
      </w:pPr>
    </w:p>
    <w:p w14:paraId="0948A7E2" w14:textId="3B8A7F56" w:rsidR="00B545DE" w:rsidRPr="001C68E2" w:rsidRDefault="000E33A6" w:rsidP="00B545DE">
      <w:pPr>
        <w:jc w:val="center"/>
        <w:rPr>
          <w:b/>
          <w:szCs w:val="36"/>
        </w:rPr>
      </w:pPr>
      <w:r>
        <w:rPr>
          <w:b/>
          <w:szCs w:val="36"/>
        </w:rPr>
        <w:t>Cuadro 21.</w:t>
      </w:r>
      <w:r w:rsidR="00B545DE">
        <w:rPr>
          <w:b/>
          <w:szCs w:val="36"/>
        </w:rPr>
        <w:t xml:space="preserve"> </w:t>
      </w:r>
      <w:r w:rsidR="00B545DE" w:rsidRPr="001C68E2">
        <w:rPr>
          <w:b/>
          <w:szCs w:val="36"/>
        </w:rPr>
        <w:t>Presupuesto Asignado y Estimación de Ingresos Totales</w:t>
      </w:r>
    </w:p>
    <w:p w14:paraId="435D347C" w14:textId="77777777" w:rsidR="00B545DE" w:rsidRPr="001C68E2" w:rsidRDefault="00B545DE" w:rsidP="00B545DE">
      <w:pPr>
        <w:jc w:val="center"/>
        <w:rPr>
          <w:b/>
          <w:szCs w:val="36"/>
        </w:rPr>
      </w:pPr>
      <w:r w:rsidRPr="001C68E2">
        <w:rPr>
          <w:b/>
          <w:szCs w:val="36"/>
        </w:rPr>
        <w:t>Presupuesto y Estimación 2023</w:t>
      </w:r>
    </w:p>
    <w:p w14:paraId="69B35967" w14:textId="25B6394F" w:rsidR="00B545DE" w:rsidRPr="00805D14" w:rsidRDefault="00805D14" w:rsidP="00B545DE">
      <w:pPr>
        <w:jc w:val="center"/>
        <w:rPr>
          <w:b/>
          <w:bCs/>
          <w:szCs w:val="36"/>
        </w:rPr>
      </w:pPr>
      <w:r w:rsidRPr="00805D14">
        <w:rPr>
          <w:b/>
          <w:bCs/>
          <w:szCs w:val="36"/>
        </w:rPr>
        <w:t xml:space="preserve">(En </w:t>
      </w:r>
      <w:r w:rsidR="00B545DE" w:rsidRPr="00805D14">
        <w:rPr>
          <w:b/>
          <w:bCs/>
          <w:szCs w:val="36"/>
        </w:rPr>
        <w:t xml:space="preserve">Millones de </w:t>
      </w:r>
      <w:r w:rsidRPr="00805D14">
        <w:rPr>
          <w:b/>
          <w:bCs/>
          <w:szCs w:val="36"/>
        </w:rPr>
        <w:t>Q</w:t>
      </w:r>
      <w:r w:rsidR="00B545DE" w:rsidRPr="00805D14">
        <w:rPr>
          <w:b/>
          <w:bCs/>
          <w:szCs w:val="36"/>
        </w:rPr>
        <w:t>uetzales</w:t>
      </w:r>
      <w:r w:rsidRPr="00805D14">
        <w:rPr>
          <w:b/>
          <w:bCs/>
          <w:szCs w:val="36"/>
        </w:rPr>
        <w:t>)</w:t>
      </w:r>
    </w:p>
    <w:tbl>
      <w:tblPr>
        <w:tblW w:w="8354" w:type="dxa"/>
        <w:jc w:val="center"/>
        <w:tblCellMar>
          <w:left w:w="70" w:type="dxa"/>
          <w:right w:w="70" w:type="dxa"/>
        </w:tblCellMar>
        <w:tblLook w:val="04A0" w:firstRow="1" w:lastRow="0" w:firstColumn="1" w:lastColumn="0" w:noHBand="0" w:noVBand="1"/>
      </w:tblPr>
      <w:tblGrid>
        <w:gridCol w:w="4074"/>
        <w:gridCol w:w="2153"/>
        <w:gridCol w:w="2127"/>
      </w:tblGrid>
      <w:tr w:rsidR="003F2629" w:rsidRPr="008201D3" w14:paraId="689D8033" w14:textId="77777777" w:rsidTr="003F2629">
        <w:trPr>
          <w:trHeight w:val="502"/>
          <w:jc w:val="center"/>
        </w:trPr>
        <w:tc>
          <w:tcPr>
            <w:tcW w:w="4074" w:type="dxa"/>
            <w:tcBorders>
              <w:top w:val="single" w:sz="8" w:space="0" w:color="auto"/>
              <w:left w:val="single" w:sz="8" w:space="0" w:color="auto"/>
              <w:bottom w:val="single" w:sz="8" w:space="0" w:color="auto"/>
              <w:right w:val="single" w:sz="4" w:space="0" w:color="auto"/>
            </w:tcBorders>
            <w:shd w:val="clear" w:color="auto" w:fill="00B0F0"/>
            <w:noWrap/>
            <w:vAlign w:val="center"/>
            <w:hideMark/>
          </w:tcPr>
          <w:p w14:paraId="2079B4E3" w14:textId="77777777" w:rsidR="00B545DE" w:rsidRPr="008201D3" w:rsidRDefault="00B545DE" w:rsidP="00B545DE">
            <w:pPr>
              <w:jc w:val="center"/>
              <w:rPr>
                <w:b/>
                <w:bCs/>
                <w:szCs w:val="22"/>
                <w:lang w:val="es-GT" w:eastAsia="es-GT"/>
              </w:rPr>
            </w:pPr>
            <w:r w:rsidRPr="008201D3">
              <w:rPr>
                <w:b/>
                <w:bCs/>
                <w:szCs w:val="22"/>
                <w:lang w:val="es-GT" w:eastAsia="es-GT"/>
              </w:rPr>
              <w:t>Concepto</w:t>
            </w:r>
          </w:p>
        </w:tc>
        <w:tc>
          <w:tcPr>
            <w:tcW w:w="2153" w:type="dxa"/>
            <w:tcBorders>
              <w:top w:val="single" w:sz="8" w:space="0" w:color="auto"/>
              <w:left w:val="nil"/>
              <w:bottom w:val="single" w:sz="8" w:space="0" w:color="auto"/>
              <w:right w:val="single" w:sz="4" w:space="0" w:color="auto"/>
            </w:tcBorders>
            <w:shd w:val="clear" w:color="auto" w:fill="00B0F0"/>
            <w:noWrap/>
            <w:vAlign w:val="center"/>
            <w:hideMark/>
          </w:tcPr>
          <w:p w14:paraId="781D3497" w14:textId="77777777" w:rsidR="00B545DE" w:rsidRPr="008201D3" w:rsidRDefault="00B545DE" w:rsidP="00B545DE">
            <w:pPr>
              <w:jc w:val="center"/>
              <w:rPr>
                <w:b/>
                <w:bCs/>
                <w:szCs w:val="22"/>
                <w:lang w:val="es-GT" w:eastAsia="es-GT"/>
              </w:rPr>
            </w:pPr>
            <w:r w:rsidRPr="008201D3">
              <w:rPr>
                <w:b/>
                <w:bCs/>
                <w:szCs w:val="22"/>
                <w:lang w:val="es-GT" w:eastAsia="es-GT"/>
              </w:rPr>
              <w:t>Presupuesto</w:t>
            </w:r>
          </w:p>
        </w:tc>
        <w:tc>
          <w:tcPr>
            <w:tcW w:w="2127" w:type="dxa"/>
            <w:tcBorders>
              <w:top w:val="single" w:sz="8" w:space="0" w:color="auto"/>
              <w:left w:val="nil"/>
              <w:bottom w:val="single" w:sz="8" w:space="0" w:color="auto"/>
              <w:right w:val="single" w:sz="8" w:space="0" w:color="auto"/>
            </w:tcBorders>
            <w:shd w:val="clear" w:color="auto" w:fill="00B0F0"/>
            <w:noWrap/>
            <w:vAlign w:val="center"/>
            <w:hideMark/>
          </w:tcPr>
          <w:p w14:paraId="137773AD" w14:textId="77777777" w:rsidR="00B545DE" w:rsidRPr="008201D3" w:rsidRDefault="00B545DE" w:rsidP="00B545DE">
            <w:pPr>
              <w:jc w:val="center"/>
              <w:rPr>
                <w:b/>
                <w:bCs/>
                <w:szCs w:val="22"/>
                <w:lang w:val="es-GT" w:eastAsia="es-GT"/>
              </w:rPr>
            </w:pPr>
            <w:r w:rsidRPr="008201D3">
              <w:rPr>
                <w:b/>
                <w:bCs/>
                <w:szCs w:val="22"/>
                <w:lang w:val="es-GT" w:eastAsia="es-GT"/>
              </w:rPr>
              <w:t>Estimación</w:t>
            </w:r>
          </w:p>
        </w:tc>
      </w:tr>
      <w:tr w:rsidR="00B545DE" w:rsidRPr="003F2629" w14:paraId="51E23CD6" w14:textId="77777777" w:rsidTr="003F2629">
        <w:trPr>
          <w:trHeight w:val="285"/>
          <w:jc w:val="center"/>
        </w:trPr>
        <w:tc>
          <w:tcPr>
            <w:tcW w:w="4074" w:type="dxa"/>
            <w:tcBorders>
              <w:top w:val="nil"/>
              <w:left w:val="single" w:sz="8" w:space="0" w:color="auto"/>
              <w:bottom w:val="nil"/>
              <w:right w:val="single" w:sz="4" w:space="0" w:color="auto"/>
            </w:tcBorders>
            <w:shd w:val="clear" w:color="auto" w:fill="auto"/>
            <w:noWrap/>
            <w:vAlign w:val="bottom"/>
            <w:hideMark/>
          </w:tcPr>
          <w:p w14:paraId="7D4C01E2" w14:textId="77777777" w:rsidR="00B545DE" w:rsidRPr="003F2629" w:rsidRDefault="00B545DE" w:rsidP="00B545DE">
            <w:pPr>
              <w:jc w:val="center"/>
              <w:rPr>
                <w:b/>
                <w:bCs/>
                <w:color w:val="000000"/>
                <w:sz w:val="22"/>
                <w:szCs w:val="22"/>
                <w:lang w:val="es-GT" w:eastAsia="es-GT"/>
              </w:rPr>
            </w:pPr>
            <w:r w:rsidRPr="003F2629">
              <w:rPr>
                <w:b/>
                <w:bCs/>
                <w:color w:val="000000"/>
                <w:sz w:val="22"/>
                <w:szCs w:val="22"/>
                <w:lang w:val="es-GT" w:eastAsia="es-GT"/>
              </w:rPr>
              <w:t>Total</w:t>
            </w:r>
          </w:p>
        </w:tc>
        <w:tc>
          <w:tcPr>
            <w:tcW w:w="2153" w:type="dxa"/>
            <w:tcBorders>
              <w:top w:val="nil"/>
              <w:left w:val="nil"/>
              <w:bottom w:val="nil"/>
              <w:right w:val="single" w:sz="4" w:space="0" w:color="auto"/>
            </w:tcBorders>
            <w:shd w:val="clear" w:color="auto" w:fill="auto"/>
            <w:noWrap/>
            <w:vAlign w:val="bottom"/>
            <w:hideMark/>
          </w:tcPr>
          <w:p w14:paraId="67F147BD" w14:textId="77777777" w:rsidR="00B545DE" w:rsidRPr="003F2629" w:rsidRDefault="00B545DE" w:rsidP="00B545DE">
            <w:pPr>
              <w:jc w:val="right"/>
              <w:rPr>
                <w:b/>
                <w:bCs/>
                <w:color w:val="000000"/>
                <w:sz w:val="22"/>
                <w:szCs w:val="22"/>
                <w:lang w:val="es-GT" w:eastAsia="es-GT"/>
              </w:rPr>
            </w:pPr>
            <w:r w:rsidRPr="003F2629">
              <w:rPr>
                <w:b/>
                <w:bCs/>
                <w:color w:val="000000"/>
                <w:sz w:val="22"/>
                <w:szCs w:val="22"/>
                <w:lang w:val="es-GT" w:eastAsia="es-GT"/>
              </w:rPr>
              <w:t>118,159.7</w:t>
            </w:r>
          </w:p>
        </w:tc>
        <w:tc>
          <w:tcPr>
            <w:tcW w:w="2127" w:type="dxa"/>
            <w:tcBorders>
              <w:top w:val="nil"/>
              <w:left w:val="nil"/>
              <w:bottom w:val="nil"/>
              <w:right w:val="single" w:sz="8" w:space="0" w:color="auto"/>
            </w:tcBorders>
            <w:shd w:val="clear" w:color="auto" w:fill="auto"/>
            <w:noWrap/>
            <w:vAlign w:val="bottom"/>
            <w:hideMark/>
          </w:tcPr>
          <w:p w14:paraId="2E5A1B9E" w14:textId="77777777" w:rsidR="00B545DE" w:rsidRPr="003F2629" w:rsidRDefault="00B545DE" w:rsidP="00B545DE">
            <w:pPr>
              <w:jc w:val="right"/>
              <w:rPr>
                <w:b/>
                <w:bCs/>
                <w:color w:val="000000"/>
                <w:sz w:val="22"/>
                <w:szCs w:val="22"/>
                <w:lang w:val="es-GT" w:eastAsia="es-GT"/>
              </w:rPr>
            </w:pPr>
            <w:r w:rsidRPr="003F2629">
              <w:rPr>
                <w:b/>
                <w:bCs/>
                <w:color w:val="000000"/>
                <w:sz w:val="22"/>
                <w:szCs w:val="22"/>
                <w:lang w:val="es-GT" w:eastAsia="es-GT"/>
              </w:rPr>
              <w:t>115,534.2</w:t>
            </w:r>
          </w:p>
        </w:tc>
      </w:tr>
      <w:tr w:rsidR="00B545DE" w:rsidRPr="003F2629" w14:paraId="61F7CF26" w14:textId="77777777" w:rsidTr="003F2629">
        <w:trPr>
          <w:trHeight w:val="330"/>
          <w:jc w:val="center"/>
        </w:trPr>
        <w:tc>
          <w:tcPr>
            <w:tcW w:w="4074" w:type="dxa"/>
            <w:tcBorders>
              <w:top w:val="nil"/>
              <w:left w:val="single" w:sz="8" w:space="0" w:color="auto"/>
              <w:bottom w:val="nil"/>
              <w:right w:val="single" w:sz="4" w:space="0" w:color="auto"/>
            </w:tcBorders>
            <w:shd w:val="clear" w:color="auto" w:fill="auto"/>
            <w:noWrap/>
            <w:vAlign w:val="bottom"/>
            <w:hideMark/>
          </w:tcPr>
          <w:p w14:paraId="6F44BFAC" w14:textId="77777777" w:rsidR="00B545DE" w:rsidRPr="003F2629" w:rsidRDefault="00B545DE" w:rsidP="00B545DE">
            <w:pPr>
              <w:rPr>
                <w:color w:val="000000"/>
                <w:sz w:val="22"/>
                <w:szCs w:val="22"/>
                <w:lang w:val="es-GT" w:eastAsia="es-GT"/>
              </w:rPr>
            </w:pPr>
            <w:r w:rsidRPr="003F2629">
              <w:rPr>
                <w:color w:val="000000"/>
                <w:sz w:val="22"/>
                <w:szCs w:val="22"/>
                <w:lang w:val="es-GT" w:eastAsia="es-GT"/>
              </w:rPr>
              <w:t>Ingresos Tributarios</w:t>
            </w:r>
          </w:p>
        </w:tc>
        <w:tc>
          <w:tcPr>
            <w:tcW w:w="2153" w:type="dxa"/>
            <w:tcBorders>
              <w:top w:val="nil"/>
              <w:left w:val="nil"/>
              <w:bottom w:val="nil"/>
              <w:right w:val="single" w:sz="4" w:space="0" w:color="auto"/>
            </w:tcBorders>
            <w:shd w:val="clear" w:color="auto" w:fill="auto"/>
            <w:noWrap/>
            <w:vAlign w:val="bottom"/>
            <w:hideMark/>
          </w:tcPr>
          <w:p w14:paraId="3B7A12D6"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86,247.6</w:t>
            </w:r>
          </w:p>
        </w:tc>
        <w:tc>
          <w:tcPr>
            <w:tcW w:w="2127" w:type="dxa"/>
            <w:tcBorders>
              <w:top w:val="nil"/>
              <w:left w:val="nil"/>
              <w:bottom w:val="nil"/>
              <w:right w:val="single" w:sz="8" w:space="0" w:color="auto"/>
            </w:tcBorders>
            <w:shd w:val="clear" w:color="auto" w:fill="auto"/>
            <w:noWrap/>
            <w:vAlign w:val="bottom"/>
            <w:hideMark/>
          </w:tcPr>
          <w:p w14:paraId="55315E34"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93,407.6</w:t>
            </w:r>
          </w:p>
        </w:tc>
      </w:tr>
      <w:tr w:rsidR="00B545DE" w:rsidRPr="003F2629" w14:paraId="1223B124" w14:textId="77777777" w:rsidTr="003F2629">
        <w:trPr>
          <w:trHeight w:val="334"/>
          <w:jc w:val="center"/>
        </w:trPr>
        <w:tc>
          <w:tcPr>
            <w:tcW w:w="4074" w:type="dxa"/>
            <w:tcBorders>
              <w:top w:val="nil"/>
              <w:left w:val="single" w:sz="8" w:space="0" w:color="auto"/>
              <w:bottom w:val="nil"/>
              <w:right w:val="single" w:sz="4" w:space="0" w:color="auto"/>
            </w:tcBorders>
            <w:shd w:val="clear" w:color="auto" w:fill="auto"/>
            <w:noWrap/>
            <w:vAlign w:val="bottom"/>
            <w:hideMark/>
          </w:tcPr>
          <w:p w14:paraId="7AD2D1F9" w14:textId="77777777" w:rsidR="00B545DE" w:rsidRPr="003F2629" w:rsidRDefault="00B545DE" w:rsidP="00B545DE">
            <w:pPr>
              <w:rPr>
                <w:color w:val="000000"/>
                <w:sz w:val="22"/>
                <w:szCs w:val="22"/>
                <w:lang w:val="es-GT" w:eastAsia="es-GT"/>
              </w:rPr>
            </w:pPr>
            <w:r w:rsidRPr="003F2629">
              <w:rPr>
                <w:color w:val="000000"/>
                <w:sz w:val="22"/>
                <w:szCs w:val="22"/>
                <w:lang w:val="es-GT" w:eastAsia="es-GT"/>
              </w:rPr>
              <w:t>Ingresos No Tributarios</w:t>
            </w:r>
          </w:p>
        </w:tc>
        <w:tc>
          <w:tcPr>
            <w:tcW w:w="2153" w:type="dxa"/>
            <w:tcBorders>
              <w:top w:val="nil"/>
              <w:left w:val="nil"/>
              <w:bottom w:val="nil"/>
              <w:right w:val="single" w:sz="4" w:space="0" w:color="auto"/>
            </w:tcBorders>
            <w:shd w:val="clear" w:color="auto" w:fill="auto"/>
            <w:noWrap/>
            <w:vAlign w:val="bottom"/>
            <w:hideMark/>
          </w:tcPr>
          <w:p w14:paraId="04CE3040"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4,749.6</w:t>
            </w:r>
          </w:p>
        </w:tc>
        <w:tc>
          <w:tcPr>
            <w:tcW w:w="2127" w:type="dxa"/>
            <w:tcBorders>
              <w:top w:val="nil"/>
              <w:left w:val="nil"/>
              <w:bottom w:val="nil"/>
              <w:right w:val="single" w:sz="8" w:space="0" w:color="auto"/>
            </w:tcBorders>
            <w:shd w:val="clear" w:color="auto" w:fill="auto"/>
            <w:noWrap/>
            <w:vAlign w:val="bottom"/>
            <w:hideMark/>
          </w:tcPr>
          <w:p w14:paraId="751DC536"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4,677.6</w:t>
            </w:r>
          </w:p>
        </w:tc>
      </w:tr>
      <w:tr w:rsidR="00B545DE" w:rsidRPr="003F2629" w14:paraId="61F9623F" w14:textId="77777777" w:rsidTr="003F2629">
        <w:trPr>
          <w:trHeight w:val="339"/>
          <w:jc w:val="center"/>
        </w:trPr>
        <w:tc>
          <w:tcPr>
            <w:tcW w:w="4074" w:type="dxa"/>
            <w:tcBorders>
              <w:top w:val="nil"/>
              <w:left w:val="single" w:sz="8" w:space="0" w:color="auto"/>
              <w:bottom w:val="nil"/>
              <w:right w:val="single" w:sz="4" w:space="0" w:color="auto"/>
            </w:tcBorders>
            <w:shd w:val="clear" w:color="auto" w:fill="auto"/>
            <w:noWrap/>
            <w:vAlign w:val="bottom"/>
            <w:hideMark/>
          </w:tcPr>
          <w:p w14:paraId="7E4F63C1" w14:textId="77777777" w:rsidR="00B545DE" w:rsidRPr="003F2629" w:rsidRDefault="00B545DE" w:rsidP="00B545DE">
            <w:pPr>
              <w:rPr>
                <w:color w:val="000000"/>
                <w:sz w:val="22"/>
                <w:szCs w:val="22"/>
                <w:lang w:val="es-GT" w:eastAsia="es-GT"/>
              </w:rPr>
            </w:pPr>
            <w:r w:rsidRPr="003F2629">
              <w:rPr>
                <w:color w:val="000000"/>
                <w:sz w:val="22"/>
                <w:szCs w:val="22"/>
                <w:lang w:val="es-GT" w:eastAsia="es-GT"/>
              </w:rPr>
              <w:t>Ingresos de Capital</w:t>
            </w:r>
          </w:p>
        </w:tc>
        <w:tc>
          <w:tcPr>
            <w:tcW w:w="2153" w:type="dxa"/>
            <w:tcBorders>
              <w:top w:val="nil"/>
              <w:left w:val="nil"/>
              <w:bottom w:val="nil"/>
              <w:right w:val="single" w:sz="4" w:space="0" w:color="auto"/>
            </w:tcBorders>
            <w:shd w:val="clear" w:color="auto" w:fill="auto"/>
            <w:noWrap/>
            <w:vAlign w:val="bottom"/>
            <w:hideMark/>
          </w:tcPr>
          <w:p w14:paraId="46B2CD5D"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122.4</w:t>
            </w:r>
          </w:p>
        </w:tc>
        <w:tc>
          <w:tcPr>
            <w:tcW w:w="2127" w:type="dxa"/>
            <w:tcBorders>
              <w:top w:val="nil"/>
              <w:left w:val="nil"/>
              <w:bottom w:val="nil"/>
              <w:right w:val="single" w:sz="8" w:space="0" w:color="auto"/>
            </w:tcBorders>
            <w:shd w:val="clear" w:color="auto" w:fill="auto"/>
            <w:noWrap/>
            <w:vAlign w:val="bottom"/>
            <w:hideMark/>
          </w:tcPr>
          <w:p w14:paraId="547D3224"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80.1</w:t>
            </w:r>
          </w:p>
        </w:tc>
      </w:tr>
      <w:tr w:rsidR="00B545DE" w:rsidRPr="003F2629" w14:paraId="431EA3CA" w14:textId="77777777" w:rsidTr="003F2629">
        <w:trPr>
          <w:trHeight w:val="327"/>
          <w:jc w:val="center"/>
        </w:trPr>
        <w:tc>
          <w:tcPr>
            <w:tcW w:w="4074" w:type="dxa"/>
            <w:tcBorders>
              <w:top w:val="nil"/>
              <w:left w:val="single" w:sz="8" w:space="0" w:color="auto"/>
              <w:bottom w:val="nil"/>
              <w:right w:val="single" w:sz="4" w:space="0" w:color="auto"/>
            </w:tcBorders>
            <w:shd w:val="clear" w:color="auto" w:fill="auto"/>
            <w:noWrap/>
            <w:vAlign w:val="bottom"/>
            <w:hideMark/>
          </w:tcPr>
          <w:p w14:paraId="373AFC8E" w14:textId="77777777" w:rsidR="00B545DE" w:rsidRPr="003F2629" w:rsidRDefault="00B545DE" w:rsidP="00B545DE">
            <w:pPr>
              <w:rPr>
                <w:color w:val="000000"/>
                <w:sz w:val="22"/>
                <w:szCs w:val="22"/>
                <w:lang w:val="es-GT" w:eastAsia="es-GT"/>
              </w:rPr>
            </w:pPr>
            <w:r w:rsidRPr="003F2629">
              <w:rPr>
                <w:color w:val="000000"/>
                <w:sz w:val="22"/>
                <w:szCs w:val="22"/>
                <w:lang w:val="es-GT" w:eastAsia="es-GT"/>
              </w:rPr>
              <w:t>Desembolsos de Préstamos</w:t>
            </w:r>
          </w:p>
        </w:tc>
        <w:tc>
          <w:tcPr>
            <w:tcW w:w="2153" w:type="dxa"/>
            <w:tcBorders>
              <w:top w:val="nil"/>
              <w:left w:val="nil"/>
              <w:bottom w:val="nil"/>
              <w:right w:val="single" w:sz="4" w:space="0" w:color="auto"/>
            </w:tcBorders>
            <w:shd w:val="clear" w:color="auto" w:fill="auto"/>
            <w:noWrap/>
            <w:vAlign w:val="bottom"/>
            <w:hideMark/>
          </w:tcPr>
          <w:p w14:paraId="6CF79C1D"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3,096.7</w:t>
            </w:r>
          </w:p>
        </w:tc>
        <w:tc>
          <w:tcPr>
            <w:tcW w:w="2127" w:type="dxa"/>
            <w:tcBorders>
              <w:top w:val="nil"/>
              <w:left w:val="nil"/>
              <w:bottom w:val="nil"/>
              <w:right w:val="single" w:sz="8" w:space="0" w:color="auto"/>
            </w:tcBorders>
            <w:shd w:val="clear" w:color="auto" w:fill="auto"/>
            <w:noWrap/>
            <w:vAlign w:val="bottom"/>
            <w:hideMark/>
          </w:tcPr>
          <w:p w14:paraId="722CFE24"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2,477.4</w:t>
            </w:r>
          </w:p>
        </w:tc>
      </w:tr>
      <w:tr w:rsidR="00B545DE" w:rsidRPr="003F2629" w14:paraId="7CC04BC7" w14:textId="77777777" w:rsidTr="003F2629">
        <w:trPr>
          <w:trHeight w:val="316"/>
          <w:jc w:val="center"/>
        </w:trPr>
        <w:tc>
          <w:tcPr>
            <w:tcW w:w="4074" w:type="dxa"/>
            <w:tcBorders>
              <w:top w:val="nil"/>
              <w:left w:val="single" w:sz="8" w:space="0" w:color="auto"/>
              <w:bottom w:val="nil"/>
              <w:right w:val="single" w:sz="4" w:space="0" w:color="auto"/>
            </w:tcBorders>
            <w:shd w:val="clear" w:color="auto" w:fill="auto"/>
            <w:noWrap/>
            <w:vAlign w:val="bottom"/>
            <w:hideMark/>
          </w:tcPr>
          <w:p w14:paraId="097E47D7" w14:textId="77777777" w:rsidR="00B545DE" w:rsidRPr="003F2629" w:rsidRDefault="00B545DE" w:rsidP="00B545DE">
            <w:pPr>
              <w:rPr>
                <w:color w:val="000000"/>
                <w:sz w:val="22"/>
                <w:szCs w:val="22"/>
                <w:lang w:val="es-GT" w:eastAsia="es-GT"/>
              </w:rPr>
            </w:pPr>
            <w:r w:rsidRPr="003F2629">
              <w:rPr>
                <w:color w:val="000000"/>
                <w:sz w:val="22"/>
                <w:szCs w:val="22"/>
                <w:lang w:val="es-GT" w:eastAsia="es-GT"/>
              </w:rPr>
              <w:t xml:space="preserve">Negociaciones de Bonos* </w:t>
            </w:r>
          </w:p>
        </w:tc>
        <w:tc>
          <w:tcPr>
            <w:tcW w:w="2153" w:type="dxa"/>
            <w:tcBorders>
              <w:top w:val="nil"/>
              <w:left w:val="nil"/>
              <w:bottom w:val="nil"/>
              <w:right w:val="single" w:sz="4" w:space="0" w:color="auto"/>
            </w:tcBorders>
            <w:shd w:val="clear" w:color="auto" w:fill="auto"/>
            <w:noWrap/>
            <w:vAlign w:val="bottom"/>
            <w:hideMark/>
          </w:tcPr>
          <w:p w14:paraId="4C96B336"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12,775.1</w:t>
            </w:r>
          </w:p>
        </w:tc>
        <w:tc>
          <w:tcPr>
            <w:tcW w:w="2127" w:type="dxa"/>
            <w:tcBorders>
              <w:top w:val="nil"/>
              <w:left w:val="nil"/>
              <w:bottom w:val="nil"/>
              <w:right w:val="single" w:sz="8" w:space="0" w:color="auto"/>
            </w:tcBorders>
            <w:shd w:val="clear" w:color="auto" w:fill="auto"/>
            <w:noWrap/>
            <w:vAlign w:val="bottom"/>
            <w:hideMark/>
          </w:tcPr>
          <w:p w14:paraId="4C65E99F"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12,136.4</w:t>
            </w:r>
          </w:p>
        </w:tc>
      </w:tr>
      <w:tr w:rsidR="00B545DE" w:rsidRPr="003F2629" w14:paraId="7DF06F9B" w14:textId="77777777" w:rsidTr="003F2629">
        <w:trPr>
          <w:trHeight w:val="353"/>
          <w:jc w:val="center"/>
        </w:trPr>
        <w:tc>
          <w:tcPr>
            <w:tcW w:w="4074" w:type="dxa"/>
            <w:tcBorders>
              <w:top w:val="nil"/>
              <w:left w:val="single" w:sz="8" w:space="0" w:color="auto"/>
              <w:bottom w:val="single" w:sz="8" w:space="0" w:color="auto"/>
              <w:right w:val="single" w:sz="4" w:space="0" w:color="auto"/>
            </w:tcBorders>
            <w:shd w:val="clear" w:color="auto" w:fill="auto"/>
            <w:noWrap/>
            <w:vAlign w:val="bottom"/>
            <w:hideMark/>
          </w:tcPr>
          <w:p w14:paraId="78281B62" w14:textId="78876BA2" w:rsidR="00B545DE" w:rsidRPr="003F2629" w:rsidRDefault="00B545DE" w:rsidP="00B545DE">
            <w:pPr>
              <w:rPr>
                <w:color w:val="000000"/>
                <w:sz w:val="22"/>
                <w:szCs w:val="22"/>
                <w:lang w:val="es-GT" w:eastAsia="es-GT"/>
              </w:rPr>
            </w:pPr>
            <w:r w:rsidRPr="003F2629">
              <w:rPr>
                <w:color w:val="000000"/>
                <w:sz w:val="22"/>
                <w:szCs w:val="22"/>
                <w:lang w:val="es-GT" w:eastAsia="es-GT"/>
              </w:rPr>
              <w:t xml:space="preserve">Uso de </w:t>
            </w:r>
            <w:r w:rsidR="00054AA5" w:rsidRPr="003F2629">
              <w:rPr>
                <w:color w:val="000000"/>
                <w:sz w:val="22"/>
                <w:szCs w:val="22"/>
                <w:lang w:val="es-GT" w:eastAsia="es-GT"/>
              </w:rPr>
              <w:t>Recurso</w:t>
            </w:r>
            <w:r w:rsidR="00054AA5">
              <w:rPr>
                <w:color w:val="000000"/>
                <w:sz w:val="22"/>
                <w:szCs w:val="22"/>
                <w:lang w:val="es-GT" w:eastAsia="es-GT"/>
              </w:rPr>
              <w:t>s</w:t>
            </w:r>
            <w:r w:rsidRPr="003F2629">
              <w:rPr>
                <w:color w:val="000000"/>
                <w:sz w:val="22"/>
                <w:szCs w:val="22"/>
                <w:lang w:val="es-GT" w:eastAsia="es-GT"/>
              </w:rPr>
              <w:t xml:space="preserve"> de Caja</w:t>
            </w:r>
          </w:p>
        </w:tc>
        <w:tc>
          <w:tcPr>
            <w:tcW w:w="2153" w:type="dxa"/>
            <w:tcBorders>
              <w:top w:val="nil"/>
              <w:left w:val="nil"/>
              <w:bottom w:val="single" w:sz="8" w:space="0" w:color="auto"/>
              <w:right w:val="single" w:sz="4" w:space="0" w:color="auto"/>
            </w:tcBorders>
            <w:shd w:val="clear" w:color="auto" w:fill="auto"/>
            <w:noWrap/>
            <w:vAlign w:val="bottom"/>
            <w:hideMark/>
          </w:tcPr>
          <w:p w14:paraId="35AF75D0"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11,168.3</w:t>
            </w:r>
          </w:p>
        </w:tc>
        <w:tc>
          <w:tcPr>
            <w:tcW w:w="2127" w:type="dxa"/>
            <w:tcBorders>
              <w:top w:val="nil"/>
              <w:left w:val="nil"/>
              <w:bottom w:val="single" w:sz="8" w:space="0" w:color="auto"/>
              <w:right w:val="single" w:sz="8" w:space="0" w:color="auto"/>
            </w:tcBorders>
            <w:shd w:val="clear" w:color="auto" w:fill="auto"/>
            <w:noWrap/>
            <w:vAlign w:val="bottom"/>
            <w:hideMark/>
          </w:tcPr>
          <w:p w14:paraId="2747861B" w14:textId="77777777" w:rsidR="00B545DE" w:rsidRPr="003F2629" w:rsidRDefault="00B545DE" w:rsidP="00B545DE">
            <w:pPr>
              <w:jc w:val="right"/>
              <w:rPr>
                <w:color w:val="000000"/>
                <w:sz w:val="22"/>
                <w:szCs w:val="22"/>
                <w:lang w:val="es-GT" w:eastAsia="es-GT"/>
              </w:rPr>
            </w:pPr>
            <w:r w:rsidRPr="003F2629">
              <w:rPr>
                <w:color w:val="000000"/>
                <w:sz w:val="22"/>
                <w:szCs w:val="22"/>
                <w:lang w:val="es-GT" w:eastAsia="es-GT"/>
              </w:rPr>
              <w:t>2,755.1</w:t>
            </w:r>
          </w:p>
        </w:tc>
      </w:tr>
    </w:tbl>
    <w:p w14:paraId="0BF67730" w14:textId="00F786E1" w:rsidR="00B545DE" w:rsidRDefault="00805D14" w:rsidP="00805D14">
      <w:pPr>
        <w:rPr>
          <w:bCs/>
          <w:sz w:val="18"/>
        </w:rPr>
      </w:pPr>
      <w:r>
        <w:rPr>
          <w:bCs/>
          <w:sz w:val="18"/>
        </w:rPr>
        <w:t xml:space="preserve">       </w:t>
      </w:r>
      <w:r w:rsidR="00B545DE">
        <w:rPr>
          <w:bCs/>
          <w:sz w:val="18"/>
        </w:rPr>
        <w:t>*Incluye Bonos del Tesoro</w:t>
      </w:r>
    </w:p>
    <w:p w14:paraId="094712E1" w14:textId="071A5A46" w:rsidR="00B545DE" w:rsidRDefault="00805D14" w:rsidP="00805D14">
      <w:pPr>
        <w:rPr>
          <w:bCs/>
          <w:sz w:val="18"/>
        </w:rPr>
      </w:pPr>
      <w:r>
        <w:rPr>
          <w:bCs/>
          <w:sz w:val="18"/>
        </w:rPr>
        <w:t xml:space="preserve">         </w:t>
      </w:r>
      <w:r w:rsidR="00B545DE">
        <w:rPr>
          <w:bCs/>
          <w:sz w:val="18"/>
        </w:rPr>
        <w:t>Fuente: Ministerio de Finanzas Públicas</w:t>
      </w:r>
      <w:r>
        <w:rPr>
          <w:bCs/>
          <w:sz w:val="18"/>
        </w:rPr>
        <w:t>.</w:t>
      </w:r>
    </w:p>
    <w:p w14:paraId="0EF664A1" w14:textId="1A56D3D4" w:rsidR="00B545DE" w:rsidRDefault="00B545DE" w:rsidP="00B545DE">
      <w:pPr>
        <w:jc w:val="both"/>
        <w:rPr>
          <w:bCs/>
          <w:sz w:val="18"/>
        </w:rPr>
      </w:pPr>
      <w:r>
        <w:t>El cuadro anterior refleja un nivel de cierre</w:t>
      </w:r>
      <w:r w:rsidR="003F2629">
        <w:t xml:space="preserve"> para 2023</w:t>
      </w:r>
      <w:r>
        <w:t xml:space="preserve"> de los Ingresos Totales que asciende a Q</w:t>
      </w:r>
      <w:r w:rsidR="003F2629">
        <w:t>.</w:t>
      </w:r>
      <w:r>
        <w:t>115,534.2 millones (incluyendo fuentes financieras), de los cuales los Ingresos Tributarios cerrarían en Q.93,407.6 millones dados los niveles de recaudación reportados por la Superintendencia de Administración Tributaria (SAT); los Bonos del Tesoro se estima que cierren en Q</w:t>
      </w:r>
      <w:r w:rsidR="003F2629">
        <w:t>.</w:t>
      </w:r>
      <w:r>
        <w:t>12,136.4 millones; mientras que los Ingresos No Tributarios podrían situarse en torno a los Q</w:t>
      </w:r>
      <w:r w:rsidR="003F2629">
        <w:t>.</w:t>
      </w:r>
      <w:r>
        <w:t>4,677.6 millones.</w:t>
      </w:r>
    </w:p>
    <w:p w14:paraId="1D7F27E4" w14:textId="3EAAC885" w:rsidR="00B545DE" w:rsidRPr="000E33A6" w:rsidRDefault="00B545DE" w:rsidP="00B545DE">
      <w:pPr>
        <w:rPr>
          <w:bCs/>
          <w:sz w:val="12"/>
        </w:rPr>
      </w:pPr>
    </w:p>
    <w:p w14:paraId="38DB77CD" w14:textId="77777777" w:rsidR="003F2629" w:rsidRDefault="003F2629" w:rsidP="00B545DE">
      <w:pPr>
        <w:rPr>
          <w:bCs/>
          <w:sz w:val="18"/>
        </w:rPr>
      </w:pPr>
    </w:p>
    <w:p w14:paraId="322A2088" w14:textId="77777777" w:rsidR="00B545DE" w:rsidRPr="00AD03E4" w:rsidRDefault="00B545DE" w:rsidP="00AD03E4">
      <w:pPr>
        <w:pStyle w:val="Ttulo2"/>
        <w:numPr>
          <w:ilvl w:val="0"/>
          <w:numId w:val="6"/>
        </w:numPr>
        <w:ind w:left="426"/>
        <w:rPr>
          <w:rFonts w:ascii="Times New Roman" w:hAnsi="Times New Roman"/>
          <w:color w:val="auto"/>
          <w:sz w:val="24"/>
        </w:rPr>
      </w:pPr>
      <w:bookmarkStart w:id="65" w:name="_Toc20495564"/>
      <w:bookmarkStart w:id="66" w:name="_Toc142549354"/>
      <w:bookmarkStart w:id="67" w:name="_Toc142920562"/>
      <w:r w:rsidRPr="00AD03E4">
        <w:rPr>
          <w:rFonts w:ascii="Times New Roman" w:hAnsi="Times New Roman"/>
          <w:color w:val="auto"/>
          <w:sz w:val="24"/>
        </w:rPr>
        <w:t>Gastos</w:t>
      </w:r>
      <w:bookmarkEnd w:id="65"/>
      <w:bookmarkEnd w:id="66"/>
      <w:bookmarkEnd w:id="67"/>
      <w:r w:rsidRPr="00AD03E4">
        <w:rPr>
          <w:rFonts w:ascii="Times New Roman" w:hAnsi="Times New Roman"/>
          <w:color w:val="auto"/>
          <w:sz w:val="24"/>
        </w:rPr>
        <w:t xml:space="preserve"> </w:t>
      </w:r>
    </w:p>
    <w:p w14:paraId="152EDEEB" w14:textId="77777777" w:rsidR="00B545DE" w:rsidRDefault="00B545DE" w:rsidP="00B545DE"/>
    <w:p w14:paraId="422AAB39" w14:textId="07945D4E" w:rsidR="00B545DE" w:rsidRDefault="00B545DE" w:rsidP="00B545DE">
      <w:pPr>
        <w:jc w:val="both"/>
      </w:pPr>
      <w:r>
        <w:t>En lo que respecta a la dinámica de la ejecución del gasto, el 2023 cont</w:t>
      </w:r>
      <w:r w:rsidR="003F2629">
        <w:t>ó</w:t>
      </w:r>
      <w:r>
        <w:t xml:space="preserve"> nuevamente con un presupuesto aprobado, por segundo año consecutivo, lo cual </w:t>
      </w:r>
      <w:r w:rsidRPr="00013BC7">
        <w:t xml:space="preserve">es bastante favorable para la política fiscal y el manejo de la misma, dado que las entidades </w:t>
      </w:r>
      <w:r>
        <w:t xml:space="preserve">inician el año </w:t>
      </w:r>
      <w:r w:rsidRPr="00013BC7">
        <w:t>con un presupuesto que es congruente con su planificación y los objetivos propuestos para el ejercicio fiscal.</w:t>
      </w:r>
      <w:r>
        <w:t xml:space="preserve"> Se espera que una vez superada la crisis económica y de salud del C</w:t>
      </w:r>
      <w:r w:rsidR="003F2629">
        <w:t>ovid</w:t>
      </w:r>
      <w:r>
        <w:t>-19, y después de lograr controlar la inflación luego de alcanzar su pico en febrero del 2023, el gasto público tienda a un comportamiento más acorde al comportamiento histórico y no responda tanto a factores coyunturales.</w:t>
      </w:r>
    </w:p>
    <w:p w14:paraId="79F778FA" w14:textId="77777777" w:rsidR="00B545DE" w:rsidRDefault="00B545DE" w:rsidP="00B545DE">
      <w:pPr>
        <w:jc w:val="both"/>
      </w:pPr>
    </w:p>
    <w:p w14:paraId="25E915C5" w14:textId="7EBDF4CA" w:rsidR="00B545DE" w:rsidRDefault="00B545DE" w:rsidP="00B545DE">
      <w:pPr>
        <w:jc w:val="both"/>
      </w:pPr>
      <w:r>
        <w:t>El presupuesto aprobado alcanza los Q</w:t>
      </w:r>
      <w:r w:rsidR="003F2629">
        <w:t>.</w:t>
      </w:r>
      <w:r>
        <w:t>115,443.7 millones y a junio</w:t>
      </w:r>
      <w:r w:rsidR="003F2629">
        <w:t xml:space="preserve"> de 2023</w:t>
      </w:r>
      <w:r>
        <w:t xml:space="preserve"> las ampliaciones presupuestarias son de Q</w:t>
      </w:r>
      <w:r w:rsidR="003F2629">
        <w:t>.</w:t>
      </w:r>
      <w:r>
        <w:t>2,716.0 millones, alcanzando el presupuesto vigente los Q</w:t>
      </w:r>
      <w:r w:rsidR="003F2629">
        <w:t>.</w:t>
      </w:r>
      <w:r>
        <w:t>118,159.7 millones.</w:t>
      </w:r>
    </w:p>
    <w:p w14:paraId="79F4DF49" w14:textId="77777777" w:rsidR="00B545DE" w:rsidRPr="000E33A6" w:rsidRDefault="00B545DE" w:rsidP="00B545DE">
      <w:pPr>
        <w:jc w:val="both"/>
        <w:rPr>
          <w:sz w:val="20"/>
        </w:rPr>
      </w:pPr>
    </w:p>
    <w:p w14:paraId="4226E09E" w14:textId="0450E191" w:rsidR="00B545DE" w:rsidRPr="00AD03E4" w:rsidRDefault="00B545DE" w:rsidP="008B27EA">
      <w:pPr>
        <w:pStyle w:val="Ttulo3"/>
        <w:numPr>
          <w:ilvl w:val="0"/>
          <w:numId w:val="14"/>
        </w:numPr>
        <w:ind w:left="284"/>
        <w:rPr>
          <w:color w:val="auto"/>
        </w:rPr>
      </w:pPr>
      <w:bookmarkStart w:id="68" w:name="_Toc142549355"/>
      <w:bookmarkStart w:id="69" w:name="_Toc142920563"/>
      <w:r w:rsidRPr="00AD03E4">
        <w:rPr>
          <w:color w:val="auto"/>
        </w:rPr>
        <w:t>Gasto Corriente y de Capital</w:t>
      </w:r>
      <w:bookmarkEnd w:id="68"/>
      <w:bookmarkEnd w:id="69"/>
    </w:p>
    <w:p w14:paraId="6883D2DB" w14:textId="77777777" w:rsidR="00B545DE" w:rsidRDefault="00B545DE" w:rsidP="00B545DE">
      <w:pPr>
        <w:jc w:val="both"/>
      </w:pPr>
    </w:p>
    <w:p w14:paraId="243D0403" w14:textId="3CC73EB4" w:rsidR="00B545DE" w:rsidRPr="00B015D3" w:rsidRDefault="00B545DE" w:rsidP="00B545DE">
      <w:pPr>
        <w:jc w:val="both"/>
      </w:pPr>
      <w:r w:rsidRPr="00B015D3">
        <w:t xml:space="preserve">Con el escenario planteado anteriormente, el gasto público registró un crecimiento interanual dinámico hasta el mes de </w:t>
      </w:r>
      <w:r>
        <w:t>abril</w:t>
      </w:r>
      <w:r w:rsidR="008411F9">
        <w:t>;</w:t>
      </w:r>
      <w:r w:rsidRPr="00B015D3">
        <w:t xml:space="preserve"> </w:t>
      </w:r>
      <w:r>
        <w:t xml:space="preserve">en los meses posteriores se observa </w:t>
      </w:r>
      <w:r w:rsidRPr="00B015D3">
        <w:t xml:space="preserve">una desaceleración en su ritmo, </w:t>
      </w:r>
      <w:r>
        <w:t>ubicándose a junio</w:t>
      </w:r>
      <w:r w:rsidR="008411F9">
        <w:t xml:space="preserve"> de 2023</w:t>
      </w:r>
      <w:r>
        <w:t xml:space="preserve"> en </w:t>
      </w:r>
      <w:r w:rsidRPr="00B015D3">
        <w:t>1</w:t>
      </w:r>
      <w:r>
        <w:t>5</w:t>
      </w:r>
      <w:r w:rsidRPr="00B015D3">
        <w:t>.</w:t>
      </w:r>
      <w:r>
        <w:t>5</w:t>
      </w:r>
      <w:r w:rsidRPr="00B015D3">
        <w:t>% (equivalente a Q</w:t>
      </w:r>
      <w:r w:rsidR="008411F9">
        <w:t>.</w:t>
      </w:r>
      <w:r>
        <w:t>7</w:t>
      </w:r>
      <w:r w:rsidRPr="00B015D3">
        <w:t>,3</w:t>
      </w:r>
      <w:r>
        <w:t>44.5</w:t>
      </w:r>
      <w:r w:rsidRPr="00B015D3">
        <w:t xml:space="preserve"> millones), siendo superior al reportado a igual fecha de 20</w:t>
      </w:r>
      <w:r>
        <w:t>22</w:t>
      </w:r>
      <w:r w:rsidRPr="00B015D3">
        <w:t xml:space="preserve">, cuando se ubicó en </w:t>
      </w:r>
      <w:r>
        <w:t>14</w:t>
      </w:r>
      <w:r w:rsidRPr="00B015D3">
        <w:t>.</w:t>
      </w:r>
      <w:r>
        <w:t>8</w:t>
      </w:r>
      <w:r w:rsidRPr="00B015D3">
        <w:t>%.</w:t>
      </w:r>
    </w:p>
    <w:p w14:paraId="53CFA282" w14:textId="77777777" w:rsidR="00B545DE" w:rsidRDefault="00B545DE" w:rsidP="00B545DE">
      <w:pPr>
        <w:jc w:val="both"/>
      </w:pPr>
    </w:p>
    <w:p w14:paraId="5F9A30A3" w14:textId="7FD9825D" w:rsidR="00B545DE" w:rsidRPr="00072D5D" w:rsidRDefault="00B545DE" w:rsidP="00B545DE">
      <w:pPr>
        <w:pStyle w:val="Descripcin"/>
        <w:keepNext/>
        <w:tabs>
          <w:tab w:val="left" w:pos="2385"/>
          <w:tab w:val="center" w:pos="4419"/>
        </w:tabs>
        <w:spacing w:after="0"/>
        <w:jc w:val="center"/>
        <w:rPr>
          <w:rFonts w:ascii="Times New Roman" w:hAnsi="Times New Roman" w:cs="Times New Roman"/>
          <w:b/>
          <w:i w:val="0"/>
          <w:color w:val="auto"/>
          <w:sz w:val="24"/>
          <w:szCs w:val="20"/>
        </w:rPr>
      </w:pPr>
      <w:r w:rsidRPr="00072D5D">
        <w:rPr>
          <w:rFonts w:ascii="Times New Roman" w:hAnsi="Times New Roman" w:cs="Times New Roman"/>
          <w:b/>
          <w:i w:val="0"/>
          <w:color w:val="auto"/>
          <w:sz w:val="24"/>
          <w:szCs w:val="20"/>
        </w:rPr>
        <w:t>Gráfic</w:t>
      </w:r>
      <w:r w:rsidR="000E33A6">
        <w:rPr>
          <w:rFonts w:ascii="Times New Roman" w:hAnsi="Times New Roman" w:cs="Times New Roman"/>
          <w:b/>
          <w:i w:val="0"/>
          <w:color w:val="auto"/>
          <w:sz w:val="24"/>
          <w:szCs w:val="20"/>
        </w:rPr>
        <w:t>a 31</w:t>
      </w:r>
      <w:r w:rsidRPr="00072D5D">
        <w:rPr>
          <w:rFonts w:ascii="Times New Roman" w:hAnsi="Times New Roman" w:cs="Times New Roman"/>
          <w:b/>
          <w:i w:val="0"/>
          <w:color w:val="auto"/>
          <w:sz w:val="24"/>
          <w:szCs w:val="20"/>
        </w:rPr>
        <w:t>. Ritmo de Ejecución del Gasto</w:t>
      </w:r>
    </w:p>
    <w:p w14:paraId="3948CE22" w14:textId="7393CF6F" w:rsidR="00B545DE" w:rsidRPr="008411F9" w:rsidRDefault="008411F9" w:rsidP="00B545DE">
      <w:pPr>
        <w:autoSpaceDE w:val="0"/>
        <w:autoSpaceDN w:val="0"/>
        <w:adjustRightInd w:val="0"/>
        <w:jc w:val="center"/>
        <w:rPr>
          <w:b/>
        </w:rPr>
      </w:pPr>
      <w:r w:rsidRPr="008411F9">
        <w:rPr>
          <w:b/>
        </w:rPr>
        <w:t>(</w:t>
      </w:r>
      <w:r w:rsidR="00B545DE" w:rsidRPr="008411F9">
        <w:rPr>
          <w:b/>
        </w:rPr>
        <w:t>Variación Interanual</w:t>
      </w:r>
      <w:r w:rsidRPr="008411F9">
        <w:rPr>
          <w:b/>
        </w:rPr>
        <w:t>)</w:t>
      </w:r>
      <w:r w:rsidR="00B545DE" w:rsidRPr="008411F9">
        <w:rPr>
          <w:b/>
        </w:rPr>
        <w:t>*</w:t>
      </w:r>
    </w:p>
    <w:p w14:paraId="3918BDED" w14:textId="77777777" w:rsidR="00B545DE" w:rsidRDefault="00B545DE" w:rsidP="00B545DE">
      <w:pPr>
        <w:autoSpaceDE w:val="0"/>
        <w:autoSpaceDN w:val="0"/>
        <w:adjustRightInd w:val="0"/>
        <w:jc w:val="center"/>
        <w:rPr>
          <w:highlight w:val="yellow"/>
        </w:rPr>
      </w:pPr>
      <w:r>
        <w:rPr>
          <w:noProof/>
          <w:lang w:eastAsia="es-GT"/>
        </w:rPr>
        <w:drawing>
          <wp:inline distT="0" distB="0" distL="0" distR="0" wp14:anchorId="08DD25AE" wp14:editId="0240EDED">
            <wp:extent cx="5852160" cy="2274570"/>
            <wp:effectExtent l="0" t="0" r="15240" b="11430"/>
            <wp:docPr id="250"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53B0332" w14:textId="46808F10" w:rsidR="00B545DE" w:rsidRPr="008411F9" w:rsidRDefault="008411F9" w:rsidP="008411F9">
      <w:pPr>
        <w:autoSpaceDE w:val="0"/>
        <w:autoSpaceDN w:val="0"/>
        <w:adjustRightInd w:val="0"/>
        <w:jc w:val="both"/>
        <w:rPr>
          <w:sz w:val="28"/>
        </w:rPr>
      </w:pPr>
      <w:r w:rsidRPr="008411F9">
        <w:rPr>
          <w:sz w:val="18"/>
        </w:rPr>
        <w:t xml:space="preserve"> </w:t>
      </w:r>
      <w:r w:rsidR="00B545DE" w:rsidRPr="008411F9">
        <w:rPr>
          <w:sz w:val="18"/>
        </w:rPr>
        <w:t xml:space="preserve">Fuente: </w:t>
      </w:r>
      <w:r>
        <w:rPr>
          <w:sz w:val="18"/>
        </w:rPr>
        <w:t>Ministerio de Finanzas Públicas.</w:t>
      </w:r>
    </w:p>
    <w:p w14:paraId="43F63D53" w14:textId="4CFD44EF" w:rsidR="00B545DE" w:rsidRPr="008411F9" w:rsidRDefault="008411F9" w:rsidP="008411F9">
      <w:pPr>
        <w:pStyle w:val="Sinespaciado"/>
        <w:framePr w:hSpace="141" w:wrap="around" w:vAnchor="text" w:hAnchor="page" w:x="1645" w:y="21"/>
        <w:suppressOverlap/>
        <w:jc w:val="both"/>
        <w:rPr>
          <w:rFonts w:ascii="Times New Roman" w:hAnsi="Times New Roman"/>
          <w:sz w:val="18"/>
        </w:rPr>
      </w:pPr>
      <w:r w:rsidRPr="008411F9">
        <w:rPr>
          <w:rFonts w:ascii="Times New Roman" w:hAnsi="Times New Roman"/>
          <w:sz w:val="18"/>
        </w:rPr>
        <w:t xml:space="preserve">  </w:t>
      </w:r>
      <w:r w:rsidR="00B545DE" w:rsidRPr="008411F9">
        <w:rPr>
          <w:rFonts w:ascii="Times New Roman" w:hAnsi="Times New Roman"/>
          <w:sz w:val="18"/>
        </w:rPr>
        <w:t>*Incluye amortizaciones de la deuda pública</w:t>
      </w:r>
      <w:r>
        <w:rPr>
          <w:rFonts w:ascii="Times New Roman" w:hAnsi="Times New Roman"/>
          <w:sz w:val="18"/>
        </w:rPr>
        <w:t>.</w:t>
      </w:r>
    </w:p>
    <w:p w14:paraId="60A83426" w14:textId="77777777" w:rsidR="00B545DE" w:rsidRDefault="00B545DE" w:rsidP="00B545DE">
      <w:pPr>
        <w:autoSpaceDE w:val="0"/>
        <w:autoSpaceDN w:val="0"/>
        <w:adjustRightInd w:val="0"/>
        <w:jc w:val="both"/>
      </w:pPr>
    </w:p>
    <w:p w14:paraId="2FE57830" w14:textId="105AC8BB" w:rsidR="00B545DE" w:rsidRDefault="00B545DE" w:rsidP="00B545DE">
      <w:pPr>
        <w:jc w:val="both"/>
      </w:pPr>
      <w:r>
        <w:t>A nivel de rubro de cuenta económica, el mayor crecimiento se reporta en los bienes y servicios. Estos reportan un crecimiento interanual de 52.7%, equivalente a Q</w:t>
      </w:r>
      <w:r w:rsidR="00BB2052">
        <w:t>.</w:t>
      </w:r>
      <w:r>
        <w:t>2,949.9 millones, explicado en su mayoría por el gasto que está realizando el Ministerio de Comunicaciones, Infraestructura y Vivienda, con una ejecución mayor en Q</w:t>
      </w:r>
      <w:r w:rsidR="00BB2052">
        <w:t>.</w:t>
      </w:r>
      <w:r>
        <w:t>2,115.6 millones</w:t>
      </w:r>
      <w:r w:rsidR="00BB2052">
        <w:t>,</w:t>
      </w:r>
      <w:r>
        <w:t xml:space="preserve"> por el mantenimiento y reparación de bienes de uso común como carreteras y puentes, en accesorios y repuestos en general y los servicios de ingeniería, arquitectura y supervisión de obras.</w:t>
      </w:r>
    </w:p>
    <w:p w14:paraId="11408FE0" w14:textId="77777777" w:rsidR="00B545DE" w:rsidRDefault="00B545DE" w:rsidP="00B545DE">
      <w:pPr>
        <w:jc w:val="both"/>
      </w:pPr>
    </w:p>
    <w:p w14:paraId="74DC2DF5" w14:textId="05797D59" w:rsidR="00B545DE" w:rsidRDefault="00B545DE" w:rsidP="00B545DE">
      <w:pPr>
        <w:jc w:val="both"/>
      </w:pPr>
      <w:r>
        <w:t>En lo que respecta al Ministerio de Gobernación, también reporta dinamismo en los bienes y servicios, siendo su ejecución mayor en Q</w:t>
      </w:r>
      <w:r w:rsidR="00BB2052">
        <w:t>.</w:t>
      </w:r>
      <w:r>
        <w:t xml:space="preserve">442.9 millones, respecto </w:t>
      </w:r>
      <w:r w:rsidR="00BB2052">
        <w:t>de</w:t>
      </w:r>
      <w:r>
        <w:t>l año anterior, por materiales y equipos diversos, primas y gastos de seguros y fianzas y alimentos para personas.</w:t>
      </w:r>
    </w:p>
    <w:p w14:paraId="3DDC08F0" w14:textId="77777777" w:rsidR="00B545DE" w:rsidRDefault="00B545DE" w:rsidP="00B545DE">
      <w:pPr>
        <w:jc w:val="both"/>
      </w:pPr>
    </w:p>
    <w:p w14:paraId="3D4FBF9F" w14:textId="3A807A7E" w:rsidR="00B545DE" w:rsidRDefault="00BB2052" w:rsidP="00B545DE">
      <w:pPr>
        <w:jc w:val="both"/>
      </w:pPr>
      <w:r>
        <w:t>Con r</w:t>
      </w:r>
      <w:r w:rsidR="00B545DE">
        <w:t xml:space="preserve">especto a las remuneraciones, </w:t>
      </w:r>
      <w:r>
        <w:t>é</w:t>
      </w:r>
      <w:r w:rsidR="00B545DE">
        <w:t>stas reportan un aumento de Q</w:t>
      </w:r>
      <w:r>
        <w:t>.</w:t>
      </w:r>
      <w:r w:rsidR="00B545DE">
        <w:t xml:space="preserve">1,171.7 millones (crecimiento interanual de 8.6%). </w:t>
      </w:r>
      <w:r>
        <w:t>El Ministerio de Educación es</w:t>
      </w:r>
      <w:r w:rsidR="00B545DE">
        <w:t xml:space="preserve"> la entidad con mayor aumento, principalmente por los derechos escalafonarios, el personal permanente y el personal supernumerario.</w:t>
      </w:r>
      <w:r w:rsidR="00B545DE" w:rsidRPr="009B26F6">
        <w:t xml:space="preserve"> </w:t>
      </w:r>
      <w:r w:rsidR="00B545DE">
        <w:t xml:space="preserve">Es importante tener en cuenta que, </w:t>
      </w:r>
      <w:r w:rsidR="00B545DE" w:rsidRPr="009B26F6">
        <w:t>según el pacto colectivo de condiciones de trabajo, negociado y suscrito en 2022, a partir de 2023 se considera un reajuste del 3</w:t>
      </w:r>
      <w:r>
        <w:t>.0</w:t>
      </w:r>
      <w:r w:rsidR="00B545DE" w:rsidRPr="009B26F6">
        <w:t>% sobre el salario base</w:t>
      </w:r>
      <w:r w:rsidR="00B545DE">
        <w:t>.</w:t>
      </w:r>
    </w:p>
    <w:p w14:paraId="377707D6" w14:textId="77777777" w:rsidR="00B545DE" w:rsidRDefault="00B545DE" w:rsidP="00B545DE">
      <w:pPr>
        <w:jc w:val="both"/>
      </w:pPr>
    </w:p>
    <w:p w14:paraId="6C7464BF" w14:textId="370F28E1" w:rsidR="00B545DE" w:rsidRDefault="00B545DE" w:rsidP="00B545DE">
      <w:pPr>
        <w:jc w:val="both"/>
      </w:pPr>
      <w:r>
        <w:t xml:space="preserve">Asimismo, las Obligaciones del Estado </w:t>
      </w:r>
      <w:r w:rsidR="00BB2052">
        <w:t xml:space="preserve">a Cargo del Tesoro </w:t>
      </w:r>
      <w:r>
        <w:t>reporta un aumento de Q</w:t>
      </w:r>
      <w:r w:rsidR="00BB2052">
        <w:t>.</w:t>
      </w:r>
      <w:r>
        <w:t>204 millones</w:t>
      </w:r>
      <w:r w:rsidR="00BB2052">
        <w:t>,</w:t>
      </w:r>
      <w:r>
        <w:t xml:space="preserve"> explicado en buena medida por el aporte patronal al I</w:t>
      </w:r>
      <w:r w:rsidR="00BB2052">
        <w:t xml:space="preserve">nstituto </w:t>
      </w:r>
      <w:r>
        <w:t>G</w:t>
      </w:r>
      <w:r w:rsidR="00BB2052">
        <w:t>uatemalteco de Seguridad Social (IG</w:t>
      </w:r>
      <w:r>
        <w:t>SS</w:t>
      </w:r>
      <w:r w:rsidR="00BB2052">
        <w:t>),</w:t>
      </w:r>
      <w:r>
        <w:t xml:space="preserve"> el cual tiene un aumento de Q</w:t>
      </w:r>
      <w:r w:rsidR="00BB2052">
        <w:t>.</w:t>
      </w:r>
      <w:r>
        <w:t>188.9 millones. Adicionalmente, el Ministerio de Salud Pública y Asistencia Social reporta un aumento de Q</w:t>
      </w:r>
      <w:r w:rsidR="00BB2052">
        <w:t>.</w:t>
      </w:r>
      <w:r>
        <w:t>170.8 millones, explicado por los complementos específicos al personal permanente.</w:t>
      </w:r>
    </w:p>
    <w:p w14:paraId="4849E295" w14:textId="77777777" w:rsidR="00B545DE" w:rsidRDefault="00B545DE" w:rsidP="00B545DE">
      <w:pPr>
        <w:jc w:val="both"/>
      </w:pPr>
    </w:p>
    <w:p w14:paraId="558636E2" w14:textId="50B288F4" w:rsidR="00B545DE" w:rsidRDefault="00B545DE" w:rsidP="00B545DE">
      <w:pPr>
        <w:jc w:val="both"/>
      </w:pPr>
      <w:r>
        <w:t>En las transferencias de capital se reporta un aumento de Q</w:t>
      </w:r>
      <w:r w:rsidR="00672204">
        <w:t>.</w:t>
      </w:r>
      <w:r>
        <w:t>886.5 millones, equivalente</w:t>
      </w:r>
      <w:r w:rsidR="00672204">
        <w:t>s</w:t>
      </w:r>
      <w:r>
        <w:t xml:space="preserve"> a un crecimiento interanual de 14.7%. Esto se explica por las transferencias que se realizan hacia el sector público, las cuales aumentan Q</w:t>
      </w:r>
      <w:r w:rsidR="00672204">
        <w:t>.</w:t>
      </w:r>
      <w:r>
        <w:t xml:space="preserve">978.5 millones, principalmente por las transferencias a las municipalidades, las cuales </w:t>
      </w:r>
      <w:r w:rsidR="00672204">
        <w:t>crecieron</w:t>
      </w:r>
      <w:r>
        <w:t xml:space="preserve"> en Q</w:t>
      </w:r>
      <w:r w:rsidR="00672204">
        <w:t>.</w:t>
      </w:r>
      <w:r>
        <w:t>627.1 millones, mientras que las transferencias que reciben los Consejos de Desarrollo Urbano y Rural reportan un aumento de Q</w:t>
      </w:r>
      <w:r w:rsidR="00672204">
        <w:t>.</w:t>
      </w:r>
      <w:r>
        <w:t>444.9 millones.</w:t>
      </w:r>
    </w:p>
    <w:p w14:paraId="18F46441" w14:textId="77777777" w:rsidR="00B545DE" w:rsidRDefault="00B545DE" w:rsidP="00B545DE">
      <w:pPr>
        <w:jc w:val="both"/>
      </w:pPr>
    </w:p>
    <w:p w14:paraId="72B6D785" w14:textId="5F7060A9" w:rsidR="00B545DE" w:rsidRDefault="00B545DE" w:rsidP="00B545DE">
      <w:pPr>
        <w:jc w:val="both"/>
      </w:pPr>
      <w:r>
        <w:t>Por su parte, la inversión real directa, reporta un aumento de Q</w:t>
      </w:r>
      <w:r w:rsidR="00672204">
        <w:t>.</w:t>
      </w:r>
      <w:r>
        <w:t>672.4 millones, con un crecimiento de</w:t>
      </w:r>
      <w:r w:rsidR="00672204">
        <w:t>l</w:t>
      </w:r>
      <w:r>
        <w:t xml:space="preserve"> 38.4%, asociado a mayores intervenciones en la formación bruta de capital fijo por parte del Ministerio de Comunicaciones, Infraestructura y Vivienda</w:t>
      </w:r>
      <w:r w:rsidR="00672204">
        <w:t>, el cual</w:t>
      </w:r>
      <w:r>
        <w:t xml:space="preserve"> muestra mayor ejecución en el programa de desarrollo de la infraestructura vial y la construcción de obra</w:t>
      </w:r>
      <w:r w:rsidR="00672204">
        <w:t>s</w:t>
      </w:r>
      <w:r>
        <w:t xml:space="preserve"> pública</w:t>
      </w:r>
      <w:r w:rsidR="00672204">
        <w:t>s</w:t>
      </w:r>
      <w:r>
        <w:t>.</w:t>
      </w:r>
    </w:p>
    <w:p w14:paraId="6B76F536" w14:textId="77777777" w:rsidR="00B545DE" w:rsidRDefault="00B545DE" w:rsidP="00B545DE">
      <w:pPr>
        <w:jc w:val="both"/>
      </w:pPr>
    </w:p>
    <w:p w14:paraId="4DAA0809" w14:textId="30C8DB33" w:rsidR="00B545DE" w:rsidRDefault="00B545DE" w:rsidP="00B545DE">
      <w:pPr>
        <w:jc w:val="both"/>
      </w:pPr>
      <w:r>
        <w:t xml:space="preserve">Es precisamente el Ministerio de Comunicaciones, </w:t>
      </w:r>
      <w:r w:rsidR="00672204">
        <w:t xml:space="preserve">Infraestructura y Vivienda </w:t>
      </w:r>
      <w:r>
        <w:t>la entidad que reporta el mayor crecimiento interanual con 113.3% y el segundo con mayor grado de ejecución</w:t>
      </w:r>
      <w:r w:rsidR="00672204">
        <w:t xml:space="preserve"> presupuestaria</w:t>
      </w:r>
      <w:r>
        <w:t xml:space="preserve"> con 69.5%.</w:t>
      </w:r>
    </w:p>
    <w:p w14:paraId="0F031F02" w14:textId="77777777" w:rsidR="00B545DE" w:rsidRDefault="00B545DE" w:rsidP="00B545DE">
      <w:pPr>
        <w:jc w:val="both"/>
      </w:pPr>
    </w:p>
    <w:p w14:paraId="05C94C1F" w14:textId="293EBA88" w:rsidR="00B545DE" w:rsidRDefault="00B545DE" w:rsidP="00B545DE">
      <w:pPr>
        <w:jc w:val="both"/>
      </w:pPr>
      <w:r>
        <w:t>Por su parte, las transferencias corrientes reportan un crecimiento de 5.9%</w:t>
      </w:r>
      <w:r w:rsidR="00672204">
        <w:t>,</w:t>
      </w:r>
      <w:r>
        <w:t xml:space="preserve"> con respecto a junio del año previo, equivalente a Q</w:t>
      </w:r>
      <w:r w:rsidR="00672204">
        <w:t>.</w:t>
      </w:r>
      <w:r>
        <w:t>611.8 millones, siendo explicadas por las transferencias al sector público, las cuales se encuentran creciendo en Q</w:t>
      </w:r>
      <w:r w:rsidR="00672204">
        <w:t>.</w:t>
      </w:r>
      <w:r>
        <w:t>1,045.1 millones, explicadas por la transferencia al Tribunal Supremo Electoral (TSE), la cual es mayor en Q</w:t>
      </w:r>
      <w:r w:rsidR="00672204">
        <w:t>.</w:t>
      </w:r>
      <w:r>
        <w:t xml:space="preserve">332.4 millones a la reportada en 2022, </w:t>
      </w:r>
      <w:r w:rsidR="00672204">
        <w:t>siendo</w:t>
      </w:r>
      <w:r>
        <w:t xml:space="preserve"> relevante indicar que las elecciones generales de Guatemala se llevaron a cabo el 25 de junio y la segunda vuelta está programada para el próximo 20 de agosto, siendo importante esta transferencia dado que contribuye a consolidar el proceso democrático, dado que con las elecciones generales se elige al presidente y vicepresidente</w:t>
      </w:r>
      <w:r w:rsidR="00052CC5">
        <w:t xml:space="preserve"> de la república</w:t>
      </w:r>
      <w:r>
        <w:t>, 160 diputados al Congreso de la República, 340 alcaldes municipales y 20 diputados al Parlamento Centroamericano.</w:t>
      </w:r>
    </w:p>
    <w:p w14:paraId="167A042D" w14:textId="77777777" w:rsidR="00B545DE" w:rsidRDefault="00B545DE" w:rsidP="00B545DE">
      <w:pPr>
        <w:jc w:val="both"/>
      </w:pPr>
    </w:p>
    <w:p w14:paraId="61FEEDB0" w14:textId="12BBEB9C" w:rsidR="00B545DE" w:rsidRDefault="00B545DE" w:rsidP="00B545DE">
      <w:pPr>
        <w:jc w:val="both"/>
      </w:pPr>
      <w:r>
        <w:t>Asimismo, resalta la transferencia que recibe la Universidad de San Carlos</w:t>
      </w:r>
      <w:r w:rsidR="00052CC5">
        <w:t xml:space="preserve"> de Guatemala</w:t>
      </w:r>
      <w:r>
        <w:t>, la cual reporta un aumento de Q</w:t>
      </w:r>
      <w:r w:rsidR="00052CC5">
        <w:t>.</w:t>
      </w:r>
      <w:r>
        <w:t>255 millones</w:t>
      </w:r>
      <w:r w:rsidR="00052CC5">
        <w:t>;</w:t>
      </w:r>
      <w:r>
        <w:t xml:space="preserve"> seguidamente se encuentra el aporte </w:t>
      </w:r>
      <w:r w:rsidR="00052CC5">
        <w:t>a</w:t>
      </w:r>
      <w:r>
        <w:t>l Organismo Judicial con un aumento interanual de Q</w:t>
      </w:r>
      <w:r w:rsidR="00052CC5">
        <w:t>.</w:t>
      </w:r>
      <w:r>
        <w:t>173.3 millones.</w:t>
      </w:r>
    </w:p>
    <w:p w14:paraId="0BF173C0" w14:textId="77777777" w:rsidR="00B545DE" w:rsidRDefault="00B545DE" w:rsidP="00B545DE">
      <w:pPr>
        <w:jc w:val="both"/>
      </w:pPr>
    </w:p>
    <w:p w14:paraId="48F23510" w14:textId="595FCBE7" w:rsidR="00B545DE" w:rsidRDefault="00B545DE" w:rsidP="00B545DE">
      <w:pPr>
        <w:jc w:val="both"/>
      </w:pPr>
      <w:r>
        <w:t xml:space="preserve">Vale la pena resaltar </w:t>
      </w:r>
      <w:r w:rsidR="00052CC5">
        <w:t xml:space="preserve">que </w:t>
      </w:r>
      <w:r>
        <w:t xml:space="preserve">el aporte </w:t>
      </w:r>
      <w:r w:rsidR="00052CC5">
        <w:t>a</w:t>
      </w:r>
      <w:r>
        <w:t>l Instituto Nacional de Electrificación (INDE) muestra un aumento de Q</w:t>
      </w:r>
      <w:r w:rsidR="00052CC5">
        <w:t>.</w:t>
      </w:r>
      <w:r>
        <w:t>136 millones, en l</w:t>
      </w:r>
      <w:r w:rsidR="00052CC5">
        <w:t>os</w:t>
      </w:r>
      <w:r>
        <w:t xml:space="preserve"> cual</w:t>
      </w:r>
      <w:r w:rsidR="00052CC5">
        <w:t>es,</w:t>
      </w:r>
      <w:r>
        <w:t xml:space="preserve"> además del aporte recurrente, se incluye la ampliación del aporte social de la tarifa eléctrica, aprobad</w:t>
      </w:r>
      <w:r w:rsidR="00052CC5">
        <w:t>a</w:t>
      </w:r>
      <w:r>
        <w:t xml:space="preserve"> por medio del Decreto </w:t>
      </w:r>
      <w:r w:rsidR="00052CC5">
        <w:t>No.</w:t>
      </w:r>
      <w:r>
        <w:t xml:space="preserve"> 1-2023 del Congreso de la República</w:t>
      </w:r>
      <w:r w:rsidR="00052CC5">
        <w:t>,</w:t>
      </w:r>
      <w:r>
        <w:t xml:space="preserve"> “Ley de Fortalecimiento al Aporte Social de la Tarifa Eléctrica”</w:t>
      </w:r>
      <w:r w:rsidR="00052CC5">
        <w:t>,</w:t>
      </w:r>
      <w:r>
        <w:t xml:space="preserve"> la cual es financiada con recursos de caja.</w:t>
      </w:r>
    </w:p>
    <w:p w14:paraId="0EEA7604" w14:textId="77777777" w:rsidR="00B545DE" w:rsidRDefault="00B545DE" w:rsidP="00B545DE">
      <w:pPr>
        <w:jc w:val="both"/>
      </w:pPr>
    </w:p>
    <w:p w14:paraId="53BE2AB4" w14:textId="14344E15" w:rsidR="00B545DE" w:rsidRDefault="00B545DE" w:rsidP="00B545DE">
      <w:pPr>
        <w:jc w:val="both"/>
      </w:pPr>
      <w:r>
        <w:t xml:space="preserve">En el año anterior, las transferencias corrientes al sector privado </w:t>
      </w:r>
      <w:r w:rsidR="00052CC5">
        <w:t xml:space="preserve">constituían </w:t>
      </w:r>
      <w:r>
        <w:t>el rubro con mayor crecimiento, derivado de los apoyos temporales que se encontraban vigentes a las gasolinas y diésel. Mientras que, en 2023, se registra una ejecución menor en Q</w:t>
      </w:r>
      <w:r w:rsidR="00052CC5">
        <w:t>.</w:t>
      </w:r>
      <w:r>
        <w:t>459.1 millones, que posiblemente continué aumentando.</w:t>
      </w:r>
    </w:p>
    <w:p w14:paraId="41791E85" w14:textId="77777777" w:rsidR="00B545DE" w:rsidRDefault="00B545DE" w:rsidP="00B545DE">
      <w:pPr>
        <w:jc w:val="both"/>
      </w:pPr>
    </w:p>
    <w:p w14:paraId="5E94BA11" w14:textId="01B145DC" w:rsidR="00B545DE" w:rsidRDefault="00B545DE" w:rsidP="00B545DE">
      <w:pPr>
        <w:jc w:val="both"/>
      </w:pPr>
      <w:r>
        <w:t>Es importante destacar que desde mediados de junio</w:t>
      </w:r>
      <w:r w:rsidR="00052CC5">
        <w:t xml:space="preserve"> de 2023</w:t>
      </w:r>
      <w:r>
        <w:t xml:space="preserve"> finalizó el subsidio al gas propano</w:t>
      </w:r>
      <w:r w:rsidR="00052CC5">
        <w:t>;</w:t>
      </w:r>
      <w:r>
        <w:t xml:space="preserve"> adicionalmente en junio también finalizó el subsidio a la energía eléctrica. Existen iniciativas en el Congreso de la República para ampliar ambos subsidios</w:t>
      </w:r>
      <w:r w:rsidR="00052CC5">
        <w:t>;</w:t>
      </w:r>
      <w:r>
        <w:t xml:space="preserve"> sin embargo, la discusión </w:t>
      </w:r>
      <w:r w:rsidR="00052CC5">
        <w:t xml:space="preserve">de la iniciativa de ley </w:t>
      </w:r>
      <w:r>
        <w:t>no ha avanzado</w:t>
      </w:r>
      <w:r w:rsidR="00052CC5">
        <w:t xml:space="preserve"> en el hemiciclo</w:t>
      </w:r>
      <w:r>
        <w:t>.</w:t>
      </w:r>
    </w:p>
    <w:p w14:paraId="0AB311A5" w14:textId="77777777" w:rsidR="00B545DE" w:rsidRDefault="00B545DE" w:rsidP="00B545DE">
      <w:pPr>
        <w:jc w:val="both"/>
      </w:pPr>
    </w:p>
    <w:p w14:paraId="12B896E6" w14:textId="1D6D9505" w:rsidR="00B545DE" w:rsidRDefault="00B545DE" w:rsidP="00B545DE">
      <w:pPr>
        <w:jc w:val="both"/>
      </w:pPr>
      <w:r>
        <w:t xml:space="preserve">En lo que respecta a los intereses de la deuda pública, estos reportan una ejecución mayor con respecto a lo observado en 2022 </w:t>
      </w:r>
      <w:r w:rsidR="00052CC5">
        <w:t>de</w:t>
      </w:r>
      <w:r>
        <w:t xml:space="preserve"> Q</w:t>
      </w:r>
      <w:r w:rsidR="00052CC5">
        <w:t>.</w:t>
      </w:r>
      <w:r>
        <w:t>543.7 millones, mostrando un crecimiento interanual de 9.3%, que es explicado en mayor medida</w:t>
      </w:r>
      <w:r w:rsidR="00052CC5">
        <w:t>,</w:t>
      </w:r>
      <w:r>
        <w:t xml:space="preserve"> por los intereses de deuda externa y específicamente por los préstamos, debido principalmente al alza en las tasas internacionales que afectan a los préstamos multilaterales </w:t>
      </w:r>
      <w:r w:rsidRPr="00056B69">
        <w:t>que usan como componente de la determinación de la tasa la SOFR (Secured Overnight Financing Rate) la cual ha mostrado una alta volatilidad desde 2022.</w:t>
      </w:r>
      <w:r>
        <w:t xml:space="preserve"> Asimismo, la deuda interna también reporta mayor pago de intereses en Q</w:t>
      </w:r>
      <w:r w:rsidR="00052CC5">
        <w:t>.</w:t>
      </w:r>
      <w:r>
        <w:t>237 millones.</w:t>
      </w:r>
    </w:p>
    <w:p w14:paraId="4E81B29F" w14:textId="77777777" w:rsidR="00B545DE" w:rsidRDefault="00B545DE" w:rsidP="00B545DE">
      <w:pPr>
        <w:jc w:val="both"/>
      </w:pPr>
    </w:p>
    <w:p w14:paraId="60AE5906" w14:textId="5FAF4A5E" w:rsidR="00B545DE" w:rsidRDefault="00B545DE" w:rsidP="00B545DE">
      <w:pPr>
        <w:jc w:val="both"/>
      </w:pPr>
      <w:r>
        <w:t>Por último, las prestaciones a la seguridad social reportan un crecimiento interanual de 18.1%, equivalente a Q</w:t>
      </w:r>
      <w:r w:rsidR="00052CC5">
        <w:t>.</w:t>
      </w:r>
      <w:r>
        <w:t>470.6 millones. Es importante recordar que, en 2022 se aprobó un aumento del 10</w:t>
      </w:r>
      <w:r w:rsidR="00052CC5">
        <w:t>.0</w:t>
      </w:r>
      <w:r>
        <w:t>%, para los beneficiarios del régimen de clases pasivas y civiles del Estado, con lo cual el efecto de esta medida se verá reflejado a lo largo de 2023.</w:t>
      </w:r>
    </w:p>
    <w:p w14:paraId="1B9A1E2A" w14:textId="77777777" w:rsidR="00B545DE" w:rsidRDefault="00B545DE" w:rsidP="00B545DE">
      <w:pPr>
        <w:jc w:val="both"/>
        <w:rPr>
          <w:noProof/>
          <w:lang w:val="es-GT" w:eastAsia="es-GT"/>
        </w:rPr>
      </w:pPr>
    </w:p>
    <w:p w14:paraId="0283E2B7" w14:textId="6100E2AC" w:rsidR="00B545DE" w:rsidRDefault="00B545DE" w:rsidP="00B545DE">
      <w:pPr>
        <w:jc w:val="both"/>
        <w:rPr>
          <w:noProof/>
          <w:lang w:val="es-GT" w:eastAsia="es-GT"/>
        </w:rPr>
      </w:pPr>
      <w:r w:rsidRPr="00056B69">
        <w:rPr>
          <w:noProof/>
          <w:lang w:val="es-GT" w:eastAsia="es-GT"/>
        </w:rPr>
        <w:t xml:space="preserve">Dentro del Presupuesto General de Ingresos y Egresos del Estado para el </w:t>
      </w:r>
      <w:r w:rsidR="00052CC5">
        <w:rPr>
          <w:noProof/>
          <w:lang w:val="es-GT" w:eastAsia="es-GT"/>
        </w:rPr>
        <w:t>E</w:t>
      </w:r>
      <w:r w:rsidRPr="00056B69">
        <w:rPr>
          <w:noProof/>
          <w:lang w:val="es-GT" w:eastAsia="es-GT"/>
        </w:rPr>
        <w:t>jercicio</w:t>
      </w:r>
      <w:r w:rsidR="00052CC5">
        <w:rPr>
          <w:noProof/>
          <w:lang w:val="es-GT" w:eastAsia="es-GT"/>
        </w:rPr>
        <w:t xml:space="preserve"> Fiscal</w:t>
      </w:r>
      <w:r w:rsidRPr="00056B69">
        <w:rPr>
          <w:noProof/>
          <w:lang w:val="es-GT" w:eastAsia="es-GT"/>
        </w:rPr>
        <w:t xml:space="preserve"> 2023, se autoriza ampliar el presupuesto, en el caso que exista disponibilidad de saldos de caja de recursos del tesoro de ejercicios anteriores, hasta por Q</w:t>
      </w:r>
      <w:r w:rsidR="00052CC5">
        <w:rPr>
          <w:noProof/>
          <w:lang w:val="es-GT" w:eastAsia="es-GT"/>
        </w:rPr>
        <w:t>.</w:t>
      </w:r>
      <w:r w:rsidRPr="00056B69">
        <w:rPr>
          <w:noProof/>
          <w:lang w:val="es-GT" w:eastAsia="es-GT"/>
        </w:rPr>
        <w:t>600</w:t>
      </w:r>
      <w:r w:rsidR="00052CC5">
        <w:rPr>
          <w:noProof/>
          <w:lang w:val="es-GT" w:eastAsia="es-GT"/>
        </w:rPr>
        <w:t>.0</w:t>
      </w:r>
      <w:r w:rsidRPr="00056B69">
        <w:rPr>
          <w:noProof/>
          <w:lang w:val="es-GT" w:eastAsia="es-GT"/>
        </w:rPr>
        <w:t xml:space="preserve"> millones para el financiamiento del incremento en las jubilaciones y pensiones del régimen de clases pasivas y civiles del Estado.</w:t>
      </w:r>
    </w:p>
    <w:p w14:paraId="189D3577" w14:textId="77777777" w:rsidR="00B545DE" w:rsidRDefault="00B545DE" w:rsidP="00B545DE">
      <w:pPr>
        <w:jc w:val="both"/>
        <w:rPr>
          <w:noProof/>
          <w:lang w:val="es-GT" w:eastAsia="es-GT"/>
        </w:rPr>
      </w:pPr>
    </w:p>
    <w:p w14:paraId="6218C570" w14:textId="77777777" w:rsidR="00B545DE" w:rsidRDefault="00B545DE" w:rsidP="00B545DE">
      <w:pPr>
        <w:jc w:val="both"/>
        <w:rPr>
          <w:noProof/>
          <w:lang w:val="es-GT" w:eastAsia="es-GT"/>
        </w:rPr>
      </w:pPr>
    </w:p>
    <w:p w14:paraId="6B5B34CC" w14:textId="77777777" w:rsidR="00B545DE" w:rsidRDefault="00B545DE" w:rsidP="00B545DE">
      <w:pPr>
        <w:pStyle w:val="Sinespaciado"/>
        <w:jc w:val="center"/>
        <w:rPr>
          <w:rFonts w:ascii="Times New Roman" w:hAnsi="Times New Roman"/>
          <w:b/>
          <w:lang w:val="es-MX"/>
        </w:rPr>
      </w:pPr>
    </w:p>
    <w:p w14:paraId="338FE88E" w14:textId="77777777" w:rsidR="00B545DE" w:rsidRDefault="00B545DE" w:rsidP="00B545DE">
      <w:pPr>
        <w:pStyle w:val="Sinespaciado"/>
        <w:jc w:val="center"/>
        <w:rPr>
          <w:rFonts w:ascii="Times New Roman" w:hAnsi="Times New Roman"/>
          <w:b/>
          <w:lang w:val="es-MX"/>
        </w:rPr>
      </w:pPr>
    </w:p>
    <w:p w14:paraId="32D96814" w14:textId="48E90633" w:rsidR="00B545DE" w:rsidRPr="008E3A30" w:rsidRDefault="00B545DE" w:rsidP="00B545DE">
      <w:pPr>
        <w:pStyle w:val="Sinespaciado"/>
        <w:jc w:val="center"/>
      </w:pPr>
      <w:r>
        <w:rPr>
          <w:rFonts w:ascii="Times New Roman" w:hAnsi="Times New Roman"/>
          <w:b/>
          <w:lang w:val="es-MX"/>
        </w:rPr>
        <w:t>Gráfic</w:t>
      </w:r>
      <w:r w:rsidR="00F6678C">
        <w:rPr>
          <w:rFonts w:ascii="Times New Roman" w:hAnsi="Times New Roman"/>
          <w:b/>
          <w:lang w:val="es-MX"/>
        </w:rPr>
        <w:t>a 32</w:t>
      </w:r>
      <w:r>
        <w:rPr>
          <w:rFonts w:ascii="Times New Roman" w:hAnsi="Times New Roman"/>
          <w:b/>
          <w:lang w:val="es-MX"/>
        </w:rPr>
        <w:t>. P</w:t>
      </w:r>
      <w:r w:rsidRPr="008E3A30">
        <w:rPr>
          <w:rFonts w:ascii="Times New Roman" w:hAnsi="Times New Roman"/>
          <w:b/>
          <w:lang w:val="es-MX"/>
        </w:rPr>
        <w:t xml:space="preserve">or </w:t>
      </w:r>
      <w:r w:rsidR="00052CC5">
        <w:rPr>
          <w:rFonts w:ascii="Times New Roman" w:hAnsi="Times New Roman"/>
          <w:b/>
          <w:lang w:val="es-MX"/>
        </w:rPr>
        <w:t>R</w:t>
      </w:r>
      <w:r w:rsidRPr="008E3A30">
        <w:rPr>
          <w:rFonts w:ascii="Times New Roman" w:hAnsi="Times New Roman"/>
          <w:b/>
          <w:lang w:val="es-MX"/>
        </w:rPr>
        <w:t>ubro de Cuenta Económica</w:t>
      </w:r>
    </w:p>
    <w:p w14:paraId="597A8E99" w14:textId="21F0E0BB" w:rsidR="00B545DE" w:rsidRPr="005D7639" w:rsidRDefault="00052CC5" w:rsidP="00B545DE">
      <w:pPr>
        <w:pStyle w:val="Sinespaciado"/>
        <w:jc w:val="center"/>
        <w:rPr>
          <w:rFonts w:ascii="Times New Roman" w:hAnsi="Times New Roman"/>
          <w:b/>
          <w:szCs w:val="28"/>
          <w:lang w:val="es-MX"/>
        </w:rPr>
      </w:pPr>
      <w:r w:rsidRPr="005D7639">
        <w:rPr>
          <w:rFonts w:ascii="Times New Roman" w:hAnsi="Times New Roman"/>
          <w:b/>
          <w:szCs w:val="20"/>
          <w:lang w:val="es-MX"/>
        </w:rPr>
        <w:t>Per</w:t>
      </w:r>
      <w:r w:rsidR="005D7639" w:rsidRPr="005D7639">
        <w:rPr>
          <w:rFonts w:ascii="Times New Roman" w:hAnsi="Times New Roman"/>
          <w:b/>
          <w:szCs w:val="20"/>
          <w:lang w:val="es-MX"/>
        </w:rPr>
        <w:t>íodo 2022 y 2023</w:t>
      </w:r>
    </w:p>
    <w:p w14:paraId="4DBD5A6C" w14:textId="7171C182" w:rsidR="00B545DE" w:rsidRPr="005D7639" w:rsidRDefault="00B545DE" w:rsidP="00B545DE">
      <w:pPr>
        <w:pStyle w:val="Sinespaciado"/>
        <w:jc w:val="center"/>
        <w:rPr>
          <w:rFonts w:ascii="Times New Roman" w:hAnsi="Times New Roman"/>
          <w:b/>
          <w:sz w:val="22"/>
          <w:lang w:val="es-MX"/>
        </w:rPr>
      </w:pPr>
      <w:r w:rsidRPr="005D7639">
        <w:rPr>
          <w:b/>
          <w:noProof/>
          <w:color w:val="003300"/>
          <w:szCs w:val="28"/>
          <w:lang w:val="es-GT" w:eastAsia="es-GT"/>
        </w:rPr>
        <w:drawing>
          <wp:anchor distT="0" distB="0" distL="114300" distR="114300" simplePos="0" relativeHeight="251694080" behindDoc="0" locked="0" layoutInCell="1" allowOverlap="1" wp14:anchorId="0DF053FC" wp14:editId="3024C10B">
            <wp:simplePos x="0" y="0"/>
            <wp:positionH relativeFrom="margin">
              <wp:align>left</wp:align>
            </wp:positionH>
            <wp:positionV relativeFrom="paragraph">
              <wp:posOffset>190500</wp:posOffset>
            </wp:positionV>
            <wp:extent cx="5975985" cy="3395980"/>
            <wp:effectExtent l="0" t="0" r="5715" b="13970"/>
            <wp:wrapSquare wrapText="bothSides"/>
            <wp:docPr id="25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5D7639" w:rsidRPr="005D7639">
        <w:rPr>
          <w:rFonts w:ascii="Times New Roman" w:hAnsi="Times New Roman"/>
          <w:b/>
          <w:szCs w:val="28"/>
          <w:lang w:val="es-MX"/>
        </w:rPr>
        <w:t>(</w:t>
      </w:r>
      <w:r w:rsidRPr="005D7639">
        <w:rPr>
          <w:rFonts w:ascii="Times New Roman" w:hAnsi="Times New Roman"/>
          <w:b/>
          <w:szCs w:val="28"/>
          <w:lang w:val="es-MX"/>
        </w:rPr>
        <w:t xml:space="preserve">Variación </w:t>
      </w:r>
      <w:r w:rsidR="005D7639" w:rsidRPr="005D7639">
        <w:rPr>
          <w:rFonts w:ascii="Times New Roman" w:hAnsi="Times New Roman"/>
          <w:b/>
          <w:szCs w:val="28"/>
          <w:lang w:val="es-MX"/>
        </w:rPr>
        <w:t>A</w:t>
      </w:r>
      <w:r w:rsidRPr="005D7639">
        <w:rPr>
          <w:rFonts w:ascii="Times New Roman" w:hAnsi="Times New Roman"/>
          <w:b/>
          <w:szCs w:val="28"/>
          <w:lang w:val="es-MX"/>
        </w:rPr>
        <w:t xml:space="preserve">bsoluta </w:t>
      </w:r>
      <w:r w:rsidR="005D7639" w:rsidRPr="005D7639">
        <w:rPr>
          <w:rFonts w:ascii="Times New Roman" w:hAnsi="Times New Roman"/>
          <w:b/>
          <w:szCs w:val="28"/>
          <w:lang w:val="es-MX"/>
        </w:rPr>
        <w:t>I</w:t>
      </w:r>
      <w:r w:rsidRPr="005D7639">
        <w:rPr>
          <w:rFonts w:ascii="Times New Roman" w:hAnsi="Times New Roman"/>
          <w:b/>
          <w:szCs w:val="28"/>
          <w:lang w:val="es-MX"/>
        </w:rPr>
        <w:t>nteranual</w:t>
      </w:r>
      <w:r w:rsidR="0029595B">
        <w:rPr>
          <w:rFonts w:ascii="Times New Roman" w:hAnsi="Times New Roman"/>
          <w:b/>
          <w:szCs w:val="28"/>
          <w:lang w:val="es-MX"/>
        </w:rPr>
        <w:t>)</w:t>
      </w:r>
    </w:p>
    <w:p w14:paraId="7442CF14" w14:textId="28736F70" w:rsidR="00B545DE" w:rsidRPr="005D7639" w:rsidRDefault="00B545DE" w:rsidP="00B545DE">
      <w:pPr>
        <w:jc w:val="both"/>
        <w:rPr>
          <w:noProof/>
          <w:sz w:val="22"/>
          <w:lang w:val="es-GT" w:eastAsia="es-GT"/>
        </w:rPr>
      </w:pPr>
      <w:r w:rsidRPr="005D7639">
        <w:rPr>
          <w:noProof/>
          <w:sz w:val="18"/>
          <w:lang w:val="es-GT" w:eastAsia="es-GT"/>
        </w:rPr>
        <w:t xml:space="preserve">Fuente: </w:t>
      </w:r>
      <w:r w:rsidR="005D7639">
        <w:rPr>
          <w:noProof/>
          <w:sz w:val="18"/>
          <w:lang w:val="es-GT" w:eastAsia="es-GT"/>
        </w:rPr>
        <w:t>Ministerio de Finanzas Públicas.</w:t>
      </w:r>
    </w:p>
    <w:p w14:paraId="420F170B" w14:textId="77777777" w:rsidR="00B545DE" w:rsidRDefault="00B545DE" w:rsidP="00B545DE">
      <w:pPr>
        <w:rPr>
          <w:lang w:val="es-GT" w:eastAsia="es-GT"/>
        </w:rPr>
      </w:pPr>
    </w:p>
    <w:p w14:paraId="57F3E6AC" w14:textId="13191DAD" w:rsidR="00B545DE" w:rsidRPr="00FD167A" w:rsidRDefault="00B545DE" w:rsidP="00B545DE">
      <w:pPr>
        <w:jc w:val="both"/>
        <w:rPr>
          <w:noProof/>
          <w:lang w:val="es-GT" w:eastAsia="es-GT"/>
        </w:rPr>
      </w:pPr>
      <w:r w:rsidRPr="00FB5C0D">
        <w:rPr>
          <w:noProof/>
          <w:lang w:val="es-GT" w:eastAsia="es-GT"/>
        </w:rPr>
        <w:t xml:space="preserve">Durante junio </w:t>
      </w:r>
      <w:r w:rsidR="00BD2B78" w:rsidRPr="00FB5C0D">
        <w:rPr>
          <w:noProof/>
          <w:lang w:val="es-GT" w:eastAsia="es-GT"/>
        </w:rPr>
        <w:t xml:space="preserve">de 2023 </w:t>
      </w:r>
      <w:r w:rsidRPr="00FB5C0D">
        <w:rPr>
          <w:noProof/>
          <w:lang w:val="es-GT" w:eastAsia="es-GT"/>
        </w:rPr>
        <w:t>se realizó la amortización por el costo de la política monetaria, cambiaria y crediticia por Q</w:t>
      </w:r>
      <w:r w:rsidR="00FB5C0D" w:rsidRPr="00FB5C0D">
        <w:rPr>
          <w:noProof/>
          <w:lang w:val="es-GT" w:eastAsia="es-GT"/>
        </w:rPr>
        <w:t>.</w:t>
      </w:r>
      <w:r w:rsidRPr="00FB5C0D">
        <w:rPr>
          <w:noProof/>
          <w:lang w:val="es-GT" w:eastAsia="es-GT"/>
        </w:rPr>
        <w:t>54.4 millones, correspondiente al ejercicio fiscal 2021.</w:t>
      </w:r>
    </w:p>
    <w:p w14:paraId="42E540FB" w14:textId="77777777" w:rsidR="00B545DE" w:rsidRPr="00FD167A" w:rsidRDefault="00B545DE" w:rsidP="00B545DE">
      <w:pPr>
        <w:jc w:val="both"/>
        <w:rPr>
          <w:noProof/>
          <w:lang w:val="es-GT" w:eastAsia="es-GT"/>
        </w:rPr>
      </w:pPr>
    </w:p>
    <w:p w14:paraId="6FFAB79F" w14:textId="0B7150BF" w:rsidR="00B545DE" w:rsidRPr="00FD167A" w:rsidRDefault="00B545DE" w:rsidP="00B545DE">
      <w:pPr>
        <w:jc w:val="both"/>
        <w:rPr>
          <w:noProof/>
          <w:lang w:val="es-GT" w:eastAsia="es-GT"/>
        </w:rPr>
      </w:pPr>
      <w:r w:rsidRPr="00FD167A">
        <w:rPr>
          <w:noProof/>
          <w:lang w:val="es-GT" w:eastAsia="es-GT"/>
        </w:rPr>
        <w:t xml:space="preserve">Hasta la fecha se han dado ampliaciones en el </w:t>
      </w:r>
      <w:r w:rsidR="008C5EB9">
        <w:rPr>
          <w:noProof/>
          <w:lang w:val="es-GT" w:eastAsia="es-GT"/>
        </w:rPr>
        <w:t>P</w:t>
      </w:r>
      <w:r w:rsidRPr="00FD167A">
        <w:rPr>
          <w:noProof/>
          <w:lang w:val="es-GT" w:eastAsia="es-GT"/>
        </w:rPr>
        <w:t>resupuesto</w:t>
      </w:r>
      <w:r w:rsidR="008C5EB9">
        <w:rPr>
          <w:noProof/>
          <w:lang w:val="es-GT" w:eastAsia="es-GT"/>
        </w:rPr>
        <w:t xml:space="preserve"> General</w:t>
      </w:r>
      <w:r w:rsidRPr="00FD167A">
        <w:rPr>
          <w:noProof/>
          <w:lang w:val="es-GT" w:eastAsia="es-GT"/>
        </w:rPr>
        <w:t xml:space="preserve"> de </w:t>
      </w:r>
      <w:r w:rsidR="008C5EB9">
        <w:rPr>
          <w:noProof/>
          <w:lang w:val="es-GT" w:eastAsia="es-GT"/>
        </w:rPr>
        <w:t>I</w:t>
      </w:r>
      <w:r w:rsidRPr="00FD167A">
        <w:rPr>
          <w:noProof/>
          <w:lang w:val="es-GT" w:eastAsia="es-GT"/>
        </w:rPr>
        <w:t xml:space="preserve">ngresos y </w:t>
      </w:r>
      <w:r w:rsidR="008C5EB9">
        <w:rPr>
          <w:noProof/>
          <w:lang w:val="es-GT" w:eastAsia="es-GT"/>
        </w:rPr>
        <w:t>E</w:t>
      </w:r>
      <w:r w:rsidRPr="00FD167A">
        <w:rPr>
          <w:noProof/>
          <w:lang w:val="es-GT" w:eastAsia="es-GT"/>
        </w:rPr>
        <w:t xml:space="preserve">gresos del Estado para el </w:t>
      </w:r>
      <w:r w:rsidR="008C5EB9">
        <w:rPr>
          <w:noProof/>
          <w:lang w:val="es-GT" w:eastAsia="es-GT"/>
        </w:rPr>
        <w:t>E</w:t>
      </w:r>
      <w:r w:rsidRPr="00FD167A">
        <w:rPr>
          <w:noProof/>
          <w:lang w:val="es-GT" w:eastAsia="es-GT"/>
        </w:rPr>
        <w:t xml:space="preserve">jercicio </w:t>
      </w:r>
      <w:r w:rsidR="008C5EB9">
        <w:rPr>
          <w:noProof/>
          <w:lang w:val="es-GT" w:eastAsia="es-GT"/>
        </w:rPr>
        <w:t>F</w:t>
      </w:r>
      <w:r w:rsidRPr="00FD167A">
        <w:rPr>
          <w:noProof/>
          <w:lang w:val="es-GT" w:eastAsia="es-GT"/>
        </w:rPr>
        <w:t xml:space="preserve">iscal 2023 por </w:t>
      </w:r>
      <w:r w:rsidR="008C5EB9">
        <w:rPr>
          <w:noProof/>
          <w:lang w:val="es-GT" w:eastAsia="es-GT"/>
        </w:rPr>
        <w:t xml:space="preserve">el monto de </w:t>
      </w:r>
      <w:r w:rsidRPr="00FD167A">
        <w:rPr>
          <w:noProof/>
          <w:lang w:val="es-GT" w:eastAsia="es-GT"/>
        </w:rPr>
        <w:t>Q</w:t>
      </w:r>
      <w:r w:rsidR="008C5EB9">
        <w:rPr>
          <w:noProof/>
          <w:lang w:val="es-GT" w:eastAsia="es-GT"/>
        </w:rPr>
        <w:t>.</w:t>
      </w:r>
      <w:r w:rsidRPr="00FD167A">
        <w:rPr>
          <w:noProof/>
          <w:lang w:val="es-GT" w:eastAsia="es-GT"/>
        </w:rPr>
        <w:t xml:space="preserve">2,716.0 millones, las cuales se explican principalmente </w:t>
      </w:r>
      <w:r w:rsidR="008C5EB9">
        <w:rPr>
          <w:noProof/>
          <w:lang w:val="es-GT" w:eastAsia="es-GT"/>
        </w:rPr>
        <w:t>así</w:t>
      </w:r>
      <w:r w:rsidRPr="00FD167A">
        <w:rPr>
          <w:noProof/>
          <w:lang w:val="es-GT" w:eastAsia="es-GT"/>
        </w:rPr>
        <w:t>:</w:t>
      </w:r>
    </w:p>
    <w:p w14:paraId="006331D2" w14:textId="77777777" w:rsidR="00B545DE" w:rsidRPr="00FD167A" w:rsidRDefault="00B545DE" w:rsidP="00B545DE">
      <w:pPr>
        <w:jc w:val="both"/>
        <w:rPr>
          <w:noProof/>
          <w:lang w:val="es-GT" w:eastAsia="es-GT"/>
        </w:rPr>
      </w:pPr>
    </w:p>
    <w:p w14:paraId="787AFDDB" w14:textId="5020E177" w:rsidR="00B545DE" w:rsidRPr="00FD167A" w:rsidRDefault="00B545DE" w:rsidP="008B27EA">
      <w:pPr>
        <w:pStyle w:val="Prrafodelista"/>
        <w:numPr>
          <w:ilvl w:val="0"/>
          <w:numId w:val="12"/>
        </w:numPr>
        <w:jc w:val="both"/>
        <w:rPr>
          <w:noProof/>
          <w:lang w:val="es-GT" w:eastAsia="es-GT"/>
        </w:rPr>
      </w:pPr>
      <w:r w:rsidRPr="00FD167A">
        <w:rPr>
          <w:noProof/>
          <w:lang w:val="es-GT" w:eastAsia="es-GT"/>
        </w:rPr>
        <w:t xml:space="preserve">El Ministerio de Comunicaciones, Infraestructura y Vivienda por la reprogramación de obras y asignación de recursos para los proyectos del Decreto </w:t>
      </w:r>
      <w:r w:rsidR="008C5EB9">
        <w:rPr>
          <w:noProof/>
          <w:lang w:val="es-GT" w:eastAsia="es-GT"/>
        </w:rPr>
        <w:t>No.</w:t>
      </w:r>
      <w:r w:rsidRPr="00FD167A">
        <w:rPr>
          <w:noProof/>
          <w:lang w:val="es-GT" w:eastAsia="es-GT"/>
        </w:rPr>
        <w:t xml:space="preserve"> 21-2022</w:t>
      </w:r>
      <w:r w:rsidR="008C5EB9">
        <w:rPr>
          <w:noProof/>
          <w:lang w:val="es-GT" w:eastAsia="es-GT"/>
        </w:rPr>
        <w:t>,</w:t>
      </w:r>
      <w:r w:rsidRPr="00FD167A">
        <w:rPr>
          <w:noProof/>
          <w:lang w:val="es-GT" w:eastAsia="es-GT"/>
        </w:rPr>
        <w:t xml:space="preserve"> Ley para </w:t>
      </w:r>
      <w:r w:rsidR="008C5EB9">
        <w:rPr>
          <w:noProof/>
          <w:lang w:val="es-GT" w:eastAsia="es-GT"/>
        </w:rPr>
        <w:t>F</w:t>
      </w:r>
      <w:r w:rsidRPr="00FD167A">
        <w:rPr>
          <w:noProof/>
          <w:lang w:val="es-GT" w:eastAsia="es-GT"/>
        </w:rPr>
        <w:t>ortalecer el</w:t>
      </w:r>
      <w:r w:rsidR="008C5EB9">
        <w:rPr>
          <w:noProof/>
          <w:lang w:val="es-GT" w:eastAsia="es-GT"/>
        </w:rPr>
        <w:t xml:space="preserve"> M</w:t>
      </w:r>
      <w:r w:rsidRPr="00FD167A">
        <w:rPr>
          <w:noProof/>
          <w:lang w:val="es-GT" w:eastAsia="es-GT"/>
        </w:rPr>
        <w:t xml:space="preserve">antenimiento y </w:t>
      </w:r>
      <w:r w:rsidR="008C5EB9">
        <w:rPr>
          <w:noProof/>
          <w:lang w:val="es-GT" w:eastAsia="es-GT"/>
        </w:rPr>
        <w:t>C</w:t>
      </w:r>
      <w:r w:rsidRPr="00FD167A">
        <w:rPr>
          <w:noProof/>
          <w:lang w:val="es-GT" w:eastAsia="es-GT"/>
        </w:rPr>
        <w:t xml:space="preserve">onstrucción de </w:t>
      </w:r>
      <w:r w:rsidR="008C5EB9">
        <w:rPr>
          <w:noProof/>
          <w:lang w:val="es-GT" w:eastAsia="es-GT"/>
        </w:rPr>
        <w:t>I</w:t>
      </w:r>
      <w:r w:rsidRPr="00FD167A">
        <w:rPr>
          <w:noProof/>
          <w:lang w:val="es-GT" w:eastAsia="es-GT"/>
        </w:rPr>
        <w:t xml:space="preserve">nfraestructura </w:t>
      </w:r>
      <w:r w:rsidR="008C5EB9">
        <w:rPr>
          <w:noProof/>
          <w:lang w:val="es-GT" w:eastAsia="es-GT"/>
        </w:rPr>
        <w:t>E</w:t>
      </w:r>
      <w:r w:rsidRPr="00FD167A">
        <w:rPr>
          <w:noProof/>
          <w:lang w:val="es-GT" w:eastAsia="es-GT"/>
        </w:rPr>
        <w:t>stratégica</w:t>
      </w:r>
      <w:r w:rsidR="008C5EB9">
        <w:rPr>
          <w:noProof/>
          <w:lang w:val="es-GT" w:eastAsia="es-GT"/>
        </w:rPr>
        <w:t>,</w:t>
      </w:r>
      <w:r w:rsidRPr="00FD167A">
        <w:rPr>
          <w:noProof/>
          <w:lang w:val="es-GT" w:eastAsia="es-GT"/>
        </w:rPr>
        <w:t xml:space="preserve"> que quedaron pendientes por la temporada lluviosa de 2022.</w:t>
      </w:r>
    </w:p>
    <w:p w14:paraId="2169C016" w14:textId="24FC8849" w:rsidR="00B545DE" w:rsidRPr="00FD167A" w:rsidRDefault="00B545DE" w:rsidP="008B27EA">
      <w:pPr>
        <w:pStyle w:val="Prrafodelista"/>
        <w:numPr>
          <w:ilvl w:val="0"/>
          <w:numId w:val="12"/>
        </w:numPr>
        <w:jc w:val="both"/>
        <w:rPr>
          <w:noProof/>
          <w:lang w:val="es-GT" w:eastAsia="es-GT"/>
        </w:rPr>
      </w:pPr>
      <w:r w:rsidRPr="00FD167A">
        <w:rPr>
          <w:noProof/>
          <w:lang w:val="es-GT" w:eastAsia="es-GT"/>
        </w:rPr>
        <w:t xml:space="preserve">El Fondo Social de Solidaridad con reprogramación de obras, también </w:t>
      </w:r>
      <w:r w:rsidR="008C5EB9">
        <w:rPr>
          <w:noProof/>
          <w:lang w:val="es-GT" w:eastAsia="es-GT"/>
        </w:rPr>
        <w:t>contenidas en el</w:t>
      </w:r>
      <w:r w:rsidRPr="00FD167A">
        <w:rPr>
          <w:noProof/>
          <w:lang w:val="es-GT" w:eastAsia="es-GT"/>
        </w:rPr>
        <w:t xml:space="preserve"> Decreto </w:t>
      </w:r>
      <w:r w:rsidR="008C5EB9">
        <w:rPr>
          <w:noProof/>
          <w:lang w:val="es-GT" w:eastAsia="es-GT"/>
        </w:rPr>
        <w:t>No.</w:t>
      </w:r>
      <w:r w:rsidRPr="00FD167A">
        <w:rPr>
          <w:noProof/>
          <w:lang w:val="es-GT" w:eastAsia="es-GT"/>
        </w:rPr>
        <w:t xml:space="preserve"> 21-2022.</w:t>
      </w:r>
    </w:p>
    <w:p w14:paraId="70FAC1B7" w14:textId="0DE49DC7" w:rsidR="00B545DE" w:rsidRPr="00FD167A" w:rsidRDefault="00B545DE" w:rsidP="008B27EA">
      <w:pPr>
        <w:pStyle w:val="Prrafodelista"/>
        <w:numPr>
          <w:ilvl w:val="0"/>
          <w:numId w:val="12"/>
        </w:numPr>
        <w:jc w:val="both"/>
        <w:rPr>
          <w:noProof/>
          <w:lang w:val="es-GT" w:eastAsia="es-GT"/>
        </w:rPr>
      </w:pPr>
      <w:r w:rsidRPr="00FD167A">
        <w:rPr>
          <w:noProof/>
          <w:lang w:val="es-GT" w:eastAsia="es-GT"/>
        </w:rPr>
        <w:t xml:space="preserve">El Ministerio de Energía y Minas con una modificación presupuestaria para garantizar el apoyo social temporal a los consumidores del gas propano, establecido en el Decreto </w:t>
      </w:r>
      <w:r w:rsidR="008C5EB9">
        <w:rPr>
          <w:noProof/>
          <w:lang w:val="es-GT" w:eastAsia="es-GT"/>
        </w:rPr>
        <w:t>No.</w:t>
      </w:r>
      <w:r w:rsidRPr="00FD167A">
        <w:rPr>
          <w:noProof/>
          <w:lang w:val="es-GT" w:eastAsia="es-GT"/>
        </w:rPr>
        <w:t xml:space="preserve"> 5-2023</w:t>
      </w:r>
      <w:r w:rsidR="008C5EB9">
        <w:rPr>
          <w:noProof/>
          <w:lang w:val="es-GT" w:eastAsia="es-GT"/>
        </w:rPr>
        <w:t xml:space="preserve"> del Congreso de la República</w:t>
      </w:r>
      <w:r w:rsidRPr="00FD167A">
        <w:rPr>
          <w:noProof/>
          <w:lang w:val="es-GT" w:eastAsia="es-GT"/>
        </w:rPr>
        <w:t>.</w:t>
      </w:r>
    </w:p>
    <w:p w14:paraId="5EE66C62" w14:textId="70CFC5A8" w:rsidR="00B545DE" w:rsidRPr="00FD167A" w:rsidRDefault="00B545DE" w:rsidP="008B27EA">
      <w:pPr>
        <w:pStyle w:val="Prrafodelista"/>
        <w:numPr>
          <w:ilvl w:val="0"/>
          <w:numId w:val="12"/>
        </w:numPr>
        <w:jc w:val="both"/>
        <w:rPr>
          <w:noProof/>
          <w:lang w:val="es-GT" w:eastAsia="es-GT"/>
        </w:rPr>
      </w:pPr>
      <w:r w:rsidRPr="00FD167A">
        <w:rPr>
          <w:noProof/>
          <w:lang w:val="es-GT" w:eastAsia="es-GT"/>
        </w:rPr>
        <w:t xml:space="preserve">En las Obligaciones del Estado a Cargo del Tesoro se dio una ampliación </w:t>
      </w:r>
      <w:r w:rsidR="008C5EB9">
        <w:rPr>
          <w:noProof/>
          <w:lang w:val="es-GT" w:eastAsia="es-GT"/>
        </w:rPr>
        <w:t>por</w:t>
      </w:r>
      <w:r w:rsidRPr="00FD167A">
        <w:rPr>
          <w:noProof/>
          <w:lang w:val="es-GT" w:eastAsia="es-GT"/>
        </w:rPr>
        <w:t xml:space="preserve"> Q</w:t>
      </w:r>
      <w:r w:rsidR="008C5EB9">
        <w:rPr>
          <w:noProof/>
          <w:lang w:val="es-GT" w:eastAsia="es-GT"/>
        </w:rPr>
        <w:t>.</w:t>
      </w:r>
      <w:r w:rsidRPr="00FD167A">
        <w:rPr>
          <w:noProof/>
          <w:lang w:val="es-GT" w:eastAsia="es-GT"/>
        </w:rPr>
        <w:t>197 millones para cumplir con el subsidio a la ampliación de la tarifa social eléctrica, así como una ampliación de Q</w:t>
      </w:r>
      <w:r w:rsidR="008C5EB9">
        <w:rPr>
          <w:noProof/>
          <w:lang w:val="es-GT" w:eastAsia="es-GT"/>
        </w:rPr>
        <w:t>.</w:t>
      </w:r>
      <w:r w:rsidRPr="00FD167A">
        <w:rPr>
          <w:noProof/>
          <w:lang w:val="es-GT" w:eastAsia="es-GT"/>
        </w:rPr>
        <w:t>200</w:t>
      </w:r>
      <w:r w:rsidR="008C5EB9">
        <w:rPr>
          <w:noProof/>
          <w:lang w:val="es-GT" w:eastAsia="es-GT"/>
        </w:rPr>
        <w:t>.0</w:t>
      </w:r>
      <w:r w:rsidRPr="00FD167A">
        <w:rPr>
          <w:noProof/>
          <w:lang w:val="es-GT" w:eastAsia="es-GT"/>
        </w:rPr>
        <w:t xml:space="preserve"> millones para el incremento a las jubilaciones y pensiones del régimen de clases pasivas y civiles del Estado. Además, se han dado ampliaciones en favor de los C</w:t>
      </w:r>
      <w:r w:rsidR="008C5EB9">
        <w:rPr>
          <w:noProof/>
          <w:lang w:val="es-GT" w:eastAsia="es-GT"/>
        </w:rPr>
        <w:t>onsejos Departamentales de Desarrollo</w:t>
      </w:r>
      <w:r w:rsidRPr="00FD167A">
        <w:rPr>
          <w:noProof/>
          <w:lang w:val="es-GT" w:eastAsia="es-GT"/>
        </w:rPr>
        <w:t>.</w:t>
      </w:r>
    </w:p>
    <w:p w14:paraId="48D8E2D0" w14:textId="4B5C10E3" w:rsidR="00B545DE" w:rsidRPr="00FD167A" w:rsidRDefault="00B545DE" w:rsidP="008B27EA">
      <w:pPr>
        <w:pStyle w:val="Prrafodelista"/>
        <w:numPr>
          <w:ilvl w:val="0"/>
          <w:numId w:val="12"/>
        </w:numPr>
        <w:jc w:val="both"/>
        <w:rPr>
          <w:noProof/>
          <w:lang w:val="es-GT" w:eastAsia="es-GT"/>
        </w:rPr>
      </w:pPr>
      <w:r w:rsidRPr="00FD167A">
        <w:rPr>
          <w:noProof/>
          <w:lang w:val="es-GT" w:eastAsia="es-GT"/>
        </w:rPr>
        <w:t>Q</w:t>
      </w:r>
      <w:r w:rsidR="008C5EB9">
        <w:rPr>
          <w:noProof/>
          <w:lang w:val="es-GT" w:eastAsia="es-GT"/>
        </w:rPr>
        <w:t>.</w:t>
      </w:r>
      <w:r w:rsidRPr="00FD167A">
        <w:rPr>
          <w:noProof/>
          <w:lang w:val="es-GT" w:eastAsia="es-GT"/>
        </w:rPr>
        <w:t>300</w:t>
      </w:r>
      <w:r w:rsidR="008C5EB9">
        <w:rPr>
          <w:noProof/>
          <w:lang w:val="es-GT" w:eastAsia="es-GT"/>
        </w:rPr>
        <w:t>.0</w:t>
      </w:r>
      <w:r w:rsidRPr="00FD167A">
        <w:rPr>
          <w:noProof/>
          <w:lang w:val="es-GT" w:eastAsia="es-GT"/>
        </w:rPr>
        <w:t xml:space="preserve"> millones para los beneficiarios del Decreto</w:t>
      </w:r>
      <w:r w:rsidR="008C5EB9">
        <w:rPr>
          <w:noProof/>
          <w:lang w:val="es-GT" w:eastAsia="es-GT"/>
        </w:rPr>
        <w:t xml:space="preserve"> No.</w:t>
      </w:r>
      <w:r w:rsidRPr="00FD167A">
        <w:rPr>
          <w:noProof/>
          <w:lang w:val="es-GT" w:eastAsia="es-GT"/>
        </w:rPr>
        <w:t xml:space="preserve"> 51-2022</w:t>
      </w:r>
      <w:r w:rsidR="008C5EB9">
        <w:rPr>
          <w:noProof/>
          <w:lang w:val="es-GT" w:eastAsia="es-GT"/>
        </w:rPr>
        <w:t xml:space="preserve"> del Congreso de la República,</w:t>
      </w:r>
      <w:r w:rsidRPr="00FD167A">
        <w:rPr>
          <w:noProof/>
          <w:lang w:val="es-GT" w:eastAsia="es-GT"/>
        </w:rPr>
        <w:t xml:space="preserve"> Ley Temporal de Desarrollo Integral</w:t>
      </w:r>
      <w:r w:rsidR="008C5EB9">
        <w:rPr>
          <w:noProof/>
          <w:lang w:val="es-GT" w:eastAsia="es-GT"/>
        </w:rPr>
        <w:t>.</w:t>
      </w:r>
    </w:p>
    <w:p w14:paraId="43821F07" w14:textId="40874FF3" w:rsidR="00B545DE" w:rsidRPr="00FD167A" w:rsidRDefault="00B545DE" w:rsidP="008B27EA">
      <w:pPr>
        <w:pStyle w:val="Prrafodelista"/>
        <w:numPr>
          <w:ilvl w:val="0"/>
          <w:numId w:val="12"/>
        </w:numPr>
        <w:jc w:val="both"/>
        <w:rPr>
          <w:noProof/>
          <w:lang w:val="es-GT" w:eastAsia="es-GT"/>
        </w:rPr>
      </w:pPr>
      <w:r w:rsidRPr="00FD167A">
        <w:rPr>
          <w:noProof/>
          <w:lang w:val="es-GT" w:eastAsia="es-GT"/>
        </w:rPr>
        <w:t>Q</w:t>
      </w:r>
      <w:r w:rsidR="008C5EB9">
        <w:rPr>
          <w:noProof/>
          <w:lang w:val="es-GT" w:eastAsia="es-GT"/>
        </w:rPr>
        <w:t>.</w:t>
      </w:r>
      <w:r w:rsidRPr="00FD167A">
        <w:rPr>
          <w:noProof/>
          <w:lang w:val="es-GT" w:eastAsia="es-GT"/>
        </w:rPr>
        <w:t xml:space="preserve">1.6 millones </w:t>
      </w:r>
      <w:r w:rsidR="008C5EB9">
        <w:rPr>
          <w:noProof/>
          <w:lang w:val="es-GT" w:eastAsia="es-GT"/>
        </w:rPr>
        <w:t>para</w:t>
      </w:r>
      <w:r w:rsidRPr="00FD167A">
        <w:rPr>
          <w:noProof/>
          <w:lang w:val="es-GT" w:eastAsia="es-GT"/>
        </w:rPr>
        <w:t xml:space="preserve"> la Secretaría Presidencial de la Mujer</w:t>
      </w:r>
      <w:r w:rsidR="008C5EB9">
        <w:rPr>
          <w:noProof/>
          <w:lang w:val="es-GT" w:eastAsia="es-GT"/>
        </w:rPr>
        <w:t xml:space="preserve"> (SEPREM)</w:t>
      </w:r>
      <w:r w:rsidRPr="00FD167A">
        <w:rPr>
          <w:noProof/>
          <w:lang w:val="es-GT" w:eastAsia="es-GT"/>
        </w:rPr>
        <w:t>.</w:t>
      </w:r>
    </w:p>
    <w:p w14:paraId="71ED24BC" w14:textId="29A935C9" w:rsidR="00B545DE" w:rsidRPr="00FD167A" w:rsidRDefault="00B545DE" w:rsidP="008B27EA">
      <w:pPr>
        <w:pStyle w:val="Prrafodelista"/>
        <w:numPr>
          <w:ilvl w:val="0"/>
          <w:numId w:val="12"/>
        </w:numPr>
        <w:jc w:val="both"/>
        <w:rPr>
          <w:noProof/>
          <w:lang w:val="es-GT" w:eastAsia="es-GT"/>
        </w:rPr>
      </w:pPr>
      <w:r w:rsidRPr="00FD167A">
        <w:rPr>
          <w:noProof/>
          <w:lang w:val="es-GT" w:eastAsia="es-GT"/>
        </w:rPr>
        <w:t>Q</w:t>
      </w:r>
      <w:r w:rsidR="008C5EB9">
        <w:rPr>
          <w:noProof/>
          <w:lang w:val="es-GT" w:eastAsia="es-GT"/>
        </w:rPr>
        <w:t>.</w:t>
      </w:r>
      <w:r w:rsidRPr="00FD167A">
        <w:rPr>
          <w:noProof/>
          <w:lang w:val="es-GT" w:eastAsia="es-GT"/>
        </w:rPr>
        <w:t xml:space="preserve">339.9 millones de modificación presupuestaria para el programa de Aporte Económico </w:t>
      </w:r>
      <w:r w:rsidR="008C5EB9">
        <w:rPr>
          <w:noProof/>
          <w:lang w:val="es-GT" w:eastAsia="es-GT"/>
        </w:rPr>
        <w:t>a</w:t>
      </w:r>
      <w:r w:rsidRPr="00FD167A">
        <w:rPr>
          <w:noProof/>
          <w:lang w:val="es-GT" w:eastAsia="es-GT"/>
        </w:rPr>
        <w:t>l Adulto Mayor, según Decreto</w:t>
      </w:r>
      <w:r w:rsidR="008C5EB9">
        <w:rPr>
          <w:noProof/>
          <w:lang w:val="es-GT" w:eastAsia="es-GT"/>
        </w:rPr>
        <w:t xml:space="preserve"> No.</w:t>
      </w:r>
      <w:r w:rsidRPr="00FD167A">
        <w:rPr>
          <w:noProof/>
          <w:lang w:val="es-GT" w:eastAsia="es-GT"/>
        </w:rPr>
        <w:t xml:space="preserve"> 10-2023.</w:t>
      </w:r>
    </w:p>
    <w:p w14:paraId="31A72E4B" w14:textId="77777777" w:rsidR="00B545DE" w:rsidRPr="00FD167A" w:rsidRDefault="00B545DE" w:rsidP="00B545DE">
      <w:pPr>
        <w:autoSpaceDE w:val="0"/>
        <w:autoSpaceDN w:val="0"/>
        <w:adjustRightInd w:val="0"/>
        <w:jc w:val="both"/>
        <w:rPr>
          <w:noProof/>
          <w:lang w:val="es-GT" w:eastAsia="es-GT"/>
        </w:rPr>
      </w:pPr>
    </w:p>
    <w:p w14:paraId="75A7BF98" w14:textId="0FE12E18" w:rsidR="00B545DE" w:rsidRDefault="00B545DE" w:rsidP="00B545DE">
      <w:pPr>
        <w:autoSpaceDE w:val="0"/>
        <w:autoSpaceDN w:val="0"/>
        <w:adjustRightInd w:val="0"/>
        <w:jc w:val="both"/>
      </w:pPr>
      <w:r w:rsidRPr="00F67876">
        <w:t xml:space="preserve">Para finales de 2023, se espera que la variación interanual del gasto público total sea positiva en </w:t>
      </w:r>
      <w:r>
        <w:t>5</w:t>
      </w:r>
      <w:r w:rsidRPr="00F67876">
        <w:t xml:space="preserve">.6%, sin incluir las amortizaciones de la deuda pública, </w:t>
      </w:r>
      <w:r>
        <w:t>siendo el gasto de</w:t>
      </w:r>
      <w:r w:rsidRPr="00F67876">
        <w:t xml:space="preserve"> Q</w:t>
      </w:r>
      <w:r w:rsidR="00B76D89">
        <w:t>.</w:t>
      </w:r>
      <w:r>
        <w:t>111,674</w:t>
      </w:r>
      <w:r w:rsidR="00B76D89">
        <w:t xml:space="preserve">.0 </w:t>
      </w:r>
      <w:r>
        <w:t xml:space="preserve">millones, </w:t>
      </w:r>
      <w:r w:rsidRPr="00F67876">
        <w:t>queda</w:t>
      </w:r>
      <w:r>
        <w:t>ndo</w:t>
      </w:r>
      <w:r w:rsidRPr="00F67876">
        <w:t xml:space="preserve"> por arriba de lo observado el año previo</w:t>
      </w:r>
      <w:r>
        <w:t xml:space="preserve"> en </w:t>
      </w:r>
      <w:r w:rsidRPr="00F67876">
        <w:t>Q</w:t>
      </w:r>
      <w:r w:rsidR="00B76D89">
        <w:t>.</w:t>
      </w:r>
      <w:r>
        <w:t>5,955.3</w:t>
      </w:r>
      <w:r w:rsidRPr="00F67876">
        <w:t xml:space="preserve"> millones</w:t>
      </w:r>
      <w:r>
        <w:t xml:space="preserve"> y estaría por debajo de lo previsto en el presupuesto de 2023 </w:t>
      </w:r>
      <w:r w:rsidR="00B76D89">
        <w:t xml:space="preserve">por </w:t>
      </w:r>
      <w:r>
        <w:t>Q</w:t>
      </w:r>
      <w:r w:rsidR="00B76D89">
        <w:t>.</w:t>
      </w:r>
      <w:r>
        <w:t>113,920.8 millones, es decir, se espera un grado de ejecución presupuestaria en torno al 96.9%, el cual se considera relativamente alto al compararlo con la evolución de este indicador</w:t>
      </w:r>
      <w:r w:rsidR="00B76D89">
        <w:t>,</w:t>
      </w:r>
      <w:r>
        <w:t xml:space="preserve"> que en promedio suele estar por debajo del 95</w:t>
      </w:r>
      <w:r w:rsidR="00B76D89">
        <w:t>.0</w:t>
      </w:r>
      <w:r>
        <w:t>%.</w:t>
      </w:r>
    </w:p>
    <w:p w14:paraId="3F6E2DF1" w14:textId="77777777" w:rsidR="00B545DE" w:rsidRDefault="00B545DE" w:rsidP="00B545DE">
      <w:pPr>
        <w:autoSpaceDE w:val="0"/>
        <w:autoSpaceDN w:val="0"/>
        <w:adjustRightInd w:val="0"/>
        <w:jc w:val="both"/>
      </w:pPr>
    </w:p>
    <w:p w14:paraId="00E55CFB" w14:textId="1456A8ED" w:rsidR="00B545DE" w:rsidRDefault="00B545DE" w:rsidP="00B545DE">
      <w:pPr>
        <w:autoSpaceDE w:val="0"/>
        <w:autoSpaceDN w:val="0"/>
        <w:adjustRightInd w:val="0"/>
        <w:jc w:val="both"/>
      </w:pPr>
      <w:r>
        <w:t>E</w:t>
      </w:r>
      <w:r w:rsidR="00B76D89">
        <w:t>n</w:t>
      </w:r>
      <w:r>
        <w:t xml:space="preserve"> 2023 </w:t>
      </w:r>
      <w:r w:rsidR="00B76D89">
        <w:t>se tuvo</w:t>
      </w:r>
      <w:r>
        <w:t xml:space="preserve"> la ventaja de </w:t>
      </w:r>
      <w:r w:rsidR="00B76D89">
        <w:t>contar con</w:t>
      </w:r>
      <w:r>
        <w:t xml:space="preserve"> un presupuesto aprobado por segundo año consecutivo, además de ser el último año de la actual administración pública</w:t>
      </w:r>
      <w:r w:rsidR="00B76D89">
        <w:t>;</w:t>
      </w:r>
      <w:r>
        <w:t xml:space="preserve"> por ello se espera contar con una ejecución dinámica, más enfocada en atender los programas y metas de la Política General de Gobierno</w:t>
      </w:r>
      <w:r w:rsidR="00B76D89">
        <w:t xml:space="preserve"> 2020-2024,</w:t>
      </w:r>
      <w:r>
        <w:t xml:space="preserve"> y no tanto</w:t>
      </w:r>
      <w:r w:rsidR="00B76D89">
        <w:t xml:space="preserve"> a</w:t>
      </w:r>
      <w:r>
        <w:t xml:space="preserve"> factores coyunturales como en 2020, 2021 y 2022 con la pandemia del C</w:t>
      </w:r>
      <w:r w:rsidR="00B76D89">
        <w:t>ovid</w:t>
      </w:r>
      <w:r>
        <w:t>-19, el proceso de vacunación o la atención del alza de los precios con subsidios temporales. Si bien algunos subsidios continuaron en 2023, como es el caso del gas propano y la ampliación de la tarifa social a la energía eléctrica, esto fue únicamente durante el primer semestre del año y el presupuesto destinado a subsidios temporales fue significativamente menor.</w:t>
      </w:r>
    </w:p>
    <w:p w14:paraId="7A2CC845" w14:textId="77777777" w:rsidR="00B545DE" w:rsidRDefault="00B545DE" w:rsidP="00B545DE">
      <w:pPr>
        <w:autoSpaceDE w:val="0"/>
        <w:autoSpaceDN w:val="0"/>
        <w:adjustRightInd w:val="0"/>
        <w:jc w:val="both"/>
      </w:pPr>
    </w:p>
    <w:p w14:paraId="230BFD06" w14:textId="43BCE0E7" w:rsidR="00B545DE" w:rsidRDefault="00B545DE" w:rsidP="00B545DE">
      <w:pPr>
        <w:autoSpaceDE w:val="0"/>
        <w:autoSpaceDN w:val="0"/>
        <w:adjustRightInd w:val="0"/>
        <w:jc w:val="both"/>
      </w:pPr>
      <w:r>
        <w:t xml:space="preserve">Los gastos que estarían creciendo de forma importante en 2023, de acuerdo </w:t>
      </w:r>
      <w:r w:rsidR="00B76D89">
        <w:t>con</w:t>
      </w:r>
      <w:r>
        <w:t xml:space="preserve"> la estimación de cierre serían las prestaciones a la seguridad social con 13.8% (equivalente a Q</w:t>
      </w:r>
      <w:r w:rsidR="00B76D89">
        <w:t>.</w:t>
      </w:r>
      <w:r>
        <w:t>796.7 millones)</w:t>
      </w:r>
      <w:r w:rsidR="00B76D89">
        <w:t>, ya que e</w:t>
      </w:r>
      <w:r w:rsidRPr="000400B5">
        <w:t>n 2022 se aprobó un aumento del 10</w:t>
      </w:r>
      <w:r w:rsidR="00B76D89">
        <w:t>.0</w:t>
      </w:r>
      <w:r w:rsidRPr="000400B5">
        <w:t>% para los beneficiarios del régimen de clases pasivas y civiles del Estado,</w:t>
      </w:r>
      <w:r>
        <w:t xml:space="preserve"> y esto coadyuvaría al resultado esperado. Asimismo, estaría en un nivel parecido a lo previsto en el presupuesto </w:t>
      </w:r>
      <w:r w:rsidR="00B76D89">
        <w:t xml:space="preserve">aprobado </w:t>
      </w:r>
      <w:r>
        <w:t>para este año.</w:t>
      </w:r>
    </w:p>
    <w:p w14:paraId="1DF69B3C" w14:textId="77777777" w:rsidR="00B545DE" w:rsidRDefault="00B545DE" w:rsidP="00B545DE">
      <w:pPr>
        <w:autoSpaceDE w:val="0"/>
        <w:autoSpaceDN w:val="0"/>
        <w:adjustRightInd w:val="0"/>
        <w:jc w:val="both"/>
      </w:pPr>
    </w:p>
    <w:p w14:paraId="18AE0E49" w14:textId="42F00307" w:rsidR="00B545DE" w:rsidRPr="00207876" w:rsidRDefault="00B545DE" w:rsidP="00B545DE">
      <w:pPr>
        <w:autoSpaceDE w:val="0"/>
        <w:autoSpaceDN w:val="0"/>
        <w:adjustRightInd w:val="0"/>
        <w:jc w:val="both"/>
      </w:pPr>
      <w:r>
        <w:t>En cuanto a l</w:t>
      </w:r>
      <w:r w:rsidRPr="00207876">
        <w:t>as transferencias de capital</w:t>
      </w:r>
      <w:r w:rsidR="00B76D89">
        <w:t>, éstas</w:t>
      </w:r>
      <w:r w:rsidRPr="00207876">
        <w:t xml:space="preserve"> tendrían un crecimiento de 9.6% (equivalente a </w:t>
      </w:r>
      <w:r>
        <w:t>Q</w:t>
      </w:r>
      <w:r w:rsidR="00B76D89">
        <w:t>.</w:t>
      </w:r>
      <w:r>
        <w:t>1,325.2 millones) siendo explicada por una mayor transferencia de recursos a las municipalidades y Consejos</w:t>
      </w:r>
      <w:r w:rsidR="00B76D89">
        <w:t xml:space="preserve"> Departamentales</w:t>
      </w:r>
      <w:r>
        <w:t xml:space="preserve"> de Desarrollo. Por su parte, las remuneraciones tendrían un crecimiento de 8.2% (equivalente a Q</w:t>
      </w:r>
      <w:r w:rsidR="00B76D89">
        <w:t>.</w:t>
      </w:r>
      <w:r>
        <w:t>2,448.3 millones).</w:t>
      </w:r>
    </w:p>
    <w:p w14:paraId="6866D6EA" w14:textId="77777777" w:rsidR="00B545DE" w:rsidRDefault="00B545DE" w:rsidP="00B545DE">
      <w:pPr>
        <w:autoSpaceDE w:val="0"/>
        <w:autoSpaceDN w:val="0"/>
        <w:adjustRightInd w:val="0"/>
        <w:jc w:val="both"/>
        <w:rPr>
          <w:highlight w:val="yellow"/>
        </w:rPr>
      </w:pPr>
    </w:p>
    <w:p w14:paraId="4C4FCB63" w14:textId="77777777" w:rsidR="00B545DE" w:rsidRDefault="00B545DE" w:rsidP="00B545DE">
      <w:pPr>
        <w:autoSpaceDE w:val="0"/>
        <w:autoSpaceDN w:val="0"/>
        <w:adjustRightInd w:val="0"/>
        <w:jc w:val="both"/>
      </w:pPr>
      <w:r w:rsidRPr="00207876">
        <w:t>Otro rubro de gasto con un crecimiento importante serían los intereses de la deuda pública (</w:t>
      </w:r>
      <w:r>
        <w:t>5.7</w:t>
      </w:r>
      <w:r w:rsidRPr="00207876">
        <w:t>%), explicado en una buena medida por el aumento en l</w:t>
      </w:r>
      <w:r>
        <w:t>os intereses de la</w:t>
      </w:r>
      <w:r w:rsidRPr="00207876">
        <w:t xml:space="preserve"> deuda externa, principalmente en lo que corresponde a los </w:t>
      </w:r>
      <w:r>
        <w:t>préstamos, cuya tasa se ha visto afectada por las alzas de las tasas internacionales, lo cual afecta los préstamos con organismos multilaterales. E</w:t>
      </w:r>
      <w:r w:rsidRPr="00207876">
        <w:t xml:space="preserve">l pago de los intereses aumenta a pesar que se ha buscado realizar las colocaciones en condiciones </w:t>
      </w:r>
      <w:r>
        <w:t>favorables, derivado del contexto internacional y nacional de subida de tasas por parte de los Bancos Centrales para controlar la inflación.</w:t>
      </w:r>
    </w:p>
    <w:p w14:paraId="2C3A82E3" w14:textId="77777777" w:rsidR="00B545DE" w:rsidRDefault="00B545DE" w:rsidP="00B545DE">
      <w:pPr>
        <w:autoSpaceDE w:val="0"/>
        <w:autoSpaceDN w:val="0"/>
        <w:adjustRightInd w:val="0"/>
        <w:jc w:val="both"/>
      </w:pPr>
    </w:p>
    <w:p w14:paraId="5BBC03D9" w14:textId="12C0DCA9" w:rsidR="00B545DE" w:rsidRDefault="00B545DE" w:rsidP="00B545DE">
      <w:pPr>
        <w:autoSpaceDE w:val="0"/>
        <w:autoSpaceDN w:val="0"/>
        <w:adjustRightInd w:val="0"/>
        <w:jc w:val="both"/>
      </w:pPr>
      <w:r>
        <w:t xml:space="preserve">En cuanto a las transferencias corrientes, </w:t>
      </w:r>
      <w:r w:rsidR="00EC2712">
        <w:t>é</w:t>
      </w:r>
      <w:r>
        <w:t xml:space="preserve">stas estarían creciendo en 4.4%. </w:t>
      </w:r>
      <w:r w:rsidRPr="00AC4D7E">
        <w:t>En este apartado es importante separar las transferencias al sector privado y público, derivado que, en el caso del primero, las transferencias se contrae</w:t>
      </w:r>
      <w:r>
        <w:t xml:space="preserve">rían como consecuencia de que </w:t>
      </w:r>
      <w:r w:rsidRPr="00AC4D7E">
        <w:t>los apoyos temporales que se encontraban vigentes a las gasolinas y diésel</w:t>
      </w:r>
      <w:r>
        <w:t xml:space="preserve"> en 2022 no se implementaron en 2023, y por ello las trasferencias privadas </w:t>
      </w:r>
      <w:r w:rsidR="00364A8A">
        <w:t>tienden a disminuir</w:t>
      </w:r>
      <w:r>
        <w:t>.</w:t>
      </w:r>
      <w:r w:rsidRPr="00AC4D7E">
        <w:t xml:space="preserve"> Mientras que, </w:t>
      </w:r>
      <w:r>
        <w:t xml:space="preserve">las transferencias al sector público estarían explicando el crecimiento de este rubro, </w:t>
      </w:r>
      <w:r w:rsidR="00364A8A">
        <w:t>básicamente</w:t>
      </w:r>
      <w:r w:rsidRPr="002F0ECF">
        <w:t xml:space="preserve"> por la</w:t>
      </w:r>
      <w:r w:rsidR="00364A8A">
        <w:t>s</w:t>
      </w:r>
      <w:r w:rsidRPr="002F0ECF">
        <w:t xml:space="preserve"> transferencia</w:t>
      </w:r>
      <w:r w:rsidR="00364A8A">
        <w:t>s</w:t>
      </w:r>
      <w:r w:rsidRPr="002F0ECF">
        <w:t xml:space="preserve"> al Tribunal Supremo Electoral </w:t>
      </w:r>
      <w:r>
        <w:t xml:space="preserve">(TSE), </w:t>
      </w:r>
      <w:r w:rsidR="00364A8A">
        <w:t xml:space="preserve">como producto del proceso de </w:t>
      </w:r>
      <w:r>
        <w:t>elecciones generales programadas en 2023</w:t>
      </w:r>
      <w:r w:rsidRPr="002F0ECF">
        <w:t>.</w:t>
      </w:r>
    </w:p>
    <w:p w14:paraId="56EC7D50" w14:textId="77777777" w:rsidR="00B545DE" w:rsidRDefault="00B545DE" w:rsidP="00B545DE">
      <w:pPr>
        <w:autoSpaceDE w:val="0"/>
        <w:autoSpaceDN w:val="0"/>
        <w:adjustRightInd w:val="0"/>
        <w:jc w:val="both"/>
      </w:pPr>
    </w:p>
    <w:p w14:paraId="49904BF7" w14:textId="63F65A2C" w:rsidR="00B545DE" w:rsidRDefault="00B545DE" w:rsidP="00B545DE">
      <w:pPr>
        <w:autoSpaceDE w:val="0"/>
        <w:autoSpaceDN w:val="0"/>
        <w:adjustRightInd w:val="0"/>
        <w:jc w:val="both"/>
      </w:pPr>
      <w:r w:rsidRPr="002F0ECF">
        <w:t>Por último, los rubros de gasto que estarían reportando una contracción importante son la inversión financiera y los bienes y servicios</w:t>
      </w:r>
      <w:r w:rsidR="00364A8A">
        <w:t>,</w:t>
      </w:r>
      <w:r w:rsidRPr="002F0ECF">
        <w:t xml:space="preserve"> </w:t>
      </w:r>
      <w:r>
        <w:t>ambas con -4.1</w:t>
      </w:r>
      <w:r w:rsidRPr="002F0ECF">
        <w:t xml:space="preserve">%. </w:t>
      </w:r>
      <w:r>
        <w:t>En el caso de los bienes y servicios, si bien fue un rubro que se mantuvo bastante dinámico en los primeros meses del año, posteriormente empezó a mostrar una desaceleración y por ello estaría cayendo hacia final del año</w:t>
      </w:r>
      <w:r w:rsidR="00364A8A">
        <w:t xml:space="preserve"> 2023</w:t>
      </w:r>
      <w:r>
        <w:t>.</w:t>
      </w:r>
    </w:p>
    <w:p w14:paraId="3FBF1DC5" w14:textId="77777777" w:rsidR="00B545DE" w:rsidRDefault="00B545DE" w:rsidP="00B545DE">
      <w:pPr>
        <w:autoSpaceDE w:val="0"/>
        <w:autoSpaceDN w:val="0"/>
        <w:adjustRightInd w:val="0"/>
        <w:jc w:val="both"/>
      </w:pPr>
    </w:p>
    <w:p w14:paraId="21E5DCA5" w14:textId="4ABD76B5" w:rsidR="00B545DE" w:rsidRPr="002F0ECF" w:rsidRDefault="00B545DE" w:rsidP="00B545DE">
      <w:pPr>
        <w:jc w:val="both"/>
      </w:pPr>
      <w:r w:rsidRPr="002F0ECF">
        <w:t>Estos resultados en términos del PIB muestran una caída, dado que el gasto pasaría de</w:t>
      </w:r>
      <w:r w:rsidR="00364A8A">
        <w:t>l</w:t>
      </w:r>
      <w:r w:rsidRPr="002F0ECF">
        <w:t xml:space="preserve"> 14.4% en 2022 a 14.</w:t>
      </w:r>
      <w:r>
        <w:t>0</w:t>
      </w:r>
      <w:r w:rsidRPr="002F0ECF">
        <w:t>% en 2023</w:t>
      </w:r>
      <w:r w:rsidR="00364A8A">
        <w:t>;</w:t>
      </w:r>
      <w:r w:rsidRPr="002F0ECF">
        <w:t xml:space="preserve"> dicha caída se explica por </w:t>
      </w:r>
      <w:r w:rsidR="00364A8A">
        <w:t>los</w:t>
      </w:r>
      <w:r w:rsidRPr="002F0ECF">
        <w:t xml:space="preserve"> gasto</w:t>
      </w:r>
      <w:r w:rsidR="00364A8A">
        <w:t>s</w:t>
      </w:r>
      <w:r w:rsidRPr="002F0ECF">
        <w:t xml:space="preserve"> corriente</w:t>
      </w:r>
      <w:r w:rsidR="00364A8A">
        <w:t>s, los que</w:t>
      </w:r>
      <w:r w:rsidRPr="002F0ECF">
        <w:t xml:space="preserve"> pasaría</w:t>
      </w:r>
      <w:r w:rsidR="00364A8A">
        <w:t>n</w:t>
      </w:r>
      <w:r w:rsidRPr="002F0ECF">
        <w:t xml:space="preserve"> de 11.9% a 11.</w:t>
      </w:r>
      <w:r>
        <w:t>5</w:t>
      </w:r>
      <w:r w:rsidRPr="002F0ECF">
        <w:t xml:space="preserve">%, mientras que el gasto de capital </w:t>
      </w:r>
      <w:r>
        <w:t>se mantendría en torno al</w:t>
      </w:r>
      <w:r w:rsidRPr="002F0ECF">
        <w:t xml:space="preserve"> 2.5% en</w:t>
      </w:r>
      <w:r>
        <w:t xml:space="preserve"> ambos años</w:t>
      </w:r>
      <w:r w:rsidRPr="002F0ECF">
        <w:t>.</w:t>
      </w:r>
    </w:p>
    <w:p w14:paraId="0A4E63C3" w14:textId="38261ECE" w:rsidR="00B545DE" w:rsidRDefault="00B545DE" w:rsidP="00B545DE">
      <w:pPr>
        <w:jc w:val="both"/>
        <w:rPr>
          <w:highlight w:val="yellow"/>
        </w:rPr>
      </w:pPr>
    </w:p>
    <w:p w14:paraId="29788859" w14:textId="77777777" w:rsidR="00633DC9" w:rsidRDefault="00633DC9" w:rsidP="00B545DE">
      <w:pPr>
        <w:jc w:val="both"/>
        <w:rPr>
          <w:highlight w:val="yellow"/>
        </w:rPr>
      </w:pPr>
    </w:p>
    <w:p w14:paraId="7C55DDB1" w14:textId="61E77637" w:rsidR="00B545DE" w:rsidRPr="00B67000" w:rsidRDefault="00F6678C" w:rsidP="00B545DE">
      <w:pPr>
        <w:ind w:firstLine="567"/>
        <w:jc w:val="center"/>
        <w:rPr>
          <w:b/>
          <w:bCs/>
          <w:noProof/>
          <w:lang w:val="es-GT" w:eastAsia="es-GT"/>
        </w:rPr>
      </w:pPr>
      <w:r>
        <w:rPr>
          <w:b/>
          <w:bCs/>
          <w:noProof/>
          <w:lang w:val="es-GT" w:eastAsia="es-GT"/>
        </w:rPr>
        <w:t>Cuadro 22</w:t>
      </w:r>
      <w:r w:rsidR="00B545DE">
        <w:rPr>
          <w:b/>
          <w:bCs/>
          <w:noProof/>
          <w:lang w:val="es-GT" w:eastAsia="es-GT"/>
        </w:rPr>
        <w:t xml:space="preserve">. </w:t>
      </w:r>
      <w:r w:rsidR="00B545DE" w:rsidRPr="00B67000">
        <w:rPr>
          <w:b/>
          <w:bCs/>
          <w:noProof/>
          <w:lang w:val="es-GT" w:eastAsia="es-GT"/>
        </w:rPr>
        <w:t>Gasto Total</w:t>
      </w:r>
    </w:p>
    <w:p w14:paraId="0526D5CD" w14:textId="7BACE034" w:rsidR="00B545DE" w:rsidRPr="00B67000" w:rsidRDefault="00B545DE" w:rsidP="00B545DE">
      <w:pPr>
        <w:ind w:firstLine="567"/>
        <w:jc w:val="center"/>
        <w:rPr>
          <w:b/>
          <w:bCs/>
          <w:noProof/>
          <w:lang w:val="es-GT" w:eastAsia="es-GT"/>
        </w:rPr>
      </w:pPr>
      <w:r w:rsidRPr="00B67000">
        <w:rPr>
          <w:b/>
          <w:bCs/>
          <w:noProof/>
          <w:lang w:val="es-GT" w:eastAsia="es-GT"/>
        </w:rPr>
        <w:t>Presupuesto</w:t>
      </w:r>
      <w:r w:rsidR="00364A8A">
        <w:rPr>
          <w:b/>
          <w:bCs/>
          <w:noProof/>
          <w:lang w:val="es-GT" w:eastAsia="es-GT"/>
        </w:rPr>
        <w:t xml:space="preserve"> Aprobado y</w:t>
      </w:r>
      <w:r w:rsidRPr="00B67000">
        <w:rPr>
          <w:b/>
          <w:bCs/>
          <w:noProof/>
          <w:lang w:val="es-GT" w:eastAsia="es-GT"/>
        </w:rPr>
        <w:t xml:space="preserve"> Estimación</w:t>
      </w:r>
      <w:r w:rsidR="00364A8A">
        <w:rPr>
          <w:b/>
          <w:bCs/>
          <w:noProof/>
          <w:lang w:val="es-GT" w:eastAsia="es-GT"/>
        </w:rPr>
        <w:t xml:space="preserve"> de Cierre</w:t>
      </w:r>
      <w:r w:rsidRPr="00B67000">
        <w:rPr>
          <w:b/>
          <w:bCs/>
          <w:noProof/>
          <w:lang w:val="es-GT" w:eastAsia="es-GT"/>
        </w:rPr>
        <w:t xml:space="preserve"> 202</w:t>
      </w:r>
      <w:r>
        <w:rPr>
          <w:b/>
          <w:bCs/>
          <w:noProof/>
          <w:lang w:val="es-GT" w:eastAsia="es-GT"/>
        </w:rPr>
        <w:t>3</w:t>
      </w:r>
    </w:p>
    <w:p w14:paraId="3DE4CEBF" w14:textId="1CCDD4AF" w:rsidR="00B545DE" w:rsidRPr="00364A8A" w:rsidRDefault="00364A8A" w:rsidP="00B545DE">
      <w:pPr>
        <w:ind w:firstLine="567"/>
        <w:jc w:val="center"/>
        <w:rPr>
          <w:b/>
          <w:bCs/>
          <w:noProof/>
          <w:szCs w:val="22"/>
          <w:lang w:val="es-GT" w:eastAsia="es-GT"/>
        </w:rPr>
      </w:pPr>
      <w:r w:rsidRPr="00364A8A">
        <w:rPr>
          <w:b/>
          <w:bCs/>
          <w:noProof/>
          <w:szCs w:val="22"/>
          <w:lang w:val="es-GT" w:eastAsia="es-GT"/>
        </w:rPr>
        <w:t xml:space="preserve">(En </w:t>
      </w:r>
      <w:r w:rsidR="00B545DE" w:rsidRPr="00364A8A">
        <w:rPr>
          <w:b/>
          <w:bCs/>
          <w:noProof/>
          <w:szCs w:val="22"/>
          <w:lang w:val="es-GT" w:eastAsia="es-GT"/>
        </w:rPr>
        <w:t xml:space="preserve">Millones de </w:t>
      </w:r>
      <w:r w:rsidRPr="00364A8A">
        <w:rPr>
          <w:b/>
          <w:bCs/>
          <w:noProof/>
          <w:szCs w:val="22"/>
          <w:lang w:val="es-GT" w:eastAsia="es-GT"/>
        </w:rPr>
        <w:t>Q</w:t>
      </w:r>
      <w:r w:rsidR="00B545DE" w:rsidRPr="00364A8A">
        <w:rPr>
          <w:b/>
          <w:bCs/>
          <w:noProof/>
          <w:szCs w:val="22"/>
          <w:lang w:val="es-GT" w:eastAsia="es-GT"/>
        </w:rPr>
        <w:t>uetzales</w:t>
      </w:r>
      <w:r w:rsidRPr="00364A8A">
        <w:rPr>
          <w:b/>
          <w:bCs/>
          <w:noProof/>
          <w:szCs w:val="22"/>
          <w:lang w:val="es-GT" w:eastAsia="es-GT"/>
        </w:rPr>
        <w:t>)</w:t>
      </w:r>
    </w:p>
    <w:tbl>
      <w:tblPr>
        <w:tblW w:w="9204" w:type="dxa"/>
        <w:tblCellMar>
          <w:left w:w="70" w:type="dxa"/>
          <w:right w:w="70" w:type="dxa"/>
        </w:tblCellMar>
        <w:tblLook w:val="04A0" w:firstRow="1" w:lastRow="0" w:firstColumn="1" w:lastColumn="0" w:noHBand="0" w:noVBand="1"/>
      </w:tblPr>
      <w:tblGrid>
        <w:gridCol w:w="4243"/>
        <w:gridCol w:w="1701"/>
        <w:gridCol w:w="1703"/>
        <w:gridCol w:w="1557"/>
      </w:tblGrid>
      <w:tr w:rsidR="00364A8A" w:rsidRPr="00364A8A" w14:paraId="6B339936" w14:textId="77777777" w:rsidTr="00364A8A">
        <w:trPr>
          <w:trHeight w:val="163"/>
        </w:trPr>
        <w:tc>
          <w:tcPr>
            <w:tcW w:w="4243" w:type="dxa"/>
            <w:vMerge w:val="restart"/>
            <w:tcBorders>
              <w:top w:val="single" w:sz="8" w:space="0" w:color="auto"/>
              <w:left w:val="single" w:sz="8" w:space="0" w:color="auto"/>
              <w:bottom w:val="single" w:sz="8" w:space="0" w:color="000000"/>
              <w:right w:val="single" w:sz="8" w:space="0" w:color="auto"/>
            </w:tcBorders>
            <w:shd w:val="clear" w:color="auto" w:fill="00B0F0"/>
            <w:noWrap/>
            <w:vAlign w:val="center"/>
            <w:hideMark/>
          </w:tcPr>
          <w:p w14:paraId="0DDC54D9" w14:textId="77777777" w:rsidR="00B545DE" w:rsidRPr="00364A8A" w:rsidRDefault="00B545DE" w:rsidP="00B545DE">
            <w:pPr>
              <w:jc w:val="center"/>
              <w:rPr>
                <w:b/>
                <w:bCs/>
                <w:sz w:val="22"/>
                <w:szCs w:val="20"/>
                <w:lang w:val="es-GT" w:eastAsia="es-GT"/>
              </w:rPr>
            </w:pPr>
            <w:r w:rsidRPr="00364A8A">
              <w:rPr>
                <w:b/>
                <w:bCs/>
                <w:sz w:val="22"/>
                <w:szCs w:val="20"/>
                <w:lang w:val="es-GT" w:eastAsia="es-GT"/>
              </w:rPr>
              <w:t>Entidad</w:t>
            </w:r>
          </w:p>
        </w:tc>
        <w:tc>
          <w:tcPr>
            <w:tcW w:w="4961" w:type="dxa"/>
            <w:gridSpan w:val="3"/>
            <w:tcBorders>
              <w:top w:val="single" w:sz="8" w:space="0" w:color="auto"/>
              <w:left w:val="nil"/>
              <w:bottom w:val="single" w:sz="8" w:space="0" w:color="auto"/>
              <w:right w:val="single" w:sz="8" w:space="0" w:color="000000"/>
            </w:tcBorders>
            <w:shd w:val="clear" w:color="auto" w:fill="00B0F0"/>
            <w:noWrap/>
            <w:vAlign w:val="center"/>
            <w:hideMark/>
          </w:tcPr>
          <w:p w14:paraId="58AFCC0B" w14:textId="77777777" w:rsidR="00B545DE" w:rsidRPr="00364A8A" w:rsidRDefault="00B545DE" w:rsidP="00B545DE">
            <w:pPr>
              <w:jc w:val="center"/>
              <w:rPr>
                <w:b/>
                <w:bCs/>
                <w:sz w:val="22"/>
                <w:szCs w:val="20"/>
                <w:lang w:val="es-GT" w:eastAsia="es-GT"/>
              </w:rPr>
            </w:pPr>
            <w:r w:rsidRPr="00364A8A">
              <w:rPr>
                <w:b/>
                <w:bCs/>
                <w:sz w:val="22"/>
                <w:szCs w:val="20"/>
                <w:lang w:val="es-GT" w:eastAsia="es-GT"/>
              </w:rPr>
              <w:t>2023</w:t>
            </w:r>
          </w:p>
        </w:tc>
      </w:tr>
      <w:tr w:rsidR="00B545DE" w:rsidRPr="00364A8A" w14:paraId="615F4C57" w14:textId="77777777" w:rsidTr="00364A8A">
        <w:trPr>
          <w:trHeight w:val="273"/>
        </w:trPr>
        <w:tc>
          <w:tcPr>
            <w:tcW w:w="4243" w:type="dxa"/>
            <w:vMerge/>
            <w:tcBorders>
              <w:top w:val="single" w:sz="8" w:space="0" w:color="auto"/>
              <w:left w:val="single" w:sz="8" w:space="0" w:color="auto"/>
              <w:bottom w:val="single" w:sz="8" w:space="0" w:color="000000"/>
              <w:right w:val="single" w:sz="8" w:space="0" w:color="auto"/>
            </w:tcBorders>
            <w:vAlign w:val="center"/>
            <w:hideMark/>
          </w:tcPr>
          <w:p w14:paraId="358996F1" w14:textId="77777777" w:rsidR="00B545DE" w:rsidRPr="00364A8A" w:rsidRDefault="00B545DE" w:rsidP="00B545DE">
            <w:pPr>
              <w:rPr>
                <w:b/>
                <w:bCs/>
                <w:color w:val="FFFFFF"/>
                <w:sz w:val="22"/>
                <w:szCs w:val="20"/>
                <w:lang w:val="es-GT" w:eastAsia="es-GT"/>
              </w:rPr>
            </w:pPr>
          </w:p>
        </w:tc>
        <w:tc>
          <w:tcPr>
            <w:tcW w:w="1701" w:type="dxa"/>
            <w:tcBorders>
              <w:top w:val="nil"/>
              <w:left w:val="nil"/>
              <w:bottom w:val="single" w:sz="8" w:space="0" w:color="auto"/>
              <w:right w:val="single" w:sz="8" w:space="0" w:color="auto"/>
            </w:tcBorders>
            <w:shd w:val="clear" w:color="auto" w:fill="00B0F0"/>
            <w:noWrap/>
            <w:vAlign w:val="center"/>
            <w:hideMark/>
          </w:tcPr>
          <w:p w14:paraId="7A706BCC" w14:textId="77777777" w:rsidR="00B545DE" w:rsidRPr="00364A8A" w:rsidRDefault="00B545DE" w:rsidP="00B545DE">
            <w:pPr>
              <w:jc w:val="center"/>
              <w:rPr>
                <w:b/>
                <w:bCs/>
                <w:sz w:val="22"/>
                <w:szCs w:val="20"/>
                <w:lang w:val="es-GT" w:eastAsia="es-GT"/>
              </w:rPr>
            </w:pPr>
            <w:r w:rsidRPr="00364A8A">
              <w:rPr>
                <w:b/>
                <w:bCs/>
                <w:sz w:val="22"/>
                <w:szCs w:val="20"/>
                <w:lang w:val="es-GT" w:eastAsia="es-GT"/>
              </w:rPr>
              <w:t>Presupuesto</w:t>
            </w:r>
          </w:p>
        </w:tc>
        <w:tc>
          <w:tcPr>
            <w:tcW w:w="1703" w:type="dxa"/>
            <w:tcBorders>
              <w:top w:val="nil"/>
              <w:left w:val="nil"/>
              <w:bottom w:val="single" w:sz="8" w:space="0" w:color="auto"/>
              <w:right w:val="single" w:sz="8" w:space="0" w:color="auto"/>
            </w:tcBorders>
            <w:shd w:val="clear" w:color="auto" w:fill="00B0F0"/>
            <w:vAlign w:val="center"/>
            <w:hideMark/>
          </w:tcPr>
          <w:p w14:paraId="17F64427" w14:textId="77777777" w:rsidR="00364A8A" w:rsidRDefault="00B545DE" w:rsidP="00B545DE">
            <w:pPr>
              <w:jc w:val="center"/>
              <w:rPr>
                <w:b/>
                <w:bCs/>
                <w:sz w:val="22"/>
                <w:szCs w:val="20"/>
                <w:lang w:val="es-GT" w:eastAsia="es-GT"/>
              </w:rPr>
            </w:pPr>
            <w:r w:rsidRPr="00364A8A">
              <w:rPr>
                <w:b/>
                <w:bCs/>
                <w:sz w:val="22"/>
                <w:szCs w:val="20"/>
                <w:lang w:val="es-GT" w:eastAsia="es-GT"/>
              </w:rPr>
              <w:t>Ejecución a</w:t>
            </w:r>
          </w:p>
          <w:p w14:paraId="45E45F8E" w14:textId="5DA1566C" w:rsidR="00B545DE" w:rsidRPr="00364A8A" w:rsidRDefault="00B545DE" w:rsidP="00B545DE">
            <w:pPr>
              <w:jc w:val="center"/>
              <w:rPr>
                <w:b/>
                <w:bCs/>
                <w:sz w:val="22"/>
                <w:szCs w:val="20"/>
                <w:lang w:val="es-GT" w:eastAsia="es-GT"/>
              </w:rPr>
            </w:pPr>
            <w:r w:rsidRPr="00364A8A">
              <w:rPr>
                <w:b/>
                <w:bCs/>
                <w:sz w:val="22"/>
                <w:szCs w:val="20"/>
                <w:lang w:val="es-GT" w:eastAsia="es-GT"/>
              </w:rPr>
              <w:t>junio</w:t>
            </w:r>
          </w:p>
        </w:tc>
        <w:tc>
          <w:tcPr>
            <w:tcW w:w="1557" w:type="dxa"/>
            <w:tcBorders>
              <w:top w:val="nil"/>
              <w:left w:val="nil"/>
              <w:bottom w:val="single" w:sz="8" w:space="0" w:color="auto"/>
              <w:right w:val="single" w:sz="8" w:space="0" w:color="auto"/>
            </w:tcBorders>
            <w:shd w:val="clear" w:color="auto" w:fill="00B0F0"/>
            <w:noWrap/>
            <w:vAlign w:val="center"/>
            <w:hideMark/>
          </w:tcPr>
          <w:p w14:paraId="65329A88" w14:textId="4B3C68F9" w:rsidR="00B545DE" w:rsidRPr="00364A8A" w:rsidRDefault="00B545DE" w:rsidP="00B545DE">
            <w:pPr>
              <w:jc w:val="center"/>
              <w:rPr>
                <w:b/>
                <w:bCs/>
                <w:sz w:val="22"/>
                <w:szCs w:val="20"/>
                <w:lang w:val="es-GT" w:eastAsia="es-GT"/>
              </w:rPr>
            </w:pPr>
            <w:r w:rsidRPr="00364A8A">
              <w:rPr>
                <w:b/>
                <w:bCs/>
                <w:sz w:val="22"/>
                <w:szCs w:val="20"/>
                <w:lang w:val="es-GT" w:eastAsia="es-GT"/>
              </w:rPr>
              <w:t>Estimación</w:t>
            </w:r>
            <w:r w:rsidR="0029595B">
              <w:rPr>
                <w:b/>
                <w:bCs/>
                <w:sz w:val="22"/>
                <w:szCs w:val="20"/>
                <w:lang w:val="es-GT" w:eastAsia="es-GT"/>
              </w:rPr>
              <w:t xml:space="preserve"> de Cierre</w:t>
            </w:r>
          </w:p>
        </w:tc>
      </w:tr>
      <w:tr w:rsidR="00B545DE" w:rsidRPr="00364A8A" w14:paraId="054B9281"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200085E4" w14:textId="77777777" w:rsidR="00B545DE" w:rsidRPr="00364A8A" w:rsidRDefault="00B545DE" w:rsidP="00B545DE">
            <w:pPr>
              <w:rPr>
                <w:b/>
                <w:bCs/>
                <w:color w:val="000000"/>
                <w:sz w:val="22"/>
                <w:szCs w:val="20"/>
                <w:lang w:val="es-GT" w:eastAsia="es-GT"/>
              </w:rPr>
            </w:pPr>
            <w:r w:rsidRPr="00364A8A">
              <w:rPr>
                <w:b/>
                <w:bCs/>
                <w:color w:val="000000"/>
                <w:sz w:val="22"/>
                <w:szCs w:val="20"/>
                <w:lang w:val="es-GT" w:eastAsia="es-GT"/>
              </w:rPr>
              <w:t>Gastos Totales</w:t>
            </w:r>
          </w:p>
        </w:tc>
        <w:tc>
          <w:tcPr>
            <w:tcW w:w="1701" w:type="dxa"/>
            <w:tcBorders>
              <w:top w:val="nil"/>
              <w:left w:val="single" w:sz="8" w:space="0" w:color="auto"/>
              <w:bottom w:val="nil"/>
              <w:right w:val="single" w:sz="8" w:space="0" w:color="auto"/>
            </w:tcBorders>
            <w:shd w:val="clear" w:color="auto" w:fill="auto"/>
            <w:noWrap/>
            <w:vAlign w:val="center"/>
            <w:hideMark/>
          </w:tcPr>
          <w:p w14:paraId="4F1D3EF7"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115,270.8</w:t>
            </w:r>
          </w:p>
        </w:tc>
        <w:tc>
          <w:tcPr>
            <w:tcW w:w="1703" w:type="dxa"/>
            <w:tcBorders>
              <w:top w:val="nil"/>
              <w:left w:val="nil"/>
              <w:bottom w:val="nil"/>
              <w:right w:val="single" w:sz="8" w:space="0" w:color="auto"/>
            </w:tcBorders>
            <w:shd w:val="clear" w:color="auto" w:fill="auto"/>
            <w:noWrap/>
            <w:vAlign w:val="center"/>
            <w:hideMark/>
          </w:tcPr>
          <w:p w14:paraId="300559FB"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53,450.8</w:t>
            </w:r>
          </w:p>
        </w:tc>
        <w:tc>
          <w:tcPr>
            <w:tcW w:w="1557" w:type="dxa"/>
            <w:tcBorders>
              <w:top w:val="nil"/>
              <w:left w:val="nil"/>
              <w:bottom w:val="nil"/>
              <w:right w:val="single" w:sz="8" w:space="0" w:color="auto"/>
            </w:tcBorders>
            <w:shd w:val="clear" w:color="auto" w:fill="auto"/>
            <w:noWrap/>
            <w:vAlign w:val="center"/>
            <w:hideMark/>
          </w:tcPr>
          <w:p w14:paraId="5859BA43"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112,274.0</w:t>
            </w:r>
          </w:p>
        </w:tc>
      </w:tr>
      <w:tr w:rsidR="00B545DE" w:rsidRPr="00364A8A" w14:paraId="1744F03A"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3F40237F" w14:textId="77777777" w:rsidR="00B545DE" w:rsidRPr="00364A8A" w:rsidRDefault="00B545DE" w:rsidP="00B545DE">
            <w:pPr>
              <w:ind w:firstLineChars="100" w:firstLine="221"/>
              <w:rPr>
                <w:b/>
                <w:bCs/>
                <w:color w:val="000000"/>
                <w:sz w:val="22"/>
                <w:szCs w:val="20"/>
                <w:lang w:val="es-GT" w:eastAsia="es-GT"/>
              </w:rPr>
            </w:pPr>
            <w:r w:rsidRPr="00364A8A">
              <w:rPr>
                <w:b/>
                <w:bCs/>
                <w:color w:val="000000"/>
                <w:sz w:val="22"/>
                <w:szCs w:val="20"/>
                <w:lang w:val="es-GT" w:eastAsia="es-GT"/>
              </w:rPr>
              <w:t>Gastos Corrientes</w:t>
            </w:r>
          </w:p>
        </w:tc>
        <w:tc>
          <w:tcPr>
            <w:tcW w:w="1701" w:type="dxa"/>
            <w:tcBorders>
              <w:top w:val="nil"/>
              <w:left w:val="single" w:sz="8" w:space="0" w:color="auto"/>
              <w:bottom w:val="nil"/>
              <w:right w:val="single" w:sz="8" w:space="0" w:color="auto"/>
            </w:tcBorders>
            <w:shd w:val="clear" w:color="auto" w:fill="auto"/>
            <w:noWrap/>
            <w:vAlign w:val="center"/>
            <w:hideMark/>
          </w:tcPr>
          <w:p w14:paraId="1A9EA7AA"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93,506.8</w:t>
            </w:r>
          </w:p>
        </w:tc>
        <w:tc>
          <w:tcPr>
            <w:tcW w:w="1703" w:type="dxa"/>
            <w:tcBorders>
              <w:top w:val="nil"/>
              <w:left w:val="nil"/>
              <w:bottom w:val="nil"/>
              <w:right w:val="single" w:sz="8" w:space="0" w:color="auto"/>
            </w:tcBorders>
            <w:shd w:val="clear" w:color="auto" w:fill="auto"/>
            <w:noWrap/>
            <w:vAlign w:val="center"/>
            <w:hideMark/>
          </w:tcPr>
          <w:p w14:paraId="5392E725"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44,104.8</w:t>
            </w:r>
          </w:p>
        </w:tc>
        <w:tc>
          <w:tcPr>
            <w:tcW w:w="1557" w:type="dxa"/>
            <w:tcBorders>
              <w:top w:val="nil"/>
              <w:left w:val="nil"/>
              <w:bottom w:val="nil"/>
              <w:right w:val="single" w:sz="8" w:space="0" w:color="auto"/>
            </w:tcBorders>
            <w:shd w:val="clear" w:color="auto" w:fill="auto"/>
            <w:noWrap/>
            <w:vAlign w:val="center"/>
            <w:hideMark/>
          </w:tcPr>
          <w:p w14:paraId="45BA4DBC"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91,899.9</w:t>
            </w:r>
          </w:p>
        </w:tc>
      </w:tr>
      <w:tr w:rsidR="00B545DE" w:rsidRPr="00364A8A" w14:paraId="18E5DA07"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4AC0AD1F"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Remuneraciones</w:t>
            </w:r>
          </w:p>
        </w:tc>
        <w:tc>
          <w:tcPr>
            <w:tcW w:w="1701" w:type="dxa"/>
            <w:tcBorders>
              <w:top w:val="nil"/>
              <w:left w:val="single" w:sz="8" w:space="0" w:color="auto"/>
              <w:bottom w:val="nil"/>
              <w:right w:val="single" w:sz="8" w:space="0" w:color="auto"/>
            </w:tcBorders>
            <w:shd w:val="clear" w:color="auto" w:fill="auto"/>
            <w:noWrap/>
            <w:vAlign w:val="center"/>
            <w:hideMark/>
          </w:tcPr>
          <w:p w14:paraId="5CBE661C"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32,440.9</w:t>
            </w:r>
          </w:p>
        </w:tc>
        <w:tc>
          <w:tcPr>
            <w:tcW w:w="1703" w:type="dxa"/>
            <w:tcBorders>
              <w:top w:val="nil"/>
              <w:left w:val="nil"/>
              <w:bottom w:val="nil"/>
              <w:right w:val="single" w:sz="8" w:space="0" w:color="auto"/>
            </w:tcBorders>
            <w:shd w:val="clear" w:color="auto" w:fill="auto"/>
            <w:noWrap/>
            <w:vAlign w:val="center"/>
            <w:hideMark/>
          </w:tcPr>
          <w:p w14:paraId="0F6036F0"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14,853.6</w:t>
            </w:r>
          </w:p>
        </w:tc>
        <w:tc>
          <w:tcPr>
            <w:tcW w:w="1557" w:type="dxa"/>
            <w:tcBorders>
              <w:top w:val="nil"/>
              <w:left w:val="nil"/>
              <w:bottom w:val="nil"/>
              <w:right w:val="single" w:sz="8" w:space="0" w:color="auto"/>
            </w:tcBorders>
            <w:shd w:val="clear" w:color="auto" w:fill="auto"/>
            <w:noWrap/>
            <w:vAlign w:val="center"/>
            <w:hideMark/>
          </w:tcPr>
          <w:p w14:paraId="792844D7"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32,704.2</w:t>
            </w:r>
          </w:p>
        </w:tc>
      </w:tr>
      <w:tr w:rsidR="00B545DE" w:rsidRPr="00364A8A" w14:paraId="759CD056"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44EA0400"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Bienes y Servicios</w:t>
            </w:r>
          </w:p>
        </w:tc>
        <w:tc>
          <w:tcPr>
            <w:tcW w:w="1701" w:type="dxa"/>
            <w:tcBorders>
              <w:top w:val="nil"/>
              <w:left w:val="single" w:sz="8" w:space="0" w:color="auto"/>
              <w:bottom w:val="nil"/>
              <w:right w:val="single" w:sz="8" w:space="0" w:color="auto"/>
            </w:tcBorders>
            <w:shd w:val="clear" w:color="auto" w:fill="auto"/>
            <w:noWrap/>
            <w:vAlign w:val="center"/>
            <w:hideMark/>
          </w:tcPr>
          <w:p w14:paraId="60A85C73"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17,817.3</w:t>
            </w:r>
          </w:p>
        </w:tc>
        <w:tc>
          <w:tcPr>
            <w:tcW w:w="1703" w:type="dxa"/>
            <w:tcBorders>
              <w:top w:val="nil"/>
              <w:left w:val="nil"/>
              <w:bottom w:val="nil"/>
              <w:right w:val="single" w:sz="8" w:space="0" w:color="auto"/>
            </w:tcBorders>
            <w:shd w:val="clear" w:color="auto" w:fill="auto"/>
            <w:noWrap/>
            <w:vAlign w:val="center"/>
            <w:hideMark/>
          </w:tcPr>
          <w:p w14:paraId="35EF898F"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8,549.3</w:t>
            </w:r>
          </w:p>
        </w:tc>
        <w:tc>
          <w:tcPr>
            <w:tcW w:w="1557" w:type="dxa"/>
            <w:tcBorders>
              <w:top w:val="nil"/>
              <w:left w:val="nil"/>
              <w:bottom w:val="nil"/>
              <w:right w:val="single" w:sz="8" w:space="0" w:color="auto"/>
            </w:tcBorders>
            <w:shd w:val="clear" w:color="auto" w:fill="auto"/>
            <w:noWrap/>
            <w:vAlign w:val="center"/>
            <w:hideMark/>
          </w:tcPr>
          <w:p w14:paraId="417D0E5D"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16,910.5</w:t>
            </w:r>
          </w:p>
        </w:tc>
      </w:tr>
      <w:tr w:rsidR="00B545DE" w:rsidRPr="00364A8A" w14:paraId="67ABCB9F"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1BF1692F" w14:textId="7C9C7C14"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 xml:space="preserve">Impuestos </w:t>
            </w:r>
            <w:r w:rsidR="00633DC9">
              <w:rPr>
                <w:color w:val="000000"/>
                <w:sz w:val="22"/>
                <w:szCs w:val="20"/>
                <w:lang w:val="es-GT" w:eastAsia="es-GT"/>
              </w:rPr>
              <w:t>P</w:t>
            </w:r>
            <w:r w:rsidRPr="00364A8A">
              <w:rPr>
                <w:color w:val="000000"/>
                <w:sz w:val="22"/>
                <w:szCs w:val="20"/>
                <w:lang w:val="es-GT" w:eastAsia="es-GT"/>
              </w:rPr>
              <w:t xml:space="preserve">agados </w:t>
            </w:r>
          </w:p>
        </w:tc>
        <w:tc>
          <w:tcPr>
            <w:tcW w:w="1701" w:type="dxa"/>
            <w:tcBorders>
              <w:top w:val="nil"/>
              <w:left w:val="single" w:sz="8" w:space="0" w:color="auto"/>
              <w:bottom w:val="nil"/>
              <w:right w:val="single" w:sz="8" w:space="0" w:color="auto"/>
            </w:tcBorders>
            <w:shd w:val="clear" w:color="auto" w:fill="auto"/>
            <w:noWrap/>
            <w:vAlign w:val="center"/>
            <w:hideMark/>
          </w:tcPr>
          <w:p w14:paraId="175CDFF5"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20.6</w:t>
            </w:r>
          </w:p>
        </w:tc>
        <w:tc>
          <w:tcPr>
            <w:tcW w:w="1703" w:type="dxa"/>
            <w:tcBorders>
              <w:top w:val="nil"/>
              <w:left w:val="nil"/>
              <w:bottom w:val="nil"/>
              <w:right w:val="single" w:sz="8" w:space="0" w:color="auto"/>
            </w:tcBorders>
            <w:shd w:val="clear" w:color="auto" w:fill="auto"/>
            <w:noWrap/>
            <w:vAlign w:val="center"/>
            <w:hideMark/>
          </w:tcPr>
          <w:p w14:paraId="6108701A"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3.2</w:t>
            </w:r>
          </w:p>
        </w:tc>
        <w:tc>
          <w:tcPr>
            <w:tcW w:w="1557" w:type="dxa"/>
            <w:tcBorders>
              <w:top w:val="nil"/>
              <w:left w:val="nil"/>
              <w:bottom w:val="nil"/>
              <w:right w:val="single" w:sz="8" w:space="0" w:color="auto"/>
            </w:tcBorders>
            <w:shd w:val="clear" w:color="auto" w:fill="auto"/>
            <w:noWrap/>
            <w:vAlign w:val="center"/>
            <w:hideMark/>
          </w:tcPr>
          <w:p w14:paraId="1BC174D5"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8.0</w:t>
            </w:r>
          </w:p>
        </w:tc>
      </w:tr>
      <w:tr w:rsidR="00B545DE" w:rsidRPr="00364A8A" w14:paraId="1D0EC1CF"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44AF6E19"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Descuentos y Bonificaciones</w:t>
            </w:r>
          </w:p>
        </w:tc>
        <w:tc>
          <w:tcPr>
            <w:tcW w:w="1701" w:type="dxa"/>
            <w:tcBorders>
              <w:top w:val="nil"/>
              <w:left w:val="single" w:sz="8" w:space="0" w:color="auto"/>
              <w:bottom w:val="nil"/>
              <w:right w:val="single" w:sz="8" w:space="0" w:color="auto"/>
            </w:tcBorders>
            <w:shd w:val="clear" w:color="auto" w:fill="auto"/>
            <w:noWrap/>
            <w:vAlign w:val="center"/>
            <w:hideMark/>
          </w:tcPr>
          <w:p w14:paraId="191F9F09"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370.0</w:t>
            </w:r>
          </w:p>
        </w:tc>
        <w:tc>
          <w:tcPr>
            <w:tcW w:w="1703" w:type="dxa"/>
            <w:tcBorders>
              <w:top w:val="nil"/>
              <w:left w:val="nil"/>
              <w:bottom w:val="nil"/>
              <w:right w:val="single" w:sz="8" w:space="0" w:color="auto"/>
            </w:tcBorders>
            <w:shd w:val="clear" w:color="auto" w:fill="auto"/>
            <w:noWrap/>
            <w:vAlign w:val="center"/>
            <w:hideMark/>
          </w:tcPr>
          <w:p w14:paraId="6D24C999"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155.0</w:t>
            </w:r>
          </w:p>
        </w:tc>
        <w:tc>
          <w:tcPr>
            <w:tcW w:w="1557" w:type="dxa"/>
            <w:tcBorders>
              <w:top w:val="nil"/>
              <w:left w:val="nil"/>
              <w:bottom w:val="nil"/>
              <w:right w:val="single" w:sz="8" w:space="0" w:color="auto"/>
            </w:tcBorders>
            <w:shd w:val="clear" w:color="auto" w:fill="auto"/>
            <w:noWrap/>
            <w:vAlign w:val="center"/>
            <w:hideMark/>
          </w:tcPr>
          <w:p w14:paraId="3756EEAA"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350.0</w:t>
            </w:r>
          </w:p>
        </w:tc>
      </w:tr>
      <w:tr w:rsidR="00B545DE" w:rsidRPr="00364A8A" w14:paraId="158BC575"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5A2DD1B4"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Prestaciones a la Seguridad Social</w:t>
            </w:r>
          </w:p>
        </w:tc>
        <w:tc>
          <w:tcPr>
            <w:tcW w:w="1701" w:type="dxa"/>
            <w:tcBorders>
              <w:top w:val="nil"/>
              <w:left w:val="single" w:sz="8" w:space="0" w:color="auto"/>
              <w:bottom w:val="nil"/>
              <w:right w:val="single" w:sz="8" w:space="0" w:color="auto"/>
            </w:tcBorders>
            <w:shd w:val="clear" w:color="auto" w:fill="auto"/>
            <w:noWrap/>
            <w:vAlign w:val="center"/>
            <w:hideMark/>
          </w:tcPr>
          <w:p w14:paraId="2AD2C660"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6,594.8</w:t>
            </w:r>
          </w:p>
        </w:tc>
        <w:tc>
          <w:tcPr>
            <w:tcW w:w="1703" w:type="dxa"/>
            <w:tcBorders>
              <w:top w:val="nil"/>
              <w:left w:val="nil"/>
              <w:bottom w:val="nil"/>
              <w:right w:val="single" w:sz="8" w:space="0" w:color="auto"/>
            </w:tcBorders>
            <w:shd w:val="clear" w:color="auto" w:fill="auto"/>
            <w:noWrap/>
            <w:vAlign w:val="center"/>
            <w:hideMark/>
          </w:tcPr>
          <w:p w14:paraId="73111E7F"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3,075.1</w:t>
            </w:r>
          </w:p>
        </w:tc>
        <w:tc>
          <w:tcPr>
            <w:tcW w:w="1557" w:type="dxa"/>
            <w:tcBorders>
              <w:top w:val="nil"/>
              <w:left w:val="nil"/>
              <w:bottom w:val="nil"/>
              <w:right w:val="single" w:sz="8" w:space="0" w:color="auto"/>
            </w:tcBorders>
            <w:shd w:val="clear" w:color="auto" w:fill="auto"/>
            <w:noWrap/>
            <w:vAlign w:val="center"/>
            <w:hideMark/>
          </w:tcPr>
          <w:p w14:paraId="72CBF53B"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6,575.1</w:t>
            </w:r>
          </w:p>
        </w:tc>
      </w:tr>
      <w:tr w:rsidR="00B545DE" w:rsidRPr="00364A8A" w14:paraId="4513273A"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2E22D812"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Intereses</w:t>
            </w:r>
          </w:p>
        </w:tc>
        <w:tc>
          <w:tcPr>
            <w:tcW w:w="1701" w:type="dxa"/>
            <w:tcBorders>
              <w:top w:val="nil"/>
              <w:left w:val="single" w:sz="8" w:space="0" w:color="auto"/>
              <w:bottom w:val="nil"/>
              <w:right w:val="single" w:sz="8" w:space="0" w:color="auto"/>
            </w:tcBorders>
            <w:shd w:val="clear" w:color="auto" w:fill="auto"/>
            <w:noWrap/>
            <w:vAlign w:val="center"/>
            <w:hideMark/>
          </w:tcPr>
          <w:p w14:paraId="09C7F7B8"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13,252.8</w:t>
            </w:r>
          </w:p>
        </w:tc>
        <w:tc>
          <w:tcPr>
            <w:tcW w:w="1703" w:type="dxa"/>
            <w:tcBorders>
              <w:top w:val="nil"/>
              <w:left w:val="nil"/>
              <w:bottom w:val="nil"/>
              <w:right w:val="single" w:sz="8" w:space="0" w:color="auto"/>
            </w:tcBorders>
            <w:shd w:val="clear" w:color="auto" w:fill="auto"/>
            <w:noWrap/>
            <w:vAlign w:val="center"/>
            <w:hideMark/>
          </w:tcPr>
          <w:p w14:paraId="577704C4"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6,421.7</w:t>
            </w:r>
          </w:p>
        </w:tc>
        <w:tc>
          <w:tcPr>
            <w:tcW w:w="1557" w:type="dxa"/>
            <w:tcBorders>
              <w:top w:val="nil"/>
              <w:left w:val="nil"/>
              <w:bottom w:val="nil"/>
              <w:right w:val="single" w:sz="8" w:space="0" w:color="auto"/>
            </w:tcBorders>
            <w:shd w:val="clear" w:color="auto" w:fill="auto"/>
            <w:noWrap/>
            <w:vAlign w:val="center"/>
            <w:hideMark/>
          </w:tcPr>
          <w:p w14:paraId="0BFEB284"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12,963.8</w:t>
            </w:r>
          </w:p>
        </w:tc>
      </w:tr>
      <w:tr w:rsidR="00B545DE" w:rsidRPr="00364A8A" w14:paraId="07ECA9AC"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0AD4BB88" w14:textId="33513F69" w:rsidR="00B545DE" w:rsidRPr="00364A8A" w:rsidRDefault="00B545DE" w:rsidP="00B545DE">
            <w:pPr>
              <w:ind w:firstLineChars="300" w:firstLine="660"/>
              <w:rPr>
                <w:color w:val="000000"/>
                <w:sz w:val="22"/>
                <w:szCs w:val="20"/>
                <w:lang w:val="es-GT" w:eastAsia="es-GT"/>
              </w:rPr>
            </w:pPr>
            <w:r w:rsidRPr="00364A8A">
              <w:rPr>
                <w:color w:val="000000"/>
                <w:sz w:val="22"/>
                <w:szCs w:val="20"/>
                <w:lang w:val="es-GT" w:eastAsia="es-GT"/>
              </w:rPr>
              <w:t xml:space="preserve">Deuda </w:t>
            </w:r>
            <w:r w:rsidR="00633DC9">
              <w:rPr>
                <w:color w:val="000000"/>
                <w:sz w:val="22"/>
                <w:szCs w:val="20"/>
                <w:lang w:val="es-GT" w:eastAsia="es-GT"/>
              </w:rPr>
              <w:t>I</w:t>
            </w:r>
            <w:r w:rsidRPr="00364A8A">
              <w:rPr>
                <w:color w:val="000000"/>
                <w:sz w:val="22"/>
                <w:szCs w:val="20"/>
                <w:lang w:val="es-GT" w:eastAsia="es-GT"/>
              </w:rPr>
              <w:t xml:space="preserve">nterna </w:t>
            </w:r>
          </w:p>
        </w:tc>
        <w:tc>
          <w:tcPr>
            <w:tcW w:w="1701" w:type="dxa"/>
            <w:tcBorders>
              <w:top w:val="nil"/>
              <w:left w:val="single" w:sz="8" w:space="0" w:color="auto"/>
              <w:bottom w:val="nil"/>
              <w:right w:val="single" w:sz="8" w:space="0" w:color="auto"/>
            </w:tcBorders>
            <w:shd w:val="clear" w:color="auto" w:fill="auto"/>
            <w:noWrap/>
            <w:vAlign w:val="center"/>
            <w:hideMark/>
          </w:tcPr>
          <w:p w14:paraId="1E2B139F"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8,558.0</w:t>
            </w:r>
          </w:p>
        </w:tc>
        <w:tc>
          <w:tcPr>
            <w:tcW w:w="1703" w:type="dxa"/>
            <w:tcBorders>
              <w:top w:val="nil"/>
              <w:left w:val="nil"/>
              <w:bottom w:val="nil"/>
              <w:right w:val="single" w:sz="8" w:space="0" w:color="auto"/>
            </w:tcBorders>
            <w:shd w:val="clear" w:color="auto" w:fill="auto"/>
            <w:noWrap/>
            <w:vAlign w:val="center"/>
            <w:hideMark/>
          </w:tcPr>
          <w:p w14:paraId="759C6B9D"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4,247.0</w:t>
            </w:r>
          </w:p>
        </w:tc>
        <w:tc>
          <w:tcPr>
            <w:tcW w:w="1557" w:type="dxa"/>
            <w:tcBorders>
              <w:top w:val="nil"/>
              <w:left w:val="nil"/>
              <w:bottom w:val="nil"/>
              <w:right w:val="single" w:sz="8" w:space="0" w:color="auto"/>
            </w:tcBorders>
            <w:shd w:val="clear" w:color="auto" w:fill="auto"/>
            <w:noWrap/>
            <w:vAlign w:val="center"/>
            <w:hideMark/>
          </w:tcPr>
          <w:p w14:paraId="0CD9505D"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8,461.4</w:t>
            </w:r>
          </w:p>
        </w:tc>
      </w:tr>
      <w:tr w:rsidR="00B545DE" w:rsidRPr="00364A8A" w14:paraId="2E8BAA02"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1D35F391" w14:textId="76B5F31C" w:rsidR="00B545DE" w:rsidRPr="00364A8A" w:rsidRDefault="00B545DE" w:rsidP="00B545DE">
            <w:pPr>
              <w:ind w:firstLineChars="300" w:firstLine="660"/>
              <w:rPr>
                <w:color w:val="000000"/>
                <w:sz w:val="22"/>
                <w:szCs w:val="20"/>
                <w:lang w:val="es-GT" w:eastAsia="es-GT"/>
              </w:rPr>
            </w:pPr>
            <w:r w:rsidRPr="00364A8A">
              <w:rPr>
                <w:color w:val="000000"/>
                <w:sz w:val="22"/>
                <w:szCs w:val="20"/>
                <w:lang w:val="es-GT" w:eastAsia="es-GT"/>
              </w:rPr>
              <w:t xml:space="preserve">Deuda </w:t>
            </w:r>
            <w:r w:rsidR="00633DC9">
              <w:rPr>
                <w:color w:val="000000"/>
                <w:sz w:val="22"/>
                <w:szCs w:val="20"/>
                <w:lang w:val="es-GT" w:eastAsia="es-GT"/>
              </w:rPr>
              <w:t>E</w:t>
            </w:r>
            <w:r w:rsidRPr="00364A8A">
              <w:rPr>
                <w:color w:val="000000"/>
                <w:sz w:val="22"/>
                <w:szCs w:val="20"/>
                <w:lang w:val="es-GT" w:eastAsia="es-GT"/>
              </w:rPr>
              <w:t>xterna</w:t>
            </w:r>
          </w:p>
        </w:tc>
        <w:tc>
          <w:tcPr>
            <w:tcW w:w="1701" w:type="dxa"/>
            <w:tcBorders>
              <w:top w:val="nil"/>
              <w:left w:val="single" w:sz="8" w:space="0" w:color="auto"/>
              <w:bottom w:val="nil"/>
              <w:right w:val="single" w:sz="8" w:space="0" w:color="auto"/>
            </w:tcBorders>
            <w:shd w:val="clear" w:color="auto" w:fill="auto"/>
            <w:noWrap/>
            <w:vAlign w:val="center"/>
            <w:hideMark/>
          </w:tcPr>
          <w:p w14:paraId="39CDD17A"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4,694.8</w:t>
            </w:r>
          </w:p>
        </w:tc>
        <w:tc>
          <w:tcPr>
            <w:tcW w:w="1703" w:type="dxa"/>
            <w:tcBorders>
              <w:top w:val="nil"/>
              <w:left w:val="nil"/>
              <w:bottom w:val="nil"/>
              <w:right w:val="single" w:sz="8" w:space="0" w:color="auto"/>
            </w:tcBorders>
            <w:shd w:val="clear" w:color="auto" w:fill="auto"/>
            <w:noWrap/>
            <w:vAlign w:val="center"/>
            <w:hideMark/>
          </w:tcPr>
          <w:p w14:paraId="27E9F9F5"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2,174.6</w:t>
            </w:r>
          </w:p>
        </w:tc>
        <w:tc>
          <w:tcPr>
            <w:tcW w:w="1557" w:type="dxa"/>
            <w:tcBorders>
              <w:top w:val="nil"/>
              <w:left w:val="nil"/>
              <w:bottom w:val="nil"/>
              <w:right w:val="single" w:sz="8" w:space="0" w:color="auto"/>
            </w:tcBorders>
            <w:shd w:val="clear" w:color="auto" w:fill="auto"/>
            <w:noWrap/>
            <w:vAlign w:val="center"/>
            <w:hideMark/>
          </w:tcPr>
          <w:p w14:paraId="5626EE2A"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4,502.4</w:t>
            </w:r>
          </w:p>
        </w:tc>
      </w:tr>
      <w:tr w:rsidR="00B545DE" w:rsidRPr="00364A8A" w14:paraId="05FCE989"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3F05E605" w14:textId="77777777" w:rsidR="00B545DE" w:rsidRPr="00364A8A" w:rsidRDefault="00B545DE" w:rsidP="00B545DE">
            <w:pPr>
              <w:ind w:firstLineChars="400" w:firstLine="880"/>
              <w:rPr>
                <w:color w:val="000000"/>
                <w:sz w:val="22"/>
                <w:szCs w:val="20"/>
                <w:lang w:val="es-GT" w:eastAsia="es-GT"/>
              </w:rPr>
            </w:pPr>
            <w:r w:rsidRPr="00364A8A">
              <w:rPr>
                <w:color w:val="000000"/>
                <w:sz w:val="22"/>
                <w:szCs w:val="20"/>
                <w:lang w:val="es-GT" w:eastAsia="es-GT"/>
              </w:rPr>
              <w:t>Préstamos</w:t>
            </w:r>
          </w:p>
        </w:tc>
        <w:tc>
          <w:tcPr>
            <w:tcW w:w="1701" w:type="dxa"/>
            <w:tcBorders>
              <w:top w:val="nil"/>
              <w:left w:val="single" w:sz="8" w:space="0" w:color="auto"/>
              <w:bottom w:val="nil"/>
              <w:right w:val="single" w:sz="8" w:space="0" w:color="auto"/>
            </w:tcBorders>
            <w:shd w:val="clear" w:color="auto" w:fill="auto"/>
            <w:noWrap/>
            <w:vAlign w:val="center"/>
            <w:hideMark/>
          </w:tcPr>
          <w:p w14:paraId="605618BE"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1,844.1</w:t>
            </w:r>
          </w:p>
        </w:tc>
        <w:tc>
          <w:tcPr>
            <w:tcW w:w="1703" w:type="dxa"/>
            <w:tcBorders>
              <w:top w:val="nil"/>
              <w:left w:val="nil"/>
              <w:bottom w:val="nil"/>
              <w:right w:val="single" w:sz="8" w:space="0" w:color="auto"/>
            </w:tcBorders>
            <w:shd w:val="clear" w:color="auto" w:fill="auto"/>
            <w:noWrap/>
            <w:vAlign w:val="center"/>
            <w:hideMark/>
          </w:tcPr>
          <w:p w14:paraId="62002370"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905.0</w:t>
            </w:r>
          </w:p>
        </w:tc>
        <w:tc>
          <w:tcPr>
            <w:tcW w:w="1557" w:type="dxa"/>
            <w:tcBorders>
              <w:top w:val="nil"/>
              <w:left w:val="nil"/>
              <w:bottom w:val="nil"/>
              <w:right w:val="single" w:sz="8" w:space="0" w:color="auto"/>
            </w:tcBorders>
            <w:shd w:val="clear" w:color="auto" w:fill="auto"/>
            <w:noWrap/>
            <w:vAlign w:val="center"/>
            <w:hideMark/>
          </w:tcPr>
          <w:p w14:paraId="3A5C678A"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1,765.7</w:t>
            </w:r>
          </w:p>
        </w:tc>
      </w:tr>
      <w:tr w:rsidR="00B545DE" w:rsidRPr="00364A8A" w14:paraId="66E0D350"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5297DC6C" w14:textId="77777777" w:rsidR="00B545DE" w:rsidRPr="00364A8A" w:rsidRDefault="00B545DE" w:rsidP="00B545DE">
            <w:pPr>
              <w:ind w:firstLineChars="400" w:firstLine="880"/>
              <w:rPr>
                <w:color w:val="000000"/>
                <w:sz w:val="22"/>
                <w:szCs w:val="20"/>
                <w:lang w:val="es-GT" w:eastAsia="es-GT"/>
              </w:rPr>
            </w:pPr>
            <w:r w:rsidRPr="00364A8A">
              <w:rPr>
                <w:color w:val="000000"/>
                <w:sz w:val="22"/>
                <w:szCs w:val="20"/>
                <w:lang w:val="es-GT" w:eastAsia="es-GT"/>
              </w:rPr>
              <w:t>Bonos</w:t>
            </w:r>
          </w:p>
        </w:tc>
        <w:tc>
          <w:tcPr>
            <w:tcW w:w="1701" w:type="dxa"/>
            <w:tcBorders>
              <w:top w:val="nil"/>
              <w:left w:val="single" w:sz="8" w:space="0" w:color="auto"/>
              <w:bottom w:val="nil"/>
              <w:right w:val="single" w:sz="8" w:space="0" w:color="auto"/>
            </w:tcBorders>
            <w:shd w:val="clear" w:color="auto" w:fill="auto"/>
            <w:noWrap/>
            <w:vAlign w:val="center"/>
            <w:hideMark/>
          </w:tcPr>
          <w:p w14:paraId="26F00928"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2,850.7</w:t>
            </w:r>
          </w:p>
        </w:tc>
        <w:tc>
          <w:tcPr>
            <w:tcW w:w="1703" w:type="dxa"/>
            <w:tcBorders>
              <w:top w:val="nil"/>
              <w:left w:val="nil"/>
              <w:bottom w:val="nil"/>
              <w:right w:val="single" w:sz="8" w:space="0" w:color="auto"/>
            </w:tcBorders>
            <w:shd w:val="clear" w:color="auto" w:fill="auto"/>
            <w:noWrap/>
            <w:vAlign w:val="center"/>
            <w:hideMark/>
          </w:tcPr>
          <w:p w14:paraId="619C08EA"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1,269.6</w:t>
            </w:r>
          </w:p>
        </w:tc>
        <w:tc>
          <w:tcPr>
            <w:tcW w:w="1557" w:type="dxa"/>
            <w:tcBorders>
              <w:top w:val="nil"/>
              <w:left w:val="nil"/>
              <w:bottom w:val="nil"/>
              <w:right w:val="single" w:sz="8" w:space="0" w:color="auto"/>
            </w:tcBorders>
            <w:shd w:val="clear" w:color="auto" w:fill="auto"/>
            <w:noWrap/>
            <w:vAlign w:val="center"/>
            <w:hideMark/>
          </w:tcPr>
          <w:p w14:paraId="3A0EDA7D"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2,736.6</w:t>
            </w:r>
          </w:p>
        </w:tc>
      </w:tr>
      <w:tr w:rsidR="00B545DE" w:rsidRPr="00364A8A" w14:paraId="63977F31"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5A177F19" w14:textId="3D3C64C5"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Arrendamiento de Tierra</w:t>
            </w:r>
            <w:r w:rsidR="00633DC9">
              <w:rPr>
                <w:color w:val="000000"/>
                <w:sz w:val="22"/>
                <w:szCs w:val="20"/>
                <w:lang w:val="es-GT" w:eastAsia="es-GT"/>
              </w:rPr>
              <w:t>s</w:t>
            </w:r>
            <w:r w:rsidRPr="00364A8A">
              <w:rPr>
                <w:color w:val="000000"/>
                <w:sz w:val="22"/>
                <w:szCs w:val="20"/>
                <w:lang w:val="es-GT" w:eastAsia="es-GT"/>
              </w:rPr>
              <w:t xml:space="preserve"> y Terrenos</w:t>
            </w:r>
          </w:p>
        </w:tc>
        <w:tc>
          <w:tcPr>
            <w:tcW w:w="1701" w:type="dxa"/>
            <w:tcBorders>
              <w:top w:val="nil"/>
              <w:left w:val="single" w:sz="8" w:space="0" w:color="auto"/>
              <w:bottom w:val="nil"/>
              <w:right w:val="single" w:sz="8" w:space="0" w:color="auto"/>
            </w:tcBorders>
            <w:shd w:val="clear" w:color="auto" w:fill="auto"/>
            <w:noWrap/>
            <w:vAlign w:val="center"/>
            <w:hideMark/>
          </w:tcPr>
          <w:p w14:paraId="5273D685"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0.3</w:t>
            </w:r>
          </w:p>
        </w:tc>
        <w:tc>
          <w:tcPr>
            <w:tcW w:w="1703" w:type="dxa"/>
            <w:tcBorders>
              <w:top w:val="nil"/>
              <w:left w:val="nil"/>
              <w:bottom w:val="nil"/>
              <w:right w:val="single" w:sz="8" w:space="0" w:color="auto"/>
            </w:tcBorders>
            <w:shd w:val="clear" w:color="auto" w:fill="auto"/>
            <w:noWrap/>
            <w:vAlign w:val="center"/>
            <w:hideMark/>
          </w:tcPr>
          <w:p w14:paraId="40F9907F"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0.1</w:t>
            </w:r>
          </w:p>
        </w:tc>
        <w:tc>
          <w:tcPr>
            <w:tcW w:w="1557" w:type="dxa"/>
            <w:tcBorders>
              <w:top w:val="nil"/>
              <w:left w:val="nil"/>
              <w:bottom w:val="nil"/>
              <w:right w:val="single" w:sz="8" w:space="0" w:color="auto"/>
            </w:tcBorders>
            <w:shd w:val="clear" w:color="auto" w:fill="auto"/>
            <w:noWrap/>
            <w:vAlign w:val="center"/>
            <w:hideMark/>
          </w:tcPr>
          <w:p w14:paraId="41292C5B"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0.3</w:t>
            </w:r>
          </w:p>
        </w:tc>
      </w:tr>
      <w:tr w:rsidR="00B545DE" w:rsidRPr="00364A8A" w14:paraId="2141BE14"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45F7565D"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Derechos Sobre Bienes Intangibles</w:t>
            </w:r>
          </w:p>
        </w:tc>
        <w:tc>
          <w:tcPr>
            <w:tcW w:w="1701" w:type="dxa"/>
            <w:tcBorders>
              <w:top w:val="nil"/>
              <w:left w:val="single" w:sz="8" w:space="0" w:color="auto"/>
              <w:bottom w:val="nil"/>
              <w:right w:val="single" w:sz="8" w:space="0" w:color="auto"/>
            </w:tcBorders>
            <w:shd w:val="clear" w:color="auto" w:fill="auto"/>
            <w:noWrap/>
            <w:vAlign w:val="center"/>
            <w:hideMark/>
          </w:tcPr>
          <w:p w14:paraId="3CB90647"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127.7</w:t>
            </w:r>
          </w:p>
        </w:tc>
        <w:tc>
          <w:tcPr>
            <w:tcW w:w="1703" w:type="dxa"/>
            <w:tcBorders>
              <w:top w:val="nil"/>
              <w:left w:val="nil"/>
              <w:bottom w:val="nil"/>
              <w:right w:val="single" w:sz="8" w:space="0" w:color="auto"/>
            </w:tcBorders>
            <w:shd w:val="clear" w:color="auto" w:fill="auto"/>
            <w:noWrap/>
            <w:vAlign w:val="center"/>
            <w:hideMark/>
          </w:tcPr>
          <w:p w14:paraId="21329920"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20.0</w:t>
            </w:r>
          </w:p>
        </w:tc>
        <w:tc>
          <w:tcPr>
            <w:tcW w:w="1557" w:type="dxa"/>
            <w:tcBorders>
              <w:top w:val="nil"/>
              <w:left w:val="nil"/>
              <w:bottom w:val="nil"/>
              <w:right w:val="single" w:sz="8" w:space="0" w:color="auto"/>
            </w:tcBorders>
            <w:shd w:val="clear" w:color="auto" w:fill="auto"/>
            <w:noWrap/>
            <w:vAlign w:val="center"/>
            <w:hideMark/>
          </w:tcPr>
          <w:p w14:paraId="2D293778"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75.0</w:t>
            </w:r>
          </w:p>
        </w:tc>
      </w:tr>
      <w:tr w:rsidR="00B545DE" w:rsidRPr="00364A8A" w14:paraId="0CEF67B1"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7225C3AE"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Transferencias</w:t>
            </w:r>
          </w:p>
        </w:tc>
        <w:tc>
          <w:tcPr>
            <w:tcW w:w="1701" w:type="dxa"/>
            <w:tcBorders>
              <w:top w:val="nil"/>
              <w:left w:val="single" w:sz="8" w:space="0" w:color="auto"/>
              <w:bottom w:val="nil"/>
              <w:right w:val="single" w:sz="8" w:space="0" w:color="auto"/>
            </w:tcBorders>
            <w:shd w:val="clear" w:color="auto" w:fill="auto"/>
            <w:noWrap/>
            <w:vAlign w:val="center"/>
            <w:hideMark/>
          </w:tcPr>
          <w:p w14:paraId="2DD0CFD1"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22,882.3</w:t>
            </w:r>
          </w:p>
        </w:tc>
        <w:tc>
          <w:tcPr>
            <w:tcW w:w="1703" w:type="dxa"/>
            <w:tcBorders>
              <w:top w:val="nil"/>
              <w:left w:val="nil"/>
              <w:bottom w:val="nil"/>
              <w:right w:val="single" w:sz="8" w:space="0" w:color="auto"/>
            </w:tcBorders>
            <w:shd w:val="clear" w:color="auto" w:fill="auto"/>
            <w:noWrap/>
            <w:vAlign w:val="center"/>
            <w:hideMark/>
          </w:tcPr>
          <w:p w14:paraId="3EC14417"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11,026.8</w:t>
            </w:r>
          </w:p>
        </w:tc>
        <w:tc>
          <w:tcPr>
            <w:tcW w:w="1557" w:type="dxa"/>
            <w:tcBorders>
              <w:top w:val="nil"/>
              <w:left w:val="nil"/>
              <w:bottom w:val="nil"/>
              <w:right w:val="single" w:sz="8" w:space="0" w:color="auto"/>
            </w:tcBorders>
            <w:shd w:val="clear" w:color="auto" w:fill="auto"/>
            <w:noWrap/>
            <w:vAlign w:val="center"/>
            <w:hideMark/>
          </w:tcPr>
          <w:p w14:paraId="175E04EB"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22,313.0</w:t>
            </w:r>
          </w:p>
        </w:tc>
      </w:tr>
      <w:tr w:rsidR="00B545DE" w:rsidRPr="00364A8A" w14:paraId="103EF6F0"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5769AD3E" w14:textId="77777777" w:rsidR="00B545DE" w:rsidRPr="00364A8A" w:rsidRDefault="00B545DE" w:rsidP="00B545DE">
            <w:pPr>
              <w:ind w:firstLineChars="100" w:firstLine="221"/>
              <w:rPr>
                <w:b/>
                <w:bCs/>
                <w:color w:val="000000"/>
                <w:sz w:val="22"/>
                <w:szCs w:val="20"/>
                <w:lang w:val="es-GT" w:eastAsia="es-GT"/>
              </w:rPr>
            </w:pPr>
            <w:r w:rsidRPr="00364A8A">
              <w:rPr>
                <w:b/>
                <w:bCs/>
                <w:color w:val="000000"/>
                <w:sz w:val="22"/>
                <w:szCs w:val="20"/>
                <w:lang w:val="es-GT" w:eastAsia="es-GT"/>
              </w:rPr>
              <w:t>Gastos de Capital</w:t>
            </w:r>
          </w:p>
        </w:tc>
        <w:tc>
          <w:tcPr>
            <w:tcW w:w="1701" w:type="dxa"/>
            <w:tcBorders>
              <w:top w:val="nil"/>
              <w:left w:val="single" w:sz="8" w:space="0" w:color="auto"/>
              <w:bottom w:val="nil"/>
              <w:right w:val="single" w:sz="8" w:space="0" w:color="auto"/>
            </w:tcBorders>
            <w:shd w:val="clear" w:color="auto" w:fill="auto"/>
            <w:noWrap/>
            <w:vAlign w:val="center"/>
            <w:hideMark/>
          </w:tcPr>
          <w:p w14:paraId="0C28095B"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21,764.0</w:t>
            </w:r>
          </w:p>
        </w:tc>
        <w:tc>
          <w:tcPr>
            <w:tcW w:w="1703" w:type="dxa"/>
            <w:tcBorders>
              <w:top w:val="nil"/>
              <w:left w:val="nil"/>
              <w:bottom w:val="nil"/>
              <w:right w:val="single" w:sz="8" w:space="0" w:color="auto"/>
            </w:tcBorders>
            <w:shd w:val="clear" w:color="auto" w:fill="auto"/>
            <w:noWrap/>
            <w:vAlign w:val="center"/>
            <w:hideMark/>
          </w:tcPr>
          <w:p w14:paraId="76FB95C3"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9,346.0</w:t>
            </w:r>
          </w:p>
        </w:tc>
        <w:tc>
          <w:tcPr>
            <w:tcW w:w="1557" w:type="dxa"/>
            <w:tcBorders>
              <w:top w:val="nil"/>
              <w:left w:val="nil"/>
              <w:bottom w:val="nil"/>
              <w:right w:val="single" w:sz="8" w:space="0" w:color="auto"/>
            </w:tcBorders>
            <w:shd w:val="clear" w:color="auto" w:fill="auto"/>
            <w:noWrap/>
            <w:vAlign w:val="center"/>
            <w:hideMark/>
          </w:tcPr>
          <w:p w14:paraId="2CAD5267" w14:textId="77777777" w:rsidR="00B545DE" w:rsidRPr="00364A8A" w:rsidRDefault="00B545DE" w:rsidP="00364A8A">
            <w:pPr>
              <w:jc w:val="right"/>
              <w:rPr>
                <w:b/>
                <w:bCs/>
                <w:color w:val="000000"/>
                <w:sz w:val="22"/>
                <w:szCs w:val="20"/>
                <w:lang w:val="es-GT" w:eastAsia="es-GT"/>
              </w:rPr>
            </w:pPr>
            <w:r w:rsidRPr="00364A8A">
              <w:rPr>
                <w:b/>
                <w:bCs/>
                <w:color w:val="000000"/>
                <w:sz w:val="22"/>
                <w:szCs w:val="20"/>
                <w:lang w:val="es-GT" w:eastAsia="es-GT"/>
              </w:rPr>
              <w:t>20,374.1</w:t>
            </w:r>
          </w:p>
        </w:tc>
      </w:tr>
      <w:tr w:rsidR="00B545DE" w:rsidRPr="00364A8A" w14:paraId="2BC83637"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5A940D88"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Inversión Real Directa</w:t>
            </w:r>
          </w:p>
        </w:tc>
        <w:tc>
          <w:tcPr>
            <w:tcW w:w="1701" w:type="dxa"/>
            <w:tcBorders>
              <w:top w:val="nil"/>
              <w:left w:val="single" w:sz="8" w:space="0" w:color="auto"/>
              <w:bottom w:val="nil"/>
              <w:right w:val="single" w:sz="8" w:space="0" w:color="auto"/>
            </w:tcBorders>
            <w:shd w:val="clear" w:color="auto" w:fill="auto"/>
            <w:noWrap/>
            <w:vAlign w:val="center"/>
            <w:hideMark/>
          </w:tcPr>
          <w:p w14:paraId="7CD80B05"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5,503.7</w:t>
            </w:r>
          </w:p>
        </w:tc>
        <w:tc>
          <w:tcPr>
            <w:tcW w:w="1703" w:type="dxa"/>
            <w:tcBorders>
              <w:top w:val="nil"/>
              <w:left w:val="nil"/>
              <w:bottom w:val="nil"/>
              <w:right w:val="single" w:sz="8" w:space="0" w:color="auto"/>
            </w:tcBorders>
            <w:shd w:val="clear" w:color="auto" w:fill="auto"/>
            <w:noWrap/>
            <w:vAlign w:val="center"/>
            <w:hideMark/>
          </w:tcPr>
          <w:p w14:paraId="072BBF3F"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2,421.6</w:t>
            </w:r>
          </w:p>
        </w:tc>
        <w:tc>
          <w:tcPr>
            <w:tcW w:w="1557" w:type="dxa"/>
            <w:tcBorders>
              <w:top w:val="nil"/>
              <w:left w:val="nil"/>
              <w:bottom w:val="nil"/>
              <w:right w:val="single" w:sz="8" w:space="0" w:color="auto"/>
            </w:tcBorders>
            <w:shd w:val="clear" w:color="auto" w:fill="auto"/>
            <w:noWrap/>
            <w:vAlign w:val="center"/>
            <w:hideMark/>
          </w:tcPr>
          <w:p w14:paraId="34549440"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4,614.5</w:t>
            </w:r>
          </w:p>
        </w:tc>
      </w:tr>
      <w:tr w:rsidR="00B545DE" w:rsidRPr="00364A8A" w14:paraId="1751EAE6" w14:textId="77777777" w:rsidTr="00364A8A">
        <w:trPr>
          <w:trHeight w:val="155"/>
        </w:trPr>
        <w:tc>
          <w:tcPr>
            <w:tcW w:w="4243" w:type="dxa"/>
            <w:tcBorders>
              <w:top w:val="nil"/>
              <w:left w:val="single" w:sz="8" w:space="0" w:color="auto"/>
              <w:bottom w:val="nil"/>
              <w:right w:val="nil"/>
            </w:tcBorders>
            <w:shd w:val="clear" w:color="auto" w:fill="auto"/>
            <w:noWrap/>
            <w:vAlign w:val="center"/>
            <w:hideMark/>
          </w:tcPr>
          <w:p w14:paraId="3AD4A317"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 xml:space="preserve">Inversión Financiera </w:t>
            </w:r>
          </w:p>
        </w:tc>
        <w:tc>
          <w:tcPr>
            <w:tcW w:w="1701" w:type="dxa"/>
            <w:tcBorders>
              <w:top w:val="nil"/>
              <w:left w:val="single" w:sz="8" w:space="0" w:color="auto"/>
              <w:bottom w:val="nil"/>
              <w:right w:val="single" w:sz="8" w:space="0" w:color="auto"/>
            </w:tcBorders>
            <w:shd w:val="clear" w:color="auto" w:fill="auto"/>
            <w:noWrap/>
            <w:vAlign w:val="center"/>
            <w:hideMark/>
          </w:tcPr>
          <w:p w14:paraId="0A816B4C"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20.3</w:t>
            </w:r>
          </w:p>
        </w:tc>
        <w:tc>
          <w:tcPr>
            <w:tcW w:w="1703" w:type="dxa"/>
            <w:tcBorders>
              <w:top w:val="nil"/>
              <w:left w:val="nil"/>
              <w:bottom w:val="nil"/>
              <w:right w:val="single" w:sz="8" w:space="0" w:color="auto"/>
            </w:tcBorders>
            <w:shd w:val="clear" w:color="auto" w:fill="auto"/>
            <w:noWrap/>
            <w:vAlign w:val="center"/>
            <w:hideMark/>
          </w:tcPr>
          <w:p w14:paraId="21FDF018"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2.3</w:t>
            </w:r>
          </w:p>
        </w:tc>
        <w:tc>
          <w:tcPr>
            <w:tcW w:w="1557" w:type="dxa"/>
            <w:tcBorders>
              <w:top w:val="nil"/>
              <w:left w:val="nil"/>
              <w:bottom w:val="nil"/>
              <w:right w:val="single" w:sz="8" w:space="0" w:color="auto"/>
            </w:tcBorders>
            <w:shd w:val="clear" w:color="auto" w:fill="auto"/>
            <w:noWrap/>
            <w:vAlign w:val="center"/>
            <w:hideMark/>
          </w:tcPr>
          <w:p w14:paraId="25F08603"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19.2</w:t>
            </w:r>
          </w:p>
        </w:tc>
      </w:tr>
      <w:tr w:rsidR="00B545DE" w:rsidRPr="00364A8A" w14:paraId="1ED01D5D" w14:textId="77777777" w:rsidTr="00364A8A">
        <w:trPr>
          <w:trHeight w:val="163"/>
        </w:trPr>
        <w:tc>
          <w:tcPr>
            <w:tcW w:w="4243" w:type="dxa"/>
            <w:tcBorders>
              <w:top w:val="nil"/>
              <w:left w:val="single" w:sz="8" w:space="0" w:color="auto"/>
              <w:bottom w:val="single" w:sz="8" w:space="0" w:color="auto"/>
              <w:right w:val="nil"/>
            </w:tcBorders>
            <w:shd w:val="clear" w:color="auto" w:fill="auto"/>
            <w:noWrap/>
            <w:vAlign w:val="center"/>
            <w:hideMark/>
          </w:tcPr>
          <w:p w14:paraId="3CAD29CF" w14:textId="77777777" w:rsidR="00B545DE" w:rsidRPr="00364A8A" w:rsidRDefault="00B545DE" w:rsidP="00B545DE">
            <w:pPr>
              <w:ind w:firstLineChars="200" w:firstLine="440"/>
              <w:rPr>
                <w:color w:val="000000"/>
                <w:sz w:val="22"/>
                <w:szCs w:val="20"/>
                <w:lang w:val="es-GT" w:eastAsia="es-GT"/>
              </w:rPr>
            </w:pPr>
            <w:r w:rsidRPr="00364A8A">
              <w:rPr>
                <w:color w:val="000000"/>
                <w:sz w:val="22"/>
                <w:szCs w:val="20"/>
                <w:lang w:val="es-GT" w:eastAsia="es-GT"/>
              </w:rPr>
              <w:t>Transferencias</w:t>
            </w:r>
          </w:p>
        </w:tc>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5A29C323"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16,240.0</w:t>
            </w:r>
          </w:p>
        </w:tc>
        <w:tc>
          <w:tcPr>
            <w:tcW w:w="1703" w:type="dxa"/>
            <w:tcBorders>
              <w:top w:val="nil"/>
              <w:left w:val="nil"/>
              <w:bottom w:val="single" w:sz="8" w:space="0" w:color="auto"/>
              <w:right w:val="single" w:sz="8" w:space="0" w:color="auto"/>
            </w:tcBorders>
            <w:shd w:val="clear" w:color="auto" w:fill="auto"/>
            <w:noWrap/>
            <w:vAlign w:val="center"/>
            <w:hideMark/>
          </w:tcPr>
          <w:p w14:paraId="0F3006DC"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6,922.1</w:t>
            </w:r>
          </w:p>
        </w:tc>
        <w:tc>
          <w:tcPr>
            <w:tcW w:w="1557" w:type="dxa"/>
            <w:tcBorders>
              <w:top w:val="nil"/>
              <w:left w:val="nil"/>
              <w:bottom w:val="single" w:sz="8" w:space="0" w:color="auto"/>
              <w:right w:val="single" w:sz="8" w:space="0" w:color="auto"/>
            </w:tcBorders>
            <w:shd w:val="clear" w:color="auto" w:fill="auto"/>
            <w:noWrap/>
            <w:vAlign w:val="center"/>
            <w:hideMark/>
          </w:tcPr>
          <w:p w14:paraId="4083E40A" w14:textId="77777777" w:rsidR="00B545DE" w:rsidRPr="00364A8A" w:rsidRDefault="00B545DE" w:rsidP="00364A8A">
            <w:pPr>
              <w:jc w:val="right"/>
              <w:rPr>
                <w:color w:val="000000"/>
                <w:sz w:val="22"/>
                <w:szCs w:val="20"/>
                <w:lang w:val="es-GT" w:eastAsia="es-GT"/>
              </w:rPr>
            </w:pPr>
            <w:r w:rsidRPr="00364A8A">
              <w:rPr>
                <w:color w:val="000000"/>
                <w:sz w:val="22"/>
                <w:szCs w:val="20"/>
                <w:lang w:val="es-GT" w:eastAsia="es-GT"/>
              </w:rPr>
              <w:t>15,140.4</w:t>
            </w:r>
          </w:p>
        </w:tc>
      </w:tr>
    </w:tbl>
    <w:p w14:paraId="3103486F" w14:textId="65D85AF4" w:rsidR="00B545DE" w:rsidRPr="00633DC9" w:rsidRDefault="00B545DE" w:rsidP="00633DC9">
      <w:pPr>
        <w:rPr>
          <w:sz w:val="18"/>
        </w:rPr>
      </w:pPr>
      <w:r w:rsidRPr="00633DC9">
        <w:rPr>
          <w:sz w:val="18"/>
        </w:rPr>
        <w:t xml:space="preserve">Fuente: </w:t>
      </w:r>
      <w:r w:rsidR="00633DC9">
        <w:rPr>
          <w:sz w:val="18"/>
        </w:rPr>
        <w:t>Ministerio de Finanzas Públicas.</w:t>
      </w:r>
    </w:p>
    <w:p w14:paraId="65FEA762" w14:textId="77777777" w:rsidR="00B545DE" w:rsidRDefault="00B545DE" w:rsidP="00B545DE">
      <w:pPr>
        <w:rPr>
          <w:sz w:val="16"/>
        </w:rPr>
      </w:pPr>
    </w:p>
    <w:p w14:paraId="75684B5E" w14:textId="77777777" w:rsidR="00B545DE" w:rsidRPr="00AD03E4" w:rsidRDefault="00B545DE" w:rsidP="008B27EA">
      <w:pPr>
        <w:pStyle w:val="Ttulo3"/>
        <w:numPr>
          <w:ilvl w:val="0"/>
          <w:numId w:val="14"/>
        </w:numPr>
        <w:ind w:left="284"/>
        <w:rPr>
          <w:color w:val="auto"/>
        </w:rPr>
      </w:pPr>
      <w:bookmarkStart w:id="70" w:name="_Toc142549356"/>
      <w:bookmarkStart w:id="71" w:name="_Toc142920564"/>
      <w:r w:rsidRPr="00AD03E4">
        <w:rPr>
          <w:color w:val="auto"/>
        </w:rPr>
        <w:t>Gasto Institucional</w:t>
      </w:r>
      <w:bookmarkEnd w:id="70"/>
      <w:bookmarkEnd w:id="71"/>
    </w:p>
    <w:p w14:paraId="3D203D26" w14:textId="77777777" w:rsidR="00B545DE" w:rsidRPr="00633DC9" w:rsidRDefault="00B545DE" w:rsidP="00B545DE">
      <w:pPr>
        <w:autoSpaceDE w:val="0"/>
        <w:autoSpaceDN w:val="0"/>
        <w:adjustRightInd w:val="0"/>
        <w:contextualSpacing/>
        <w:jc w:val="both"/>
      </w:pPr>
    </w:p>
    <w:p w14:paraId="18D6B924" w14:textId="7D158E03" w:rsidR="00B545DE" w:rsidRDefault="00B545DE" w:rsidP="00B545DE">
      <w:pPr>
        <w:jc w:val="both"/>
        <w:rPr>
          <w:lang w:val="es-GT" w:eastAsia="es-GT"/>
        </w:rPr>
      </w:pPr>
      <w:r w:rsidRPr="006E28F6">
        <w:rPr>
          <w:lang w:val="es-GT" w:eastAsia="es-GT"/>
        </w:rPr>
        <w:t>En cuanto al gasto total, el cual incluye amortizaciones de la deuda pública, se situó en Q</w:t>
      </w:r>
      <w:r w:rsidR="00984DA9">
        <w:rPr>
          <w:lang w:val="es-GT" w:eastAsia="es-GT"/>
        </w:rPr>
        <w:t>.</w:t>
      </w:r>
      <w:r w:rsidRPr="006E28F6">
        <w:rPr>
          <w:lang w:val="es-GT" w:eastAsia="es-GT"/>
        </w:rPr>
        <w:t>54,863.3 millones, con un grado de ejecución de</w:t>
      </w:r>
      <w:r w:rsidR="00984DA9">
        <w:rPr>
          <w:lang w:val="es-GT" w:eastAsia="es-GT"/>
        </w:rPr>
        <w:t>l</w:t>
      </w:r>
      <w:r w:rsidRPr="006E28F6">
        <w:rPr>
          <w:lang w:val="es-GT" w:eastAsia="es-GT"/>
        </w:rPr>
        <w:t xml:space="preserve"> 46.4% y una variación interanual de 15.5%. Este grado de ejecución se encuentra por arriba de la ejecución </w:t>
      </w:r>
      <w:r w:rsidR="00984DA9">
        <w:rPr>
          <w:lang w:val="es-GT" w:eastAsia="es-GT"/>
        </w:rPr>
        <w:t xml:space="preserve">presupuestaria </w:t>
      </w:r>
      <w:r w:rsidRPr="006E28F6">
        <w:rPr>
          <w:lang w:val="es-GT" w:eastAsia="es-GT"/>
        </w:rPr>
        <w:t>promedio de los últimos 5 años</w:t>
      </w:r>
      <w:r w:rsidR="00984DA9">
        <w:rPr>
          <w:lang w:val="es-GT" w:eastAsia="es-GT"/>
        </w:rPr>
        <w:t xml:space="preserve">, que se sitúa en </w:t>
      </w:r>
      <w:r w:rsidRPr="006E28F6">
        <w:rPr>
          <w:lang w:val="es-GT" w:eastAsia="es-GT"/>
        </w:rPr>
        <w:t>40.8%.</w:t>
      </w:r>
    </w:p>
    <w:p w14:paraId="008967DC" w14:textId="77777777" w:rsidR="00B545DE" w:rsidRDefault="00B545DE" w:rsidP="00B545DE">
      <w:pPr>
        <w:rPr>
          <w:lang w:val="es-GT" w:eastAsia="es-GT"/>
        </w:rPr>
      </w:pPr>
    </w:p>
    <w:p w14:paraId="326204DE" w14:textId="6164A263" w:rsidR="00B545DE" w:rsidRPr="00FD167A" w:rsidRDefault="00B545DE" w:rsidP="00B545DE">
      <w:pPr>
        <w:jc w:val="both"/>
        <w:rPr>
          <w:noProof/>
          <w:lang w:val="es-GT" w:eastAsia="es-GT"/>
        </w:rPr>
      </w:pPr>
      <w:r w:rsidRPr="00FD167A">
        <w:rPr>
          <w:noProof/>
          <w:lang w:val="es-GT" w:eastAsia="es-GT"/>
        </w:rPr>
        <w:t xml:space="preserve">A nivel del gasto público por entidades, las que muestran el mayor nivel de ejecución son: </w:t>
      </w:r>
      <w:r w:rsidR="008373F2">
        <w:rPr>
          <w:noProof/>
          <w:lang w:val="es-GT" w:eastAsia="es-GT"/>
        </w:rPr>
        <w:t xml:space="preserve">Ministerio de </w:t>
      </w:r>
      <w:r w:rsidRPr="00FD167A">
        <w:rPr>
          <w:noProof/>
          <w:lang w:val="es-GT" w:eastAsia="es-GT"/>
        </w:rPr>
        <w:t>Energía y Minas (81.4%)</w:t>
      </w:r>
      <w:r w:rsidR="008373F2">
        <w:rPr>
          <w:noProof/>
          <w:lang w:val="es-GT" w:eastAsia="es-GT"/>
        </w:rPr>
        <w:t>;</w:t>
      </w:r>
      <w:r w:rsidRPr="00FD167A">
        <w:rPr>
          <w:noProof/>
          <w:lang w:val="es-GT" w:eastAsia="es-GT"/>
        </w:rPr>
        <w:t xml:space="preserve"> </w:t>
      </w:r>
      <w:r w:rsidR="008373F2">
        <w:rPr>
          <w:noProof/>
          <w:lang w:val="es-GT" w:eastAsia="es-GT"/>
        </w:rPr>
        <w:t xml:space="preserve">Ministerio de </w:t>
      </w:r>
      <w:r w:rsidRPr="00FD167A">
        <w:rPr>
          <w:noProof/>
          <w:lang w:val="es-GT" w:eastAsia="es-GT"/>
        </w:rPr>
        <w:t>Comunicaciones</w:t>
      </w:r>
      <w:r w:rsidR="008373F2">
        <w:rPr>
          <w:noProof/>
          <w:lang w:val="es-GT" w:eastAsia="es-GT"/>
        </w:rPr>
        <w:t>, Infraesturctura y Vivienda</w:t>
      </w:r>
      <w:r w:rsidRPr="00FD167A">
        <w:rPr>
          <w:noProof/>
          <w:lang w:val="es-GT" w:eastAsia="es-GT"/>
        </w:rPr>
        <w:t xml:space="preserve"> (69.5%)</w:t>
      </w:r>
      <w:r w:rsidR="008373F2">
        <w:rPr>
          <w:noProof/>
          <w:lang w:val="es-GT" w:eastAsia="es-GT"/>
        </w:rPr>
        <w:t>;</w:t>
      </w:r>
      <w:r w:rsidRPr="00FD167A">
        <w:rPr>
          <w:noProof/>
          <w:lang w:val="es-GT" w:eastAsia="es-GT"/>
        </w:rPr>
        <w:t xml:space="preserve"> </w:t>
      </w:r>
      <w:r w:rsidR="008373F2">
        <w:rPr>
          <w:noProof/>
          <w:lang w:val="es-GT" w:eastAsia="es-GT"/>
        </w:rPr>
        <w:t xml:space="preserve">Ministerio de </w:t>
      </w:r>
      <w:r w:rsidRPr="00FD167A">
        <w:rPr>
          <w:noProof/>
          <w:lang w:val="es-GT" w:eastAsia="es-GT"/>
        </w:rPr>
        <w:t>Cultura y Deportes (51.8%)</w:t>
      </w:r>
      <w:r w:rsidR="008373F2">
        <w:rPr>
          <w:noProof/>
          <w:lang w:val="es-GT" w:eastAsia="es-GT"/>
        </w:rPr>
        <w:t>;</w:t>
      </w:r>
      <w:r w:rsidRPr="00FD167A">
        <w:rPr>
          <w:noProof/>
          <w:lang w:val="es-GT" w:eastAsia="es-GT"/>
        </w:rPr>
        <w:t xml:space="preserve"> </w:t>
      </w:r>
      <w:r w:rsidR="008373F2">
        <w:rPr>
          <w:noProof/>
          <w:lang w:val="es-GT" w:eastAsia="es-GT"/>
        </w:rPr>
        <w:t xml:space="preserve">Servicios de la </w:t>
      </w:r>
      <w:r w:rsidRPr="00FD167A">
        <w:rPr>
          <w:noProof/>
          <w:lang w:val="es-GT" w:eastAsia="es-GT"/>
        </w:rPr>
        <w:t>Deuda Pública (48.5%)</w:t>
      </w:r>
      <w:r w:rsidR="008373F2">
        <w:rPr>
          <w:noProof/>
          <w:lang w:val="es-GT" w:eastAsia="es-GT"/>
        </w:rPr>
        <w:t>; Ministerio de</w:t>
      </w:r>
      <w:r w:rsidRPr="00FD167A">
        <w:rPr>
          <w:noProof/>
          <w:lang w:val="es-GT" w:eastAsia="es-GT"/>
        </w:rPr>
        <w:t xml:space="preserve"> Agricultura</w:t>
      </w:r>
      <w:r w:rsidR="008373F2">
        <w:rPr>
          <w:noProof/>
          <w:lang w:val="es-GT" w:eastAsia="es-GT"/>
        </w:rPr>
        <w:t>, Ganadería y Alimentación</w:t>
      </w:r>
      <w:r w:rsidRPr="00FD167A">
        <w:rPr>
          <w:noProof/>
          <w:lang w:val="es-GT" w:eastAsia="es-GT"/>
        </w:rPr>
        <w:t xml:space="preserve"> (48.4%)</w:t>
      </w:r>
      <w:r w:rsidR="008373F2">
        <w:rPr>
          <w:noProof/>
          <w:lang w:val="es-GT" w:eastAsia="es-GT"/>
        </w:rPr>
        <w:t>; Ministerio de</w:t>
      </w:r>
      <w:r w:rsidRPr="00FD167A">
        <w:rPr>
          <w:noProof/>
          <w:lang w:val="es-GT" w:eastAsia="es-GT"/>
        </w:rPr>
        <w:t xml:space="preserve"> Educación (47.8%)</w:t>
      </w:r>
      <w:r w:rsidR="008373F2">
        <w:rPr>
          <w:noProof/>
          <w:lang w:val="es-GT" w:eastAsia="es-GT"/>
        </w:rPr>
        <w:t>;</w:t>
      </w:r>
      <w:r w:rsidRPr="00FD167A">
        <w:rPr>
          <w:noProof/>
          <w:lang w:val="es-GT" w:eastAsia="es-GT"/>
        </w:rPr>
        <w:t xml:space="preserve"> P</w:t>
      </w:r>
      <w:r w:rsidR="008373F2">
        <w:rPr>
          <w:noProof/>
          <w:lang w:val="es-GT" w:eastAsia="es-GT"/>
        </w:rPr>
        <w:t>rocuraduría General de la Nación</w:t>
      </w:r>
      <w:r w:rsidRPr="00FD167A">
        <w:rPr>
          <w:noProof/>
          <w:lang w:val="es-GT" w:eastAsia="es-GT"/>
        </w:rPr>
        <w:t xml:space="preserve"> (46.7%)</w:t>
      </w:r>
      <w:r w:rsidR="008373F2">
        <w:rPr>
          <w:noProof/>
          <w:lang w:val="es-GT" w:eastAsia="es-GT"/>
        </w:rPr>
        <w:t>;</w:t>
      </w:r>
      <w:r w:rsidRPr="00FD167A">
        <w:rPr>
          <w:noProof/>
          <w:lang w:val="es-GT" w:eastAsia="es-GT"/>
        </w:rPr>
        <w:t xml:space="preserve"> y Presidencia</w:t>
      </w:r>
      <w:r w:rsidR="008373F2">
        <w:rPr>
          <w:noProof/>
          <w:lang w:val="es-GT" w:eastAsia="es-GT"/>
        </w:rPr>
        <w:t xml:space="preserve"> de la República</w:t>
      </w:r>
      <w:r w:rsidRPr="00FD167A">
        <w:rPr>
          <w:noProof/>
          <w:lang w:val="es-GT" w:eastAsia="es-GT"/>
        </w:rPr>
        <w:t xml:space="preserve"> (46.6%)</w:t>
      </w:r>
      <w:r w:rsidR="008373F2">
        <w:rPr>
          <w:noProof/>
          <w:lang w:val="es-GT" w:eastAsia="es-GT"/>
        </w:rPr>
        <w:t>. T</w:t>
      </w:r>
      <w:r w:rsidRPr="00FD167A">
        <w:rPr>
          <w:noProof/>
          <w:lang w:val="es-GT" w:eastAsia="es-GT"/>
        </w:rPr>
        <w:t xml:space="preserve">odas estas entidades se encuentran por arriba de la ejecución </w:t>
      </w:r>
      <w:r w:rsidR="008373F2">
        <w:rPr>
          <w:noProof/>
          <w:lang w:val="es-GT" w:eastAsia="es-GT"/>
        </w:rPr>
        <w:t xml:space="preserve">presupuetaria </w:t>
      </w:r>
      <w:r w:rsidRPr="00FD167A">
        <w:rPr>
          <w:noProof/>
          <w:lang w:val="es-GT" w:eastAsia="es-GT"/>
        </w:rPr>
        <w:t>institucional total</w:t>
      </w:r>
      <w:r w:rsidR="008373F2">
        <w:rPr>
          <w:noProof/>
          <w:lang w:val="es-GT" w:eastAsia="es-GT"/>
        </w:rPr>
        <w:t xml:space="preserve"> de </w:t>
      </w:r>
      <w:r w:rsidRPr="00FD167A">
        <w:rPr>
          <w:noProof/>
          <w:lang w:val="es-GT" w:eastAsia="es-GT"/>
        </w:rPr>
        <w:t>46.4%.</w:t>
      </w:r>
    </w:p>
    <w:p w14:paraId="756176FD" w14:textId="77777777" w:rsidR="00B545DE" w:rsidRPr="00FD167A" w:rsidRDefault="00B545DE" w:rsidP="00B545DE">
      <w:pPr>
        <w:jc w:val="both"/>
        <w:rPr>
          <w:noProof/>
          <w:lang w:val="es-GT" w:eastAsia="es-GT"/>
        </w:rPr>
      </w:pPr>
    </w:p>
    <w:p w14:paraId="371EB20C" w14:textId="032616AE" w:rsidR="00B545DE" w:rsidRPr="00FD167A" w:rsidRDefault="00B545DE" w:rsidP="00B545DE">
      <w:pPr>
        <w:jc w:val="both"/>
        <w:rPr>
          <w:noProof/>
          <w:lang w:val="es-GT" w:eastAsia="es-GT"/>
        </w:rPr>
      </w:pPr>
      <w:r w:rsidRPr="00FD167A">
        <w:rPr>
          <w:noProof/>
          <w:lang w:val="es-GT" w:eastAsia="es-GT"/>
        </w:rPr>
        <w:t>El resto de las entidades se encuentra por debajo de la ejecución institucional total. Resalta el Ministerio de Ambiente y Recursos</w:t>
      </w:r>
      <w:r w:rsidR="008373F2">
        <w:rPr>
          <w:noProof/>
          <w:lang w:val="es-GT" w:eastAsia="es-GT"/>
        </w:rPr>
        <w:t xml:space="preserve"> Naturales</w:t>
      </w:r>
      <w:r w:rsidRPr="00FD167A">
        <w:rPr>
          <w:noProof/>
          <w:lang w:val="es-GT" w:eastAsia="es-GT"/>
        </w:rPr>
        <w:t xml:space="preserve"> con una ejecución de 28.9%, estando muy por debajo de la ejecución</w:t>
      </w:r>
      <w:r w:rsidR="008373F2">
        <w:rPr>
          <w:noProof/>
          <w:lang w:val="es-GT" w:eastAsia="es-GT"/>
        </w:rPr>
        <w:t xml:space="preserve"> Institucionl</w:t>
      </w:r>
      <w:r w:rsidRPr="00FD167A">
        <w:rPr>
          <w:noProof/>
          <w:lang w:val="es-GT" w:eastAsia="es-GT"/>
        </w:rPr>
        <w:t xml:space="preserve"> promedio.</w:t>
      </w:r>
    </w:p>
    <w:p w14:paraId="2FA14868" w14:textId="77777777" w:rsidR="00B545DE" w:rsidRPr="00FD167A" w:rsidRDefault="00B545DE" w:rsidP="00B545DE">
      <w:pPr>
        <w:jc w:val="both"/>
        <w:rPr>
          <w:noProof/>
          <w:lang w:val="es-GT" w:eastAsia="es-GT"/>
        </w:rPr>
      </w:pPr>
    </w:p>
    <w:p w14:paraId="596393A6" w14:textId="56C40CD6" w:rsidR="00B545DE" w:rsidRPr="00FD167A" w:rsidRDefault="00B545DE" w:rsidP="00B545DE">
      <w:pPr>
        <w:jc w:val="both"/>
        <w:rPr>
          <w:noProof/>
          <w:lang w:val="es-GT" w:eastAsia="es-GT"/>
        </w:rPr>
      </w:pPr>
      <w:r w:rsidRPr="00FD167A">
        <w:rPr>
          <w:noProof/>
          <w:lang w:val="es-GT" w:eastAsia="es-GT"/>
        </w:rPr>
        <w:t>El Ministerio de Energía y Minas reporta el mayor nivel de ejecución asociado al subsidio al gas propano</w:t>
      </w:r>
      <w:r w:rsidR="008373F2">
        <w:rPr>
          <w:noProof/>
          <w:lang w:val="es-GT" w:eastAsia="es-GT"/>
        </w:rPr>
        <w:t>, mismo</w:t>
      </w:r>
      <w:r w:rsidRPr="00FD167A">
        <w:rPr>
          <w:noProof/>
          <w:lang w:val="es-GT" w:eastAsia="es-GT"/>
        </w:rPr>
        <w:t xml:space="preserve"> que ya concluyó y </w:t>
      </w:r>
      <w:r w:rsidR="008373F2">
        <w:rPr>
          <w:noProof/>
          <w:lang w:val="es-GT" w:eastAsia="es-GT"/>
        </w:rPr>
        <w:t>que</w:t>
      </w:r>
      <w:r w:rsidRPr="00FD167A">
        <w:rPr>
          <w:noProof/>
          <w:lang w:val="es-GT" w:eastAsia="es-GT"/>
        </w:rPr>
        <w:t xml:space="preserve"> representa una proporción importante de su presupuesto, finalizando con una</w:t>
      </w:r>
      <w:r>
        <w:rPr>
          <w:noProof/>
          <w:lang w:val="es-GT" w:eastAsia="es-GT"/>
        </w:rPr>
        <w:t xml:space="preserve"> alta</w:t>
      </w:r>
      <w:r w:rsidRPr="00FD167A">
        <w:rPr>
          <w:noProof/>
          <w:lang w:val="es-GT" w:eastAsia="es-GT"/>
        </w:rPr>
        <w:t xml:space="preserve"> ejecución</w:t>
      </w:r>
      <w:r w:rsidR="008373F2">
        <w:rPr>
          <w:noProof/>
          <w:lang w:val="es-GT" w:eastAsia="es-GT"/>
        </w:rPr>
        <w:t xml:space="preserve"> en el presente año</w:t>
      </w:r>
      <w:r w:rsidRPr="00FD167A">
        <w:rPr>
          <w:noProof/>
          <w:lang w:val="es-GT" w:eastAsia="es-GT"/>
        </w:rPr>
        <w:t>.</w:t>
      </w:r>
    </w:p>
    <w:p w14:paraId="5C242749" w14:textId="77777777" w:rsidR="00B545DE" w:rsidRPr="00FD167A" w:rsidRDefault="00B545DE" w:rsidP="00B545DE">
      <w:pPr>
        <w:jc w:val="both"/>
        <w:rPr>
          <w:noProof/>
          <w:lang w:val="es-GT" w:eastAsia="es-GT"/>
        </w:rPr>
      </w:pPr>
    </w:p>
    <w:p w14:paraId="72040F81" w14:textId="7AF8D667" w:rsidR="00B545DE" w:rsidRPr="00FD167A" w:rsidRDefault="00B545DE" w:rsidP="00B545DE">
      <w:pPr>
        <w:jc w:val="both"/>
        <w:rPr>
          <w:noProof/>
          <w:lang w:val="es-GT" w:eastAsia="es-GT"/>
        </w:rPr>
      </w:pPr>
      <w:r w:rsidRPr="00FD167A">
        <w:rPr>
          <w:noProof/>
          <w:lang w:val="es-GT" w:eastAsia="es-GT"/>
        </w:rPr>
        <w:t>E</w:t>
      </w:r>
      <w:r w:rsidR="00BF1A67">
        <w:rPr>
          <w:noProof/>
          <w:lang w:val="es-GT" w:eastAsia="es-GT"/>
        </w:rPr>
        <w:t>l</w:t>
      </w:r>
      <w:r w:rsidRPr="00FD167A">
        <w:rPr>
          <w:noProof/>
          <w:lang w:val="es-GT" w:eastAsia="es-GT"/>
        </w:rPr>
        <w:t xml:space="preserve"> Ministerio de Desarrollo Social tuvo una ampliación presupuest</w:t>
      </w:r>
      <w:r w:rsidR="00CB39DD">
        <w:rPr>
          <w:noProof/>
          <w:lang w:val="es-GT" w:eastAsia="es-GT"/>
        </w:rPr>
        <w:t>aria</w:t>
      </w:r>
      <w:r w:rsidRPr="00FD167A">
        <w:rPr>
          <w:noProof/>
          <w:lang w:val="es-GT" w:eastAsia="es-GT"/>
        </w:rPr>
        <w:t xml:space="preserve"> por Q</w:t>
      </w:r>
      <w:r w:rsidR="00BF1A67">
        <w:rPr>
          <w:noProof/>
          <w:lang w:val="es-GT" w:eastAsia="es-GT"/>
        </w:rPr>
        <w:t>.</w:t>
      </w:r>
      <w:r w:rsidRPr="00FD167A">
        <w:rPr>
          <w:noProof/>
          <w:lang w:val="es-GT" w:eastAsia="es-GT"/>
        </w:rPr>
        <w:t>300</w:t>
      </w:r>
      <w:r w:rsidR="00BF1A67">
        <w:rPr>
          <w:noProof/>
          <w:lang w:val="es-GT" w:eastAsia="es-GT"/>
        </w:rPr>
        <w:t>.0</w:t>
      </w:r>
      <w:r w:rsidRPr="00FD167A">
        <w:rPr>
          <w:noProof/>
          <w:lang w:val="es-GT" w:eastAsia="es-GT"/>
        </w:rPr>
        <w:t xml:space="preserve"> millones para cubrir los pagos </w:t>
      </w:r>
      <w:r w:rsidR="00CB39DD">
        <w:rPr>
          <w:noProof/>
          <w:lang w:val="es-GT" w:eastAsia="es-GT"/>
        </w:rPr>
        <w:t>autorizados mediante el Decreto No. 51-2022 del Congreso de la República,</w:t>
      </w:r>
      <w:r w:rsidRPr="00FD167A">
        <w:rPr>
          <w:noProof/>
          <w:lang w:val="es-GT" w:eastAsia="es-GT"/>
        </w:rPr>
        <w:t xml:space="preserve"> Ley Temporal de Desarrollo Integral</w:t>
      </w:r>
      <w:r w:rsidR="00CB39DD">
        <w:rPr>
          <w:noProof/>
          <w:lang w:val="es-GT" w:eastAsia="es-GT"/>
        </w:rPr>
        <w:t>,</w:t>
      </w:r>
      <w:r w:rsidRPr="00FD167A">
        <w:rPr>
          <w:noProof/>
          <w:lang w:val="es-GT" w:eastAsia="es-GT"/>
        </w:rPr>
        <w:t xml:space="preserve"> cuyo objetivo es la implementación y ejecución de proyectos ambientales y de desarrollo integral con la participación de la tropa que prestó servicio militar durante el conflicto armado interno. Hasta la fecha, dicho programa cuenta con una ejecución de Q</w:t>
      </w:r>
      <w:r w:rsidR="005E333F">
        <w:rPr>
          <w:noProof/>
          <w:lang w:val="es-GT" w:eastAsia="es-GT"/>
        </w:rPr>
        <w:t>.</w:t>
      </w:r>
      <w:r w:rsidRPr="00FD167A">
        <w:rPr>
          <w:noProof/>
          <w:lang w:val="es-GT" w:eastAsia="es-GT"/>
        </w:rPr>
        <w:t>107.1 millones.</w:t>
      </w:r>
    </w:p>
    <w:p w14:paraId="20D3CEF6" w14:textId="77777777" w:rsidR="00B545DE" w:rsidRPr="00FD167A" w:rsidRDefault="00B545DE" w:rsidP="00B545DE">
      <w:pPr>
        <w:jc w:val="both"/>
        <w:rPr>
          <w:noProof/>
          <w:lang w:val="es-GT" w:eastAsia="es-GT"/>
        </w:rPr>
      </w:pPr>
    </w:p>
    <w:p w14:paraId="78B77A05" w14:textId="587EC46D" w:rsidR="00B545DE" w:rsidRPr="00FD167A" w:rsidRDefault="00B545DE" w:rsidP="00B545DE">
      <w:pPr>
        <w:jc w:val="both"/>
        <w:rPr>
          <w:noProof/>
          <w:lang w:val="es-GT" w:eastAsia="es-GT"/>
        </w:rPr>
      </w:pPr>
      <w:r w:rsidRPr="00FD167A">
        <w:rPr>
          <w:noProof/>
          <w:lang w:val="es-GT" w:eastAsia="es-GT"/>
        </w:rPr>
        <w:t>El Ministerio de Desarrollo Social contabilizó aproximadamente 45</w:t>
      </w:r>
      <w:r w:rsidR="005E333F">
        <w:rPr>
          <w:noProof/>
          <w:lang w:val="es-GT" w:eastAsia="es-GT"/>
        </w:rPr>
        <w:t>,000</w:t>
      </w:r>
      <w:r w:rsidRPr="00FD167A">
        <w:rPr>
          <w:noProof/>
          <w:lang w:val="es-GT" w:eastAsia="es-GT"/>
        </w:rPr>
        <w:t xml:space="preserve"> excombatientes inscritos en el programa, a los cuales se les dará</w:t>
      </w:r>
      <w:r w:rsidR="005E333F">
        <w:rPr>
          <w:noProof/>
          <w:lang w:val="es-GT" w:eastAsia="es-GT"/>
        </w:rPr>
        <w:t xml:space="preserve"> un aporte de</w:t>
      </w:r>
      <w:r w:rsidRPr="00FD167A">
        <w:rPr>
          <w:noProof/>
          <w:lang w:val="es-GT" w:eastAsia="es-GT"/>
        </w:rPr>
        <w:t xml:space="preserve"> Q</w:t>
      </w:r>
      <w:r w:rsidR="005E333F">
        <w:rPr>
          <w:noProof/>
          <w:lang w:val="es-GT" w:eastAsia="es-GT"/>
        </w:rPr>
        <w:t>.</w:t>
      </w:r>
      <w:r w:rsidRPr="00FD167A">
        <w:rPr>
          <w:noProof/>
          <w:lang w:val="es-GT" w:eastAsia="es-GT"/>
        </w:rPr>
        <w:t>36</w:t>
      </w:r>
      <w:r w:rsidR="005E333F">
        <w:rPr>
          <w:noProof/>
          <w:lang w:val="es-GT" w:eastAsia="es-GT"/>
        </w:rPr>
        <w:t>.0</w:t>
      </w:r>
      <w:r w:rsidRPr="00FD167A">
        <w:rPr>
          <w:noProof/>
          <w:lang w:val="es-GT" w:eastAsia="es-GT"/>
        </w:rPr>
        <w:t xml:space="preserve"> mil en 3 años, según lo establecido en la </w:t>
      </w:r>
      <w:r w:rsidR="005E333F">
        <w:rPr>
          <w:noProof/>
          <w:lang w:val="es-GT" w:eastAsia="es-GT"/>
        </w:rPr>
        <w:t xml:space="preserve">mencionada </w:t>
      </w:r>
      <w:r w:rsidRPr="00FD167A">
        <w:rPr>
          <w:noProof/>
          <w:lang w:val="es-GT" w:eastAsia="es-GT"/>
        </w:rPr>
        <w:t>ley.</w:t>
      </w:r>
    </w:p>
    <w:p w14:paraId="31D11D09" w14:textId="77777777" w:rsidR="00B545DE" w:rsidRPr="00FD167A" w:rsidRDefault="00B545DE" w:rsidP="00B545DE">
      <w:pPr>
        <w:jc w:val="both"/>
        <w:rPr>
          <w:noProof/>
          <w:lang w:val="es-GT" w:eastAsia="es-GT"/>
        </w:rPr>
      </w:pPr>
    </w:p>
    <w:p w14:paraId="3E53A8A1" w14:textId="2D5E82A1" w:rsidR="00B545DE" w:rsidRPr="00FD167A" w:rsidRDefault="00B545DE" w:rsidP="00B545DE">
      <w:pPr>
        <w:jc w:val="both"/>
        <w:rPr>
          <w:noProof/>
          <w:lang w:val="es-GT" w:eastAsia="es-GT"/>
        </w:rPr>
      </w:pPr>
      <w:r w:rsidRPr="00FD167A">
        <w:rPr>
          <w:noProof/>
          <w:lang w:val="es-GT" w:eastAsia="es-GT"/>
        </w:rPr>
        <w:t>Es destacable el alto nivel de ejecución en el Ministerio de Cultura y Deportes, dado que por lo general esta entidad ha reportado niveles de ejecución modestos</w:t>
      </w:r>
      <w:r w:rsidR="005E333F">
        <w:rPr>
          <w:noProof/>
          <w:lang w:val="es-GT" w:eastAsia="es-GT"/>
        </w:rPr>
        <w:t>. A</w:t>
      </w:r>
      <w:r w:rsidRPr="00FD167A">
        <w:rPr>
          <w:noProof/>
          <w:lang w:val="es-GT" w:eastAsia="es-GT"/>
        </w:rPr>
        <w:t>l evaluar la ejecución resalta el dinamismo en la construcción, ampliación y mejoramiento de instalaciones deportivas y recreativas, así como en los servicios de administración y protección de parques, sitios arqueológicos y zonas de rescate cultural y natural.</w:t>
      </w:r>
    </w:p>
    <w:p w14:paraId="2A78F178" w14:textId="77777777" w:rsidR="00B545DE" w:rsidRPr="00FD167A" w:rsidRDefault="00B545DE" w:rsidP="00B545DE">
      <w:pPr>
        <w:jc w:val="both"/>
        <w:rPr>
          <w:noProof/>
          <w:lang w:val="es-GT" w:eastAsia="es-GT"/>
        </w:rPr>
      </w:pPr>
    </w:p>
    <w:p w14:paraId="7CD45F48" w14:textId="7E2E0952" w:rsidR="00B545DE" w:rsidRPr="00FD167A" w:rsidRDefault="00B545DE" w:rsidP="00B545DE">
      <w:pPr>
        <w:jc w:val="both"/>
        <w:rPr>
          <w:noProof/>
          <w:lang w:val="es-GT" w:eastAsia="es-GT"/>
        </w:rPr>
      </w:pPr>
      <w:r w:rsidRPr="00FD167A">
        <w:rPr>
          <w:noProof/>
          <w:lang w:val="es-GT" w:eastAsia="es-GT"/>
        </w:rPr>
        <w:t>En el Ministerio de Trabajo</w:t>
      </w:r>
      <w:r w:rsidR="005E333F">
        <w:rPr>
          <w:noProof/>
          <w:lang w:val="es-GT" w:eastAsia="es-GT"/>
        </w:rPr>
        <w:t xml:space="preserve"> y Previsión Social</w:t>
      </w:r>
      <w:r w:rsidRPr="00FD167A">
        <w:rPr>
          <w:noProof/>
          <w:lang w:val="es-GT" w:eastAsia="es-GT"/>
        </w:rPr>
        <w:t xml:space="preserve">, es importante comentar que se amplió el techo presupuestario para fortalecer el programa de Aporte Económico al Adulto Mayor. Este fue aprobado por medio del Decreto </w:t>
      </w:r>
      <w:r w:rsidR="005E333F">
        <w:rPr>
          <w:noProof/>
          <w:lang w:val="es-GT" w:eastAsia="es-GT"/>
        </w:rPr>
        <w:t>No.</w:t>
      </w:r>
      <w:r w:rsidRPr="00FD167A">
        <w:rPr>
          <w:noProof/>
          <w:lang w:val="es-GT" w:eastAsia="es-GT"/>
        </w:rPr>
        <w:t xml:space="preserve"> 10-2023</w:t>
      </w:r>
      <w:r w:rsidR="005E333F">
        <w:rPr>
          <w:noProof/>
          <w:lang w:val="es-GT" w:eastAsia="es-GT"/>
        </w:rPr>
        <w:t xml:space="preserve"> del Congreso de la República,</w:t>
      </w:r>
      <w:r w:rsidRPr="00FD167A">
        <w:rPr>
          <w:noProof/>
          <w:lang w:val="es-GT" w:eastAsia="es-GT"/>
        </w:rPr>
        <w:t xml:space="preserve"> Ampliación del Programa de Aporte Económico al Adulto Mayor</w:t>
      </w:r>
      <w:r w:rsidR="005E333F">
        <w:rPr>
          <w:noProof/>
          <w:lang w:val="es-GT" w:eastAsia="es-GT"/>
        </w:rPr>
        <w:t>,</w:t>
      </w:r>
      <w:r w:rsidRPr="00FD167A">
        <w:rPr>
          <w:noProof/>
          <w:lang w:val="es-GT" w:eastAsia="es-GT"/>
        </w:rPr>
        <w:t xml:space="preserve"> viabilizando el traslado de recursos financieros no utilizados de la atención de la pandemia </w:t>
      </w:r>
      <w:r w:rsidR="005E333F">
        <w:rPr>
          <w:noProof/>
          <w:lang w:val="es-GT" w:eastAsia="es-GT"/>
        </w:rPr>
        <w:t>del Covid-</w:t>
      </w:r>
      <w:r w:rsidRPr="00FD167A">
        <w:rPr>
          <w:noProof/>
          <w:lang w:val="es-GT" w:eastAsia="es-GT"/>
        </w:rPr>
        <w:t>19, para el fortalecimiento de dicho programa.</w:t>
      </w:r>
    </w:p>
    <w:p w14:paraId="7A58536D" w14:textId="77777777" w:rsidR="00B545DE" w:rsidRPr="00FD167A" w:rsidRDefault="00B545DE" w:rsidP="00B545DE">
      <w:pPr>
        <w:jc w:val="both"/>
        <w:rPr>
          <w:noProof/>
          <w:lang w:val="es-GT" w:eastAsia="es-GT"/>
        </w:rPr>
      </w:pPr>
    </w:p>
    <w:p w14:paraId="2985699F" w14:textId="6D79EB5B" w:rsidR="00B545DE" w:rsidRPr="00FD167A" w:rsidRDefault="00B545DE" w:rsidP="00B545DE">
      <w:pPr>
        <w:jc w:val="both"/>
        <w:rPr>
          <w:noProof/>
          <w:lang w:val="es-GT" w:eastAsia="es-GT"/>
        </w:rPr>
      </w:pPr>
      <w:r w:rsidRPr="00FD167A">
        <w:rPr>
          <w:noProof/>
          <w:lang w:val="es-GT" w:eastAsia="es-GT"/>
        </w:rPr>
        <w:t>Adicionalmente, establecería la adhesión de 65</w:t>
      </w:r>
      <w:r w:rsidR="00906C69">
        <w:rPr>
          <w:noProof/>
          <w:lang w:val="es-GT" w:eastAsia="es-GT"/>
        </w:rPr>
        <w:t>,000</w:t>
      </w:r>
      <w:r w:rsidRPr="00FD167A">
        <w:rPr>
          <w:noProof/>
          <w:lang w:val="es-GT" w:eastAsia="es-GT"/>
        </w:rPr>
        <w:t xml:space="preserve"> adultos mayores para alcanzar hasta 210 mil beneficiarios en 2023, brindando un apoyo económico, el cual consiste en Q</w:t>
      </w:r>
      <w:r w:rsidR="00906C69">
        <w:rPr>
          <w:noProof/>
          <w:lang w:val="es-GT" w:eastAsia="es-GT"/>
        </w:rPr>
        <w:t>.</w:t>
      </w:r>
      <w:r w:rsidRPr="00FD167A">
        <w:rPr>
          <w:noProof/>
          <w:lang w:val="es-GT" w:eastAsia="es-GT"/>
        </w:rPr>
        <w:t>500</w:t>
      </w:r>
      <w:r w:rsidR="00906C69">
        <w:rPr>
          <w:noProof/>
          <w:lang w:val="es-GT" w:eastAsia="es-GT"/>
        </w:rPr>
        <w:t>.0</w:t>
      </w:r>
      <w:r w:rsidRPr="00FD167A">
        <w:rPr>
          <w:noProof/>
          <w:lang w:val="es-GT" w:eastAsia="es-GT"/>
        </w:rPr>
        <w:t xml:space="preserve"> mensuales para cada beneficiario. De esa cuenta, se observa una baja ejecución en el Ministerio de Trabajo</w:t>
      </w:r>
      <w:r w:rsidR="00906C69">
        <w:rPr>
          <w:noProof/>
          <w:lang w:val="es-GT" w:eastAsia="es-GT"/>
        </w:rPr>
        <w:t xml:space="preserve"> y Previsión Social</w:t>
      </w:r>
      <w:r w:rsidRPr="00FD167A">
        <w:rPr>
          <w:noProof/>
          <w:lang w:val="es-GT" w:eastAsia="es-GT"/>
        </w:rPr>
        <w:t>, la cual podría dinamizarse en los próximos meses.</w:t>
      </w:r>
    </w:p>
    <w:p w14:paraId="7E31B753" w14:textId="77777777" w:rsidR="00B545DE" w:rsidRPr="00906C69" w:rsidRDefault="00B545DE" w:rsidP="00B545DE">
      <w:pPr>
        <w:autoSpaceDE w:val="0"/>
        <w:autoSpaceDN w:val="0"/>
        <w:adjustRightInd w:val="0"/>
        <w:contextualSpacing/>
        <w:jc w:val="both"/>
        <w:rPr>
          <w:lang w:val="es-GT"/>
        </w:rPr>
      </w:pPr>
    </w:p>
    <w:p w14:paraId="5452DEB1" w14:textId="40E8A118" w:rsidR="00B545DE" w:rsidRDefault="00B545DE" w:rsidP="00B545DE">
      <w:pPr>
        <w:jc w:val="both"/>
      </w:pPr>
      <w:r w:rsidRPr="0045185D">
        <w:t xml:space="preserve">Al desglosar </w:t>
      </w:r>
      <w:r w:rsidR="00960453">
        <w:t xml:space="preserve">la ejecución de </w:t>
      </w:r>
      <w:r w:rsidRPr="0045185D">
        <w:t xml:space="preserve">los programas por entidad (ver </w:t>
      </w:r>
      <w:r w:rsidR="00960453">
        <w:t>A</w:t>
      </w:r>
      <w:r w:rsidRPr="0045185D">
        <w:t>nexo), se observa que dentro de las entidades se da una mayor prioridad a los programas que se consideran de alto impacto. El Ministerio de Educación cuenta con un nivel de ejecución de 4</w:t>
      </w:r>
      <w:r>
        <w:t>7</w:t>
      </w:r>
      <w:r w:rsidRPr="0045185D">
        <w:t>.</w:t>
      </w:r>
      <w:r>
        <w:t>8</w:t>
      </w:r>
      <w:r w:rsidRPr="0045185D">
        <w:t xml:space="preserve">%, el programa de Apoyo para el Consumo </w:t>
      </w:r>
      <w:r w:rsidR="00960453">
        <w:t>A</w:t>
      </w:r>
      <w:r w:rsidRPr="0045185D">
        <w:t>decuado de Alimentos reporta un alto nivel de ejecución siendo de 5</w:t>
      </w:r>
      <w:r>
        <w:t>8</w:t>
      </w:r>
      <w:r w:rsidRPr="0045185D">
        <w:t>.</w:t>
      </w:r>
      <w:r>
        <w:t>6</w:t>
      </w:r>
      <w:r w:rsidRPr="0045185D">
        <w:t xml:space="preserve">%, </w:t>
      </w:r>
      <w:r>
        <w:t xml:space="preserve">siendo muy importante este </w:t>
      </w:r>
      <w:r w:rsidRPr="0045185D">
        <w:t xml:space="preserve">programa </w:t>
      </w:r>
      <w:r>
        <w:t>dado que continúa con</w:t>
      </w:r>
      <w:r w:rsidRPr="0045185D">
        <w:t xml:space="preserve"> los esfuerzos por asegurar la seguridad alimentaria de los menores.</w:t>
      </w:r>
    </w:p>
    <w:p w14:paraId="0A3609BD" w14:textId="77777777" w:rsidR="00B545DE" w:rsidRDefault="00B545DE" w:rsidP="00B545DE">
      <w:pPr>
        <w:jc w:val="both"/>
      </w:pPr>
    </w:p>
    <w:p w14:paraId="56205E8B" w14:textId="3F1A9932" w:rsidR="00B545DE" w:rsidRDefault="00B545DE" w:rsidP="00B545DE">
      <w:pPr>
        <w:jc w:val="both"/>
      </w:pPr>
      <w:r w:rsidRPr="00611570">
        <w:t>Res</w:t>
      </w:r>
      <w:r>
        <w:t xml:space="preserve">pecto </w:t>
      </w:r>
      <w:r w:rsidR="00960453">
        <w:t>de</w:t>
      </w:r>
      <w:r>
        <w:t xml:space="preserve"> las </w:t>
      </w:r>
      <w:r w:rsidRPr="00611570">
        <w:t>Obligaciones del Estado a Cargo del Tesoro</w:t>
      </w:r>
      <w:r>
        <w:t>, reporta un grado de ejecución del 43.0%</w:t>
      </w:r>
      <w:r w:rsidR="00960453">
        <w:t>;</w:t>
      </w:r>
      <w:r>
        <w:t xml:space="preserve"> durante el año ha</w:t>
      </w:r>
      <w:r w:rsidR="00960453">
        <w:t>n</w:t>
      </w:r>
      <w:r>
        <w:t xml:space="preserve"> crecido de forma importante las transferencias hacia el Ministerio Público, </w:t>
      </w:r>
      <w:r w:rsidR="00960453">
        <w:t>a</w:t>
      </w:r>
      <w:r>
        <w:t xml:space="preserve">l Organismo Judicial, </w:t>
      </w:r>
      <w:r w:rsidR="00960453">
        <w:t xml:space="preserve">a </w:t>
      </w:r>
      <w:r>
        <w:t>las Municipalidades y los Consejos de Desarrollo Urbano y Rural.</w:t>
      </w:r>
    </w:p>
    <w:p w14:paraId="32D7CDE4" w14:textId="77777777" w:rsidR="00B545DE" w:rsidRDefault="00B545DE" w:rsidP="00B545DE">
      <w:pPr>
        <w:jc w:val="both"/>
      </w:pPr>
    </w:p>
    <w:p w14:paraId="1C02840A" w14:textId="51139D64" w:rsidR="00B545DE" w:rsidRDefault="00B545DE" w:rsidP="00B545DE">
      <w:pPr>
        <w:jc w:val="both"/>
      </w:pPr>
      <w:r w:rsidRPr="00580C89">
        <w:t xml:space="preserve">En </w:t>
      </w:r>
      <w:r w:rsidR="00960453">
        <w:t xml:space="preserve">el Ministerio de </w:t>
      </w:r>
      <w:r w:rsidRPr="00580C89">
        <w:t>Salud Pública y Asistencia Social, los programas que reportan el mayor nivel de ejecución son</w:t>
      </w:r>
      <w:r w:rsidR="00960453">
        <w:t xml:space="preserve">: </w:t>
      </w:r>
      <w:r w:rsidRPr="00580C89">
        <w:t xml:space="preserve"> Recuperación de la Salud (4</w:t>
      </w:r>
      <w:r>
        <w:t>8</w:t>
      </w:r>
      <w:r w:rsidRPr="00580C89">
        <w:t>.</w:t>
      </w:r>
      <w:r>
        <w:t>4</w:t>
      </w:r>
      <w:r w:rsidRPr="00580C89">
        <w:t>%) y el Fomento de la Salud y Medicina Preventiva (4</w:t>
      </w:r>
      <w:r>
        <w:t>8</w:t>
      </w:r>
      <w:r w:rsidRPr="00580C89">
        <w:t>.</w:t>
      </w:r>
      <w:r>
        <w:t>2</w:t>
      </w:r>
      <w:r w:rsidRPr="00580C89">
        <w:t xml:space="preserve">%). Por su parte, el programa Atención por </w:t>
      </w:r>
      <w:r>
        <w:t>D</w:t>
      </w:r>
      <w:r w:rsidRPr="00580C89">
        <w:t xml:space="preserve">esastres </w:t>
      </w:r>
      <w:r>
        <w:t>N</w:t>
      </w:r>
      <w:r w:rsidRPr="00580C89">
        <w:t xml:space="preserve">aturales y </w:t>
      </w:r>
      <w:r>
        <w:t>C</w:t>
      </w:r>
      <w:r w:rsidRPr="00580C89">
        <w:t xml:space="preserve">alamidades </w:t>
      </w:r>
      <w:r>
        <w:t>P</w:t>
      </w:r>
      <w:r w:rsidRPr="00580C89">
        <w:t>úblicas (Intervenciones para la atención de la emergencia C</w:t>
      </w:r>
      <w:r w:rsidR="00960453">
        <w:t>ovid</w:t>
      </w:r>
      <w:r w:rsidRPr="00580C89">
        <w:t>-19)</w:t>
      </w:r>
      <w:r w:rsidR="00960453">
        <w:t>,</w:t>
      </w:r>
      <w:r w:rsidRPr="00580C89">
        <w:t xml:space="preserve"> reporta una ejecución de Q</w:t>
      </w:r>
      <w:r w:rsidR="00960453">
        <w:t>.</w:t>
      </w:r>
      <w:r>
        <w:t>363</w:t>
      </w:r>
      <w:r w:rsidRPr="00580C89">
        <w:t>.</w:t>
      </w:r>
      <w:r>
        <w:t>0</w:t>
      </w:r>
      <w:r w:rsidRPr="00580C89">
        <w:t xml:space="preserve"> millones</w:t>
      </w:r>
      <w:r>
        <w:t xml:space="preserve"> (47.4%), dado que se mantienen gastos para la atención y la vacunación contra el </w:t>
      </w:r>
      <w:r w:rsidR="00C2533B">
        <w:t>Covid</w:t>
      </w:r>
      <w:r>
        <w:t>-19</w:t>
      </w:r>
      <w:r w:rsidRPr="00580C89">
        <w:t>.</w:t>
      </w:r>
    </w:p>
    <w:p w14:paraId="27902FCD" w14:textId="77777777" w:rsidR="00B545DE" w:rsidRDefault="00B545DE" w:rsidP="00B545DE">
      <w:pPr>
        <w:jc w:val="both"/>
      </w:pPr>
    </w:p>
    <w:p w14:paraId="61869FD7" w14:textId="72D407E6" w:rsidR="00B545DE" w:rsidRDefault="00B545DE" w:rsidP="00B545DE">
      <w:pPr>
        <w:jc w:val="both"/>
      </w:pPr>
      <w:r>
        <w:t xml:space="preserve">Mientras que en el Ministerio de Gobernación </w:t>
      </w:r>
      <w:r w:rsidRPr="00BA5014">
        <w:t>se reporta una ejecución de</w:t>
      </w:r>
      <w:r w:rsidR="00492C4F">
        <w:t>l</w:t>
      </w:r>
      <w:r w:rsidRPr="00BA5014">
        <w:t xml:space="preserve"> </w:t>
      </w:r>
      <w:r>
        <w:t>43.7</w:t>
      </w:r>
      <w:r w:rsidRPr="00BA5014">
        <w:t>%</w:t>
      </w:r>
      <w:r w:rsidR="00492C4F">
        <w:t>;</w:t>
      </w:r>
      <w:r w:rsidRPr="00BA5014">
        <w:t xml:space="preserve"> </w:t>
      </w:r>
      <w:r>
        <w:t>e</w:t>
      </w:r>
      <w:r w:rsidRPr="00BA5014">
        <w:t>l programa</w:t>
      </w:r>
      <w:r>
        <w:t xml:space="preserve"> que reporta la mayor ejecución son los Servicios de Inteligencia Civil (actividad común a los programas 11 y 12) con 46.5%, seguido de los </w:t>
      </w:r>
      <w:r w:rsidRPr="00CD75A9">
        <w:t xml:space="preserve">Servicios de </w:t>
      </w:r>
      <w:r>
        <w:t>Seguridad a las Personas y su Patrimonio con 46.3%.</w:t>
      </w:r>
    </w:p>
    <w:p w14:paraId="04AEE92E" w14:textId="77777777" w:rsidR="00B545DE" w:rsidRDefault="00B545DE" w:rsidP="00B545DE">
      <w:pPr>
        <w:jc w:val="both"/>
      </w:pPr>
    </w:p>
    <w:p w14:paraId="453436AB" w14:textId="2FC6A88F" w:rsidR="00B545DE" w:rsidRDefault="00B545DE" w:rsidP="00B545DE">
      <w:pPr>
        <w:jc w:val="both"/>
      </w:pPr>
      <w:r>
        <w:t>En lo que respecta al Ministerio de Comunicaciones, Infraestructura y Vivienda, su alto grado de ejecución (69.5%) se debe a las reprogramaciones correspondientes al Decreto</w:t>
      </w:r>
      <w:r w:rsidR="00492C4F">
        <w:t xml:space="preserve"> No.</w:t>
      </w:r>
      <w:r>
        <w:t xml:space="preserve"> 21-2022</w:t>
      </w:r>
      <w:r w:rsidR="00492C4F">
        <w:t xml:space="preserve"> del Congreso de la República, </w:t>
      </w:r>
      <w:r>
        <w:t xml:space="preserve">Ley para </w:t>
      </w:r>
      <w:r w:rsidR="00492C4F">
        <w:t>F</w:t>
      </w:r>
      <w:r>
        <w:t>ortalecer el Mantenimiento y Construcción de Infraestructura Estratégica, siendo los programas con mayor ejecución: la atención por desastres naturales y calamidades públicas (91.4%), el desarrollo de la infraestructura vial (75.2%) y los servicios aeronáuticos y aeroportuarios (58.4%).</w:t>
      </w:r>
    </w:p>
    <w:p w14:paraId="7F22175B" w14:textId="77777777" w:rsidR="00B545DE" w:rsidRDefault="00B545DE" w:rsidP="00B545DE">
      <w:pPr>
        <w:jc w:val="both"/>
      </w:pPr>
    </w:p>
    <w:p w14:paraId="59E70B13" w14:textId="35875B6D" w:rsidR="00B545DE" w:rsidRDefault="00B545DE" w:rsidP="00B545DE">
      <w:pPr>
        <w:jc w:val="both"/>
      </w:pPr>
      <w:r w:rsidRPr="00580C89">
        <w:t>Para el presente año, se espera un alto nivel de ejecución institucional</w:t>
      </w:r>
      <w:r w:rsidR="0001779E">
        <w:t>;</w:t>
      </w:r>
      <w:r w:rsidRPr="00580C89">
        <w:t xml:space="preserve"> el cierre estimado ubica el grado de ejecución en 9</w:t>
      </w:r>
      <w:r>
        <w:t>6.9</w:t>
      </w:r>
      <w:r w:rsidRPr="00580C89">
        <w:t>% (siendo el presupuesto vigente a junio</w:t>
      </w:r>
      <w:r w:rsidR="0001779E">
        <w:t xml:space="preserve"> </w:t>
      </w:r>
      <w:r w:rsidRPr="00580C89">
        <w:t>de Q</w:t>
      </w:r>
      <w:r w:rsidR="0001779E">
        <w:t>.</w:t>
      </w:r>
      <w:r w:rsidRPr="00580C89">
        <w:t>11</w:t>
      </w:r>
      <w:r>
        <w:t>8</w:t>
      </w:r>
      <w:r w:rsidRPr="00580C89">
        <w:t>,</w:t>
      </w:r>
      <w:r>
        <w:t>159</w:t>
      </w:r>
      <w:r w:rsidRPr="00580C89">
        <w:t>.</w:t>
      </w:r>
      <w:r>
        <w:t>7</w:t>
      </w:r>
      <w:r w:rsidRPr="00580C89">
        <w:t xml:space="preserve"> millones, con lo cual ascendería a Q</w:t>
      </w:r>
      <w:r w:rsidR="0040136A">
        <w:t>.</w:t>
      </w:r>
      <w:r w:rsidRPr="00580C89">
        <w:t>1</w:t>
      </w:r>
      <w:r>
        <w:t>14,453.5</w:t>
      </w:r>
      <w:r w:rsidRPr="00580C89">
        <w:t xml:space="preserve"> millones (incluyendo las amortizaciones de la deuda pública), esto representaría una ejecución mayor en Q</w:t>
      </w:r>
      <w:r w:rsidR="0040136A">
        <w:t>.</w:t>
      </w:r>
      <w:r>
        <w:t>5,861.3</w:t>
      </w:r>
      <w:r w:rsidRPr="00580C89">
        <w:t xml:space="preserve"> millones a la reportada en 202</w:t>
      </w:r>
      <w:r>
        <w:t>2</w:t>
      </w:r>
      <w:r w:rsidRPr="00580C89">
        <w:t>.</w:t>
      </w:r>
    </w:p>
    <w:p w14:paraId="0FA0AC0D" w14:textId="77777777" w:rsidR="00B545DE" w:rsidRDefault="00B545DE" w:rsidP="00B545DE">
      <w:pPr>
        <w:jc w:val="both"/>
      </w:pPr>
    </w:p>
    <w:p w14:paraId="21F52187" w14:textId="7BB33B37" w:rsidR="00B545DE" w:rsidRDefault="00B545DE" w:rsidP="00B545DE">
      <w:pPr>
        <w:jc w:val="both"/>
      </w:pPr>
      <w:r>
        <w:t xml:space="preserve">Se espera que la mayoría de entidades reporten niveles de ejecución altos, siendo lideradas por las entidades que históricamente reportan altos niveles de ejecución, como es el caso de las Obligaciones del Estado a Cargo del Tesoro, </w:t>
      </w:r>
      <w:r w:rsidR="0040136A">
        <w:t xml:space="preserve">Ministerio de </w:t>
      </w:r>
      <w:r>
        <w:t>Educación y los Servicios de la Deuda Pública, así como entidades con ejecuciones históricamente más modestas</w:t>
      </w:r>
      <w:r w:rsidR="0040136A">
        <w:t>,</w:t>
      </w:r>
      <w:r>
        <w:t xml:space="preserve"> como es el caso de</w:t>
      </w:r>
      <w:r w:rsidR="0040136A">
        <w:t>l Ministerio de</w:t>
      </w:r>
      <w:r>
        <w:t xml:space="preserve"> Comunicaciones, Infraestructura y Vivienda y </w:t>
      </w:r>
      <w:r w:rsidR="0040136A">
        <w:t xml:space="preserve">Ministerio de </w:t>
      </w:r>
      <w:r>
        <w:t>Energía y Minas.</w:t>
      </w:r>
    </w:p>
    <w:p w14:paraId="5413F15D" w14:textId="77777777" w:rsidR="00B545DE" w:rsidRDefault="00B545DE" w:rsidP="00B545DE">
      <w:pPr>
        <w:jc w:val="both"/>
      </w:pPr>
    </w:p>
    <w:p w14:paraId="1C1F54E7" w14:textId="68E753D5" w:rsidR="00B545DE" w:rsidRDefault="00B545DE" w:rsidP="00B545DE">
      <w:pPr>
        <w:jc w:val="both"/>
      </w:pPr>
      <w:r>
        <w:t xml:space="preserve">Por su parte, el Ministerio de Economía y </w:t>
      </w:r>
      <w:r w:rsidR="0040136A">
        <w:t xml:space="preserve">el </w:t>
      </w:r>
      <w:r>
        <w:t>Ministerio de Trabajo y Previsión Social reportaría</w:t>
      </w:r>
      <w:r w:rsidR="0040136A">
        <w:t>n</w:t>
      </w:r>
      <w:r>
        <w:t xml:space="preserve"> el nivel de ejecución más bajo, siendo de 82.0% y 81.0%</w:t>
      </w:r>
      <w:r w:rsidR="0040136A">
        <w:t>, respectivamente</w:t>
      </w:r>
      <w:r>
        <w:t>.</w:t>
      </w:r>
    </w:p>
    <w:p w14:paraId="7908ECC5" w14:textId="77777777" w:rsidR="00B545DE" w:rsidRDefault="00B545DE" w:rsidP="00B545DE">
      <w:pPr>
        <w:autoSpaceDE w:val="0"/>
        <w:autoSpaceDN w:val="0"/>
        <w:adjustRightInd w:val="0"/>
        <w:jc w:val="both"/>
      </w:pPr>
    </w:p>
    <w:p w14:paraId="1506930F" w14:textId="77777777" w:rsidR="00B545DE" w:rsidRDefault="00B545DE" w:rsidP="00B545DE">
      <w:pPr>
        <w:autoSpaceDE w:val="0"/>
        <w:autoSpaceDN w:val="0"/>
        <w:adjustRightInd w:val="0"/>
        <w:jc w:val="both"/>
      </w:pPr>
    </w:p>
    <w:p w14:paraId="384455F4" w14:textId="03D83D13" w:rsidR="00B545DE" w:rsidRPr="00E24023" w:rsidRDefault="00F6678C" w:rsidP="00B545DE">
      <w:pPr>
        <w:autoSpaceDE w:val="0"/>
        <w:autoSpaceDN w:val="0"/>
        <w:adjustRightInd w:val="0"/>
        <w:jc w:val="center"/>
        <w:rPr>
          <w:b/>
          <w:bCs/>
        </w:rPr>
      </w:pPr>
      <w:r>
        <w:rPr>
          <w:b/>
          <w:bCs/>
        </w:rPr>
        <w:t>Cuadro 23</w:t>
      </w:r>
      <w:r w:rsidR="00B545DE">
        <w:rPr>
          <w:b/>
          <w:bCs/>
        </w:rPr>
        <w:t xml:space="preserve">. </w:t>
      </w:r>
      <w:r w:rsidR="00B545DE" w:rsidRPr="00E24023">
        <w:rPr>
          <w:b/>
          <w:bCs/>
        </w:rPr>
        <w:t xml:space="preserve">Presupuesto y Estimación de </w:t>
      </w:r>
      <w:r w:rsidR="0040136A">
        <w:rPr>
          <w:b/>
          <w:bCs/>
        </w:rPr>
        <w:t>Cierre</w:t>
      </w:r>
      <w:r w:rsidR="00B545DE" w:rsidRPr="00E24023">
        <w:rPr>
          <w:b/>
          <w:bCs/>
        </w:rPr>
        <w:t xml:space="preserve"> por Entidad 202</w:t>
      </w:r>
      <w:r w:rsidR="00B545DE">
        <w:rPr>
          <w:b/>
          <w:bCs/>
        </w:rPr>
        <w:t>3</w:t>
      </w:r>
    </w:p>
    <w:p w14:paraId="30A251A0" w14:textId="1E6887F5" w:rsidR="00B545DE" w:rsidRPr="0040136A" w:rsidRDefault="0040136A" w:rsidP="00B545DE">
      <w:pPr>
        <w:autoSpaceDE w:val="0"/>
        <w:autoSpaceDN w:val="0"/>
        <w:adjustRightInd w:val="0"/>
        <w:jc w:val="center"/>
        <w:rPr>
          <w:b/>
          <w:bCs/>
          <w:szCs w:val="20"/>
        </w:rPr>
      </w:pPr>
      <w:r w:rsidRPr="0040136A">
        <w:rPr>
          <w:b/>
          <w:bCs/>
          <w:szCs w:val="20"/>
        </w:rPr>
        <w:t xml:space="preserve">(En </w:t>
      </w:r>
      <w:r w:rsidR="00B545DE" w:rsidRPr="0040136A">
        <w:rPr>
          <w:b/>
          <w:bCs/>
          <w:szCs w:val="20"/>
        </w:rPr>
        <w:t xml:space="preserve">Millones de </w:t>
      </w:r>
      <w:r w:rsidRPr="0040136A">
        <w:rPr>
          <w:b/>
          <w:bCs/>
          <w:szCs w:val="20"/>
        </w:rPr>
        <w:t>Q</w:t>
      </w:r>
      <w:r w:rsidR="00B545DE" w:rsidRPr="0040136A">
        <w:rPr>
          <w:b/>
          <w:bCs/>
          <w:szCs w:val="20"/>
        </w:rPr>
        <w:t>uetzales</w:t>
      </w:r>
      <w:r w:rsidRPr="0040136A">
        <w:rPr>
          <w:b/>
          <w:bCs/>
          <w:szCs w:val="20"/>
        </w:rPr>
        <w:t>)</w:t>
      </w:r>
    </w:p>
    <w:tbl>
      <w:tblPr>
        <w:tblW w:w="9346" w:type="dxa"/>
        <w:tblCellMar>
          <w:left w:w="70" w:type="dxa"/>
          <w:right w:w="70" w:type="dxa"/>
        </w:tblCellMar>
        <w:tblLook w:val="04A0" w:firstRow="1" w:lastRow="0" w:firstColumn="1" w:lastColumn="0" w:noHBand="0" w:noVBand="1"/>
      </w:tblPr>
      <w:tblGrid>
        <w:gridCol w:w="3818"/>
        <w:gridCol w:w="1275"/>
        <w:gridCol w:w="1276"/>
        <w:gridCol w:w="1559"/>
        <w:gridCol w:w="1418"/>
      </w:tblGrid>
      <w:tr w:rsidR="0040136A" w:rsidRPr="0040136A" w14:paraId="4C659834" w14:textId="77777777" w:rsidTr="00222BDF">
        <w:trPr>
          <w:trHeight w:val="20"/>
        </w:trPr>
        <w:tc>
          <w:tcPr>
            <w:tcW w:w="3818" w:type="dxa"/>
            <w:vMerge w:val="restart"/>
            <w:tcBorders>
              <w:top w:val="single" w:sz="8" w:space="0" w:color="auto"/>
              <w:left w:val="single" w:sz="8" w:space="0" w:color="auto"/>
              <w:bottom w:val="single" w:sz="8" w:space="0" w:color="000000"/>
              <w:right w:val="single" w:sz="8" w:space="0" w:color="auto"/>
            </w:tcBorders>
            <w:shd w:val="clear" w:color="auto" w:fill="00B0F0"/>
            <w:noWrap/>
            <w:vAlign w:val="center"/>
            <w:hideMark/>
          </w:tcPr>
          <w:p w14:paraId="5E2234C0" w14:textId="77777777" w:rsidR="00B545DE" w:rsidRPr="0040136A" w:rsidRDefault="00B545DE" w:rsidP="00B545DE">
            <w:pPr>
              <w:jc w:val="center"/>
              <w:rPr>
                <w:b/>
                <w:bCs/>
                <w:sz w:val="20"/>
                <w:szCs w:val="20"/>
                <w:lang w:val="es-GT" w:eastAsia="es-GT"/>
              </w:rPr>
            </w:pPr>
            <w:r w:rsidRPr="0040136A">
              <w:rPr>
                <w:b/>
                <w:bCs/>
                <w:sz w:val="20"/>
                <w:szCs w:val="20"/>
                <w:lang w:val="es-GT" w:eastAsia="es-GT"/>
              </w:rPr>
              <w:t>Entidad</w:t>
            </w:r>
          </w:p>
        </w:tc>
        <w:tc>
          <w:tcPr>
            <w:tcW w:w="2551" w:type="dxa"/>
            <w:gridSpan w:val="2"/>
            <w:tcBorders>
              <w:top w:val="single" w:sz="8" w:space="0" w:color="auto"/>
              <w:left w:val="nil"/>
              <w:bottom w:val="single" w:sz="8" w:space="0" w:color="auto"/>
              <w:right w:val="single" w:sz="8" w:space="0" w:color="000000"/>
            </w:tcBorders>
            <w:shd w:val="clear" w:color="auto" w:fill="00B0F0"/>
            <w:noWrap/>
            <w:vAlign w:val="center"/>
            <w:hideMark/>
          </w:tcPr>
          <w:p w14:paraId="614E8A7B" w14:textId="77777777" w:rsidR="00B545DE" w:rsidRPr="0040136A" w:rsidRDefault="00B545DE" w:rsidP="00B545DE">
            <w:pPr>
              <w:jc w:val="center"/>
              <w:rPr>
                <w:b/>
                <w:bCs/>
                <w:sz w:val="20"/>
                <w:szCs w:val="20"/>
                <w:lang w:val="es-GT" w:eastAsia="es-GT"/>
              </w:rPr>
            </w:pPr>
            <w:r w:rsidRPr="0040136A">
              <w:rPr>
                <w:b/>
                <w:bCs/>
                <w:sz w:val="20"/>
                <w:szCs w:val="20"/>
                <w:lang w:val="es-GT" w:eastAsia="es-GT"/>
              </w:rPr>
              <w:t xml:space="preserve">Presupuesto </w:t>
            </w:r>
          </w:p>
        </w:tc>
        <w:tc>
          <w:tcPr>
            <w:tcW w:w="1559" w:type="dxa"/>
            <w:vMerge w:val="restart"/>
            <w:tcBorders>
              <w:top w:val="single" w:sz="8" w:space="0" w:color="auto"/>
              <w:left w:val="nil"/>
              <w:bottom w:val="single" w:sz="8" w:space="0" w:color="000000"/>
              <w:right w:val="single" w:sz="8" w:space="0" w:color="auto"/>
            </w:tcBorders>
            <w:shd w:val="clear" w:color="auto" w:fill="00B0F0"/>
            <w:vAlign w:val="center"/>
            <w:hideMark/>
          </w:tcPr>
          <w:p w14:paraId="1D237DA2" w14:textId="65122B67" w:rsidR="00B545DE" w:rsidRPr="0040136A" w:rsidRDefault="00B545DE" w:rsidP="00B545DE">
            <w:pPr>
              <w:jc w:val="center"/>
              <w:rPr>
                <w:b/>
                <w:bCs/>
                <w:sz w:val="20"/>
                <w:szCs w:val="20"/>
                <w:lang w:val="es-GT" w:eastAsia="es-GT"/>
              </w:rPr>
            </w:pPr>
            <w:r w:rsidRPr="0040136A">
              <w:rPr>
                <w:b/>
                <w:bCs/>
                <w:sz w:val="20"/>
                <w:szCs w:val="20"/>
                <w:lang w:val="es-GT" w:eastAsia="es-GT"/>
              </w:rPr>
              <w:t xml:space="preserve">Ejecución a junio </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00B0F0"/>
            <w:vAlign w:val="center"/>
            <w:hideMark/>
          </w:tcPr>
          <w:p w14:paraId="7597675F" w14:textId="1CE43309" w:rsidR="00B545DE" w:rsidRPr="0040136A" w:rsidRDefault="00B545DE" w:rsidP="00B545DE">
            <w:pPr>
              <w:jc w:val="center"/>
              <w:rPr>
                <w:b/>
                <w:bCs/>
                <w:sz w:val="20"/>
                <w:szCs w:val="20"/>
                <w:lang w:val="es-GT" w:eastAsia="es-GT"/>
              </w:rPr>
            </w:pPr>
            <w:r w:rsidRPr="0040136A">
              <w:rPr>
                <w:b/>
                <w:bCs/>
                <w:sz w:val="20"/>
                <w:szCs w:val="20"/>
                <w:lang w:val="es-GT" w:eastAsia="es-GT"/>
              </w:rPr>
              <w:t xml:space="preserve">Estimación </w:t>
            </w:r>
            <w:r w:rsidR="0040136A" w:rsidRPr="0040136A">
              <w:rPr>
                <w:b/>
                <w:bCs/>
                <w:sz w:val="20"/>
                <w:szCs w:val="20"/>
                <w:lang w:val="es-GT" w:eastAsia="es-GT"/>
              </w:rPr>
              <w:t>de Cierre</w:t>
            </w:r>
          </w:p>
        </w:tc>
      </w:tr>
      <w:tr w:rsidR="00B545DE" w:rsidRPr="00843010" w14:paraId="30E9598D" w14:textId="77777777" w:rsidTr="00222BDF">
        <w:trPr>
          <w:trHeight w:val="13"/>
        </w:trPr>
        <w:tc>
          <w:tcPr>
            <w:tcW w:w="3818" w:type="dxa"/>
            <w:vMerge/>
            <w:tcBorders>
              <w:top w:val="single" w:sz="8" w:space="0" w:color="auto"/>
              <w:left w:val="single" w:sz="8" w:space="0" w:color="auto"/>
              <w:bottom w:val="single" w:sz="8" w:space="0" w:color="000000"/>
              <w:right w:val="single" w:sz="8" w:space="0" w:color="auto"/>
            </w:tcBorders>
            <w:vAlign w:val="center"/>
            <w:hideMark/>
          </w:tcPr>
          <w:p w14:paraId="708CE3EC" w14:textId="77777777" w:rsidR="00B545DE" w:rsidRPr="00843010" w:rsidRDefault="00B545DE" w:rsidP="00B545DE">
            <w:pPr>
              <w:rPr>
                <w:b/>
                <w:bCs/>
                <w:color w:val="FFFFFF"/>
                <w:sz w:val="20"/>
                <w:szCs w:val="20"/>
                <w:lang w:val="es-GT" w:eastAsia="es-GT"/>
              </w:rPr>
            </w:pPr>
          </w:p>
        </w:tc>
        <w:tc>
          <w:tcPr>
            <w:tcW w:w="1275" w:type="dxa"/>
            <w:tcBorders>
              <w:top w:val="nil"/>
              <w:left w:val="nil"/>
              <w:bottom w:val="single" w:sz="8" w:space="0" w:color="auto"/>
              <w:right w:val="single" w:sz="8" w:space="0" w:color="auto"/>
            </w:tcBorders>
            <w:shd w:val="clear" w:color="auto" w:fill="00B0F0"/>
            <w:noWrap/>
            <w:vAlign w:val="center"/>
            <w:hideMark/>
          </w:tcPr>
          <w:p w14:paraId="6810B730" w14:textId="77777777" w:rsidR="00B545DE" w:rsidRPr="0040136A" w:rsidRDefault="00B545DE" w:rsidP="00B545DE">
            <w:pPr>
              <w:jc w:val="center"/>
              <w:rPr>
                <w:b/>
                <w:bCs/>
                <w:sz w:val="20"/>
                <w:szCs w:val="20"/>
                <w:lang w:val="es-GT" w:eastAsia="es-GT"/>
              </w:rPr>
            </w:pPr>
            <w:r w:rsidRPr="0040136A">
              <w:rPr>
                <w:b/>
                <w:bCs/>
                <w:sz w:val="20"/>
                <w:szCs w:val="20"/>
                <w:lang w:val="es-GT" w:eastAsia="es-GT"/>
              </w:rPr>
              <w:t>Inicial</w:t>
            </w:r>
          </w:p>
        </w:tc>
        <w:tc>
          <w:tcPr>
            <w:tcW w:w="1276" w:type="dxa"/>
            <w:tcBorders>
              <w:top w:val="nil"/>
              <w:left w:val="nil"/>
              <w:bottom w:val="single" w:sz="8" w:space="0" w:color="auto"/>
              <w:right w:val="single" w:sz="8" w:space="0" w:color="auto"/>
            </w:tcBorders>
            <w:shd w:val="clear" w:color="auto" w:fill="00B0F0"/>
            <w:noWrap/>
            <w:vAlign w:val="center"/>
            <w:hideMark/>
          </w:tcPr>
          <w:p w14:paraId="6450A05A" w14:textId="77777777" w:rsidR="00B545DE" w:rsidRPr="0040136A" w:rsidRDefault="00B545DE" w:rsidP="00B545DE">
            <w:pPr>
              <w:jc w:val="center"/>
              <w:rPr>
                <w:b/>
                <w:bCs/>
                <w:sz w:val="20"/>
                <w:szCs w:val="20"/>
                <w:lang w:val="es-GT" w:eastAsia="es-GT"/>
              </w:rPr>
            </w:pPr>
            <w:r w:rsidRPr="0040136A">
              <w:rPr>
                <w:b/>
                <w:bCs/>
                <w:sz w:val="20"/>
                <w:szCs w:val="20"/>
                <w:lang w:val="es-GT" w:eastAsia="es-GT"/>
              </w:rPr>
              <w:t>Vigente</w:t>
            </w:r>
          </w:p>
        </w:tc>
        <w:tc>
          <w:tcPr>
            <w:tcW w:w="1559" w:type="dxa"/>
            <w:vMerge/>
            <w:tcBorders>
              <w:top w:val="single" w:sz="8" w:space="0" w:color="auto"/>
              <w:left w:val="nil"/>
              <w:bottom w:val="single" w:sz="8" w:space="0" w:color="000000"/>
              <w:right w:val="single" w:sz="8" w:space="0" w:color="auto"/>
            </w:tcBorders>
            <w:vAlign w:val="center"/>
            <w:hideMark/>
          </w:tcPr>
          <w:p w14:paraId="04247677" w14:textId="77777777" w:rsidR="00B545DE" w:rsidRPr="00843010" w:rsidRDefault="00B545DE" w:rsidP="00B545DE">
            <w:pPr>
              <w:rPr>
                <w:b/>
                <w:bCs/>
                <w:color w:val="FFFFFF"/>
                <w:sz w:val="20"/>
                <w:szCs w:val="20"/>
                <w:lang w:val="es-GT" w:eastAsia="es-GT"/>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14:paraId="05E15793" w14:textId="77777777" w:rsidR="00B545DE" w:rsidRPr="00843010" w:rsidRDefault="00B545DE" w:rsidP="00B545DE">
            <w:pPr>
              <w:rPr>
                <w:b/>
                <w:bCs/>
                <w:color w:val="FFFFFF"/>
                <w:sz w:val="20"/>
                <w:szCs w:val="20"/>
                <w:lang w:val="es-GT" w:eastAsia="es-GT"/>
              </w:rPr>
            </w:pPr>
          </w:p>
        </w:tc>
      </w:tr>
      <w:tr w:rsidR="00B545DE" w:rsidRPr="00843010" w14:paraId="3FB1FF5F" w14:textId="77777777" w:rsidTr="00222BDF">
        <w:trPr>
          <w:trHeight w:val="13"/>
        </w:trPr>
        <w:tc>
          <w:tcPr>
            <w:tcW w:w="3818" w:type="dxa"/>
            <w:tcBorders>
              <w:top w:val="nil"/>
              <w:left w:val="single" w:sz="8" w:space="0" w:color="auto"/>
              <w:right w:val="nil"/>
            </w:tcBorders>
            <w:shd w:val="clear" w:color="auto" w:fill="auto"/>
            <w:noWrap/>
            <w:vAlign w:val="center"/>
            <w:hideMark/>
          </w:tcPr>
          <w:p w14:paraId="031D4414" w14:textId="77777777" w:rsidR="00B545DE" w:rsidRPr="00843010" w:rsidRDefault="00B545DE" w:rsidP="00B545DE">
            <w:pPr>
              <w:jc w:val="center"/>
              <w:rPr>
                <w:b/>
                <w:bCs/>
                <w:color w:val="000000"/>
                <w:sz w:val="20"/>
                <w:szCs w:val="20"/>
                <w:lang w:val="es-GT" w:eastAsia="es-GT"/>
              </w:rPr>
            </w:pPr>
            <w:r w:rsidRPr="00843010">
              <w:rPr>
                <w:b/>
                <w:bCs/>
                <w:color w:val="000000"/>
                <w:sz w:val="20"/>
                <w:szCs w:val="20"/>
                <w:lang w:val="es-GT" w:eastAsia="es-GT"/>
              </w:rPr>
              <w:t>Total</w:t>
            </w:r>
          </w:p>
        </w:tc>
        <w:tc>
          <w:tcPr>
            <w:tcW w:w="1275" w:type="dxa"/>
            <w:tcBorders>
              <w:top w:val="nil"/>
              <w:left w:val="single" w:sz="8" w:space="0" w:color="auto"/>
              <w:right w:val="single" w:sz="8" w:space="0" w:color="auto"/>
            </w:tcBorders>
            <w:shd w:val="clear" w:color="auto" w:fill="auto"/>
            <w:vAlign w:val="center"/>
            <w:hideMark/>
          </w:tcPr>
          <w:p w14:paraId="14C95C2E" w14:textId="77777777" w:rsidR="00B545DE" w:rsidRPr="00843010" w:rsidRDefault="00B545DE" w:rsidP="00B545DE">
            <w:pPr>
              <w:jc w:val="center"/>
              <w:rPr>
                <w:b/>
                <w:bCs/>
                <w:color w:val="000000"/>
                <w:sz w:val="20"/>
                <w:szCs w:val="20"/>
                <w:lang w:val="es-GT" w:eastAsia="es-GT"/>
              </w:rPr>
            </w:pPr>
            <w:r w:rsidRPr="00843010">
              <w:rPr>
                <w:b/>
                <w:bCs/>
                <w:color w:val="000000"/>
                <w:sz w:val="20"/>
                <w:szCs w:val="20"/>
                <w:lang w:val="es-GT" w:eastAsia="es-GT"/>
              </w:rPr>
              <w:t>115,443.7</w:t>
            </w:r>
          </w:p>
        </w:tc>
        <w:tc>
          <w:tcPr>
            <w:tcW w:w="1276" w:type="dxa"/>
            <w:tcBorders>
              <w:top w:val="nil"/>
              <w:left w:val="nil"/>
              <w:right w:val="single" w:sz="8" w:space="0" w:color="auto"/>
            </w:tcBorders>
            <w:shd w:val="clear" w:color="auto" w:fill="auto"/>
            <w:noWrap/>
            <w:vAlign w:val="center"/>
            <w:hideMark/>
          </w:tcPr>
          <w:p w14:paraId="0BE20AF0" w14:textId="77777777" w:rsidR="00B545DE" w:rsidRPr="00843010" w:rsidRDefault="00B545DE" w:rsidP="00B545DE">
            <w:pPr>
              <w:jc w:val="center"/>
              <w:rPr>
                <w:b/>
                <w:bCs/>
                <w:color w:val="000000"/>
                <w:sz w:val="20"/>
                <w:szCs w:val="20"/>
                <w:lang w:val="es-GT" w:eastAsia="es-GT"/>
              </w:rPr>
            </w:pPr>
            <w:r w:rsidRPr="00843010">
              <w:rPr>
                <w:b/>
                <w:bCs/>
                <w:color w:val="000000"/>
                <w:sz w:val="20"/>
                <w:szCs w:val="20"/>
                <w:lang w:val="es-GT" w:eastAsia="es-GT"/>
              </w:rPr>
              <w:t>118,159.7</w:t>
            </w:r>
          </w:p>
        </w:tc>
        <w:tc>
          <w:tcPr>
            <w:tcW w:w="1559" w:type="dxa"/>
            <w:tcBorders>
              <w:top w:val="nil"/>
              <w:left w:val="nil"/>
              <w:right w:val="single" w:sz="8" w:space="0" w:color="auto"/>
            </w:tcBorders>
            <w:shd w:val="clear" w:color="auto" w:fill="auto"/>
            <w:noWrap/>
            <w:vAlign w:val="center"/>
            <w:hideMark/>
          </w:tcPr>
          <w:p w14:paraId="79CA4278" w14:textId="77777777" w:rsidR="00B545DE" w:rsidRPr="00843010" w:rsidRDefault="00B545DE" w:rsidP="00B545DE">
            <w:pPr>
              <w:jc w:val="center"/>
              <w:rPr>
                <w:b/>
                <w:bCs/>
                <w:color w:val="000000"/>
                <w:sz w:val="20"/>
                <w:szCs w:val="20"/>
                <w:lang w:val="es-GT" w:eastAsia="es-GT"/>
              </w:rPr>
            </w:pPr>
            <w:r w:rsidRPr="00843010">
              <w:rPr>
                <w:b/>
                <w:bCs/>
                <w:color w:val="000000"/>
                <w:sz w:val="20"/>
                <w:szCs w:val="20"/>
                <w:lang w:val="es-GT" w:eastAsia="es-GT"/>
              </w:rPr>
              <w:t>54,863.3</w:t>
            </w:r>
          </w:p>
        </w:tc>
        <w:tc>
          <w:tcPr>
            <w:tcW w:w="1418" w:type="dxa"/>
            <w:tcBorders>
              <w:top w:val="nil"/>
              <w:left w:val="nil"/>
              <w:right w:val="single" w:sz="8" w:space="0" w:color="auto"/>
            </w:tcBorders>
            <w:shd w:val="clear" w:color="auto" w:fill="auto"/>
            <w:noWrap/>
            <w:vAlign w:val="center"/>
            <w:hideMark/>
          </w:tcPr>
          <w:p w14:paraId="5F64F904" w14:textId="77777777" w:rsidR="00B545DE" w:rsidRPr="00843010" w:rsidRDefault="00B545DE" w:rsidP="00B545DE">
            <w:pPr>
              <w:jc w:val="center"/>
              <w:rPr>
                <w:b/>
                <w:bCs/>
                <w:color w:val="000000"/>
                <w:sz w:val="20"/>
                <w:szCs w:val="20"/>
                <w:lang w:val="es-GT" w:eastAsia="es-GT"/>
              </w:rPr>
            </w:pPr>
            <w:r w:rsidRPr="00843010">
              <w:rPr>
                <w:b/>
                <w:bCs/>
                <w:color w:val="000000"/>
                <w:sz w:val="20"/>
                <w:szCs w:val="20"/>
                <w:lang w:val="es-GT" w:eastAsia="es-GT"/>
              </w:rPr>
              <w:t>114,399.0</w:t>
            </w:r>
          </w:p>
        </w:tc>
      </w:tr>
      <w:tr w:rsidR="00B545DE" w:rsidRPr="00843010" w14:paraId="78DDD724" w14:textId="77777777" w:rsidTr="00222BDF">
        <w:trPr>
          <w:trHeight w:val="13"/>
        </w:trPr>
        <w:tc>
          <w:tcPr>
            <w:tcW w:w="3818" w:type="dxa"/>
            <w:tcBorders>
              <w:left w:val="single" w:sz="8" w:space="0" w:color="auto"/>
              <w:bottom w:val="nil"/>
              <w:right w:val="nil"/>
            </w:tcBorders>
            <w:shd w:val="clear" w:color="auto" w:fill="auto"/>
            <w:noWrap/>
            <w:vAlign w:val="center"/>
            <w:hideMark/>
          </w:tcPr>
          <w:p w14:paraId="2A9EAF16"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Presidencia de la República</w:t>
            </w:r>
          </w:p>
        </w:tc>
        <w:tc>
          <w:tcPr>
            <w:tcW w:w="1275" w:type="dxa"/>
            <w:tcBorders>
              <w:left w:val="single" w:sz="8" w:space="0" w:color="auto"/>
              <w:bottom w:val="nil"/>
              <w:right w:val="single" w:sz="8" w:space="0" w:color="auto"/>
            </w:tcBorders>
            <w:shd w:val="clear" w:color="auto" w:fill="auto"/>
            <w:vAlign w:val="center"/>
            <w:hideMark/>
          </w:tcPr>
          <w:p w14:paraId="24AFB516"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205.0</w:t>
            </w:r>
          </w:p>
        </w:tc>
        <w:tc>
          <w:tcPr>
            <w:tcW w:w="1276" w:type="dxa"/>
            <w:tcBorders>
              <w:left w:val="nil"/>
              <w:bottom w:val="nil"/>
              <w:right w:val="single" w:sz="8" w:space="0" w:color="auto"/>
            </w:tcBorders>
            <w:shd w:val="clear" w:color="auto" w:fill="auto"/>
            <w:noWrap/>
            <w:vAlign w:val="center"/>
            <w:hideMark/>
          </w:tcPr>
          <w:p w14:paraId="03C2DB85"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200.5</w:t>
            </w:r>
          </w:p>
        </w:tc>
        <w:tc>
          <w:tcPr>
            <w:tcW w:w="1559" w:type="dxa"/>
            <w:tcBorders>
              <w:left w:val="nil"/>
              <w:bottom w:val="nil"/>
              <w:right w:val="single" w:sz="8" w:space="0" w:color="auto"/>
            </w:tcBorders>
            <w:shd w:val="clear" w:color="auto" w:fill="auto"/>
            <w:noWrap/>
            <w:vAlign w:val="center"/>
            <w:hideMark/>
          </w:tcPr>
          <w:p w14:paraId="656C3E94"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93.5</w:t>
            </w:r>
          </w:p>
        </w:tc>
        <w:tc>
          <w:tcPr>
            <w:tcW w:w="1418" w:type="dxa"/>
            <w:tcBorders>
              <w:left w:val="nil"/>
              <w:bottom w:val="nil"/>
              <w:right w:val="single" w:sz="8" w:space="0" w:color="auto"/>
            </w:tcBorders>
            <w:shd w:val="clear" w:color="auto" w:fill="auto"/>
            <w:noWrap/>
            <w:vAlign w:val="center"/>
            <w:hideMark/>
          </w:tcPr>
          <w:p w14:paraId="04A995A0"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189.4</w:t>
            </w:r>
          </w:p>
        </w:tc>
      </w:tr>
      <w:tr w:rsidR="00B545DE" w:rsidRPr="00843010" w14:paraId="11EAF6D7"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71936CDF"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Relaciones Exteriores</w:t>
            </w:r>
          </w:p>
        </w:tc>
        <w:tc>
          <w:tcPr>
            <w:tcW w:w="1275" w:type="dxa"/>
            <w:tcBorders>
              <w:top w:val="nil"/>
              <w:left w:val="single" w:sz="8" w:space="0" w:color="auto"/>
              <w:bottom w:val="nil"/>
              <w:right w:val="single" w:sz="8" w:space="0" w:color="auto"/>
            </w:tcBorders>
            <w:shd w:val="clear" w:color="auto" w:fill="auto"/>
            <w:vAlign w:val="center"/>
            <w:hideMark/>
          </w:tcPr>
          <w:p w14:paraId="3FC49D53"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739.8</w:t>
            </w:r>
          </w:p>
        </w:tc>
        <w:tc>
          <w:tcPr>
            <w:tcW w:w="1276" w:type="dxa"/>
            <w:tcBorders>
              <w:top w:val="nil"/>
              <w:left w:val="nil"/>
              <w:bottom w:val="nil"/>
              <w:right w:val="single" w:sz="8" w:space="0" w:color="auto"/>
            </w:tcBorders>
            <w:shd w:val="clear" w:color="auto" w:fill="auto"/>
            <w:noWrap/>
            <w:vAlign w:val="center"/>
            <w:hideMark/>
          </w:tcPr>
          <w:p w14:paraId="74D44BCC"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739.7</w:t>
            </w:r>
          </w:p>
        </w:tc>
        <w:tc>
          <w:tcPr>
            <w:tcW w:w="1559" w:type="dxa"/>
            <w:tcBorders>
              <w:top w:val="nil"/>
              <w:left w:val="nil"/>
              <w:bottom w:val="nil"/>
              <w:right w:val="single" w:sz="8" w:space="0" w:color="auto"/>
            </w:tcBorders>
            <w:shd w:val="clear" w:color="auto" w:fill="auto"/>
            <w:noWrap/>
            <w:vAlign w:val="center"/>
            <w:hideMark/>
          </w:tcPr>
          <w:p w14:paraId="0F6CB85D"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321.0</w:t>
            </w:r>
          </w:p>
        </w:tc>
        <w:tc>
          <w:tcPr>
            <w:tcW w:w="1418" w:type="dxa"/>
            <w:tcBorders>
              <w:top w:val="nil"/>
              <w:left w:val="nil"/>
              <w:bottom w:val="nil"/>
              <w:right w:val="single" w:sz="8" w:space="0" w:color="auto"/>
            </w:tcBorders>
            <w:shd w:val="clear" w:color="auto" w:fill="auto"/>
            <w:noWrap/>
            <w:vAlign w:val="center"/>
            <w:hideMark/>
          </w:tcPr>
          <w:p w14:paraId="58E986F3"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695.5</w:t>
            </w:r>
          </w:p>
        </w:tc>
      </w:tr>
      <w:tr w:rsidR="00B545DE" w:rsidRPr="00843010" w14:paraId="4C2E56E8"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7E0C526B"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Gobernación</w:t>
            </w:r>
          </w:p>
        </w:tc>
        <w:tc>
          <w:tcPr>
            <w:tcW w:w="1275" w:type="dxa"/>
            <w:tcBorders>
              <w:top w:val="nil"/>
              <w:left w:val="single" w:sz="8" w:space="0" w:color="auto"/>
              <w:bottom w:val="nil"/>
              <w:right w:val="single" w:sz="8" w:space="0" w:color="auto"/>
            </w:tcBorders>
            <w:shd w:val="clear" w:color="auto" w:fill="auto"/>
            <w:vAlign w:val="center"/>
            <w:hideMark/>
          </w:tcPr>
          <w:p w14:paraId="39C2DB8A"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7,383.5</w:t>
            </w:r>
          </w:p>
        </w:tc>
        <w:tc>
          <w:tcPr>
            <w:tcW w:w="1276" w:type="dxa"/>
            <w:tcBorders>
              <w:top w:val="nil"/>
              <w:left w:val="nil"/>
              <w:bottom w:val="nil"/>
              <w:right w:val="single" w:sz="8" w:space="0" w:color="auto"/>
            </w:tcBorders>
            <w:shd w:val="clear" w:color="auto" w:fill="auto"/>
            <w:noWrap/>
            <w:vAlign w:val="center"/>
            <w:hideMark/>
          </w:tcPr>
          <w:p w14:paraId="036D22F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7,188.7</w:t>
            </w:r>
          </w:p>
        </w:tc>
        <w:tc>
          <w:tcPr>
            <w:tcW w:w="1559" w:type="dxa"/>
            <w:tcBorders>
              <w:top w:val="nil"/>
              <w:left w:val="nil"/>
              <w:bottom w:val="nil"/>
              <w:right w:val="single" w:sz="8" w:space="0" w:color="auto"/>
            </w:tcBorders>
            <w:shd w:val="clear" w:color="auto" w:fill="auto"/>
            <w:noWrap/>
            <w:vAlign w:val="center"/>
            <w:hideMark/>
          </w:tcPr>
          <w:p w14:paraId="0CE30B71"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3,139.0</w:t>
            </w:r>
          </w:p>
        </w:tc>
        <w:tc>
          <w:tcPr>
            <w:tcW w:w="1418" w:type="dxa"/>
            <w:tcBorders>
              <w:top w:val="nil"/>
              <w:left w:val="nil"/>
              <w:bottom w:val="nil"/>
              <w:right w:val="single" w:sz="8" w:space="0" w:color="auto"/>
            </w:tcBorders>
            <w:shd w:val="clear" w:color="auto" w:fill="auto"/>
            <w:noWrap/>
            <w:vAlign w:val="center"/>
            <w:hideMark/>
          </w:tcPr>
          <w:p w14:paraId="7D3A99E1"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6,740.7</w:t>
            </w:r>
          </w:p>
        </w:tc>
      </w:tr>
      <w:tr w:rsidR="00B545DE" w:rsidRPr="00843010" w14:paraId="31D93053"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28C8DA06"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Defensa Nacional</w:t>
            </w:r>
          </w:p>
        </w:tc>
        <w:tc>
          <w:tcPr>
            <w:tcW w:w="1275" w:type="dxa"/>
            <w:tcBorders>
              <w:top w:val="nil"/>
              <w:left w:val="single" w:sz="8" w:space="0" w:color="auto"/>
              <w:bottom w:val="nil"/>
              <w:right w:val="single" w:sz="8" w:space="0" w:color="auto"/>
            </w:tcBorders>
            <w:shd w:val="clear" w:color="auto" w:fill="auto"/>
            <w:vAlign w:val="center"/>
            <w:hideMark/>
          </w:tcPr>
          <w:p w14:paraId="3C60E68E"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3,222.3</w:t>
            </w:r>
          </w:p>
        </w:tc>
        <w:tc>
          <w:tcPr>
            <w:tcW w:w="1276" w:type="dxa"/>
            <w:tcBorders>
              <w:top w:val="nil"/>
              <w:left w:val="nil"/>
              <w:bottom w:val="nil"/>
              <w:right w:val="single" w:sz="8" w:space="0" w:color="auto"/>
            </w:tcBorders>
            <w:shd w:val="clear" w:color="auto" w:fill="auto"/>
            <w:noWrap/>
            <w:vAlign w:val="center"/>
            <w:hideMark/>
          </w:tcPr>
          <w:p w14:paraId="6C79AF46"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3,304.3</w:t>
            </w:r>
          </w:p>
        </w:tc>
        <w:tc>
          <w:tcPr>
            <w:tcW w:w="1559" w:type="dxa"/>
            <w:tcBorders>
              <w:top w:val="nil"/>
              <w:left w:val="nil"/>
              <w:bottom w:val="nil"/>
              <w:right w:val="single" w:sz="8" w:space="0" w:color="auto"/>
            </w:tcBorders>
            <w:shd w:val="clear" w:color="auto" w:fill="auto"/>
            <w:noWrap/>
            <w:vAlign w:val="center"/>
            <w:hideMark/>
          </w:tcPr>
          <w:p w14:paraId="1345FA88"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1,388.0</w:t>
            </w:r>
          </w:p>
        </w:tc>
        <w:tc>
          <w:tcPr>
            <w:tcW w:w="1418" w:type="dxa"/>
            <w:tcBorders>
              <w:top w:val="nil"/>
              <w:left w:val="nil"/>
              <w:bottom w:val="nil"/>
              <w:right w:val="single" w:sz="8" w:space="0" w:color="auto"/>
            </w:tcBorders>
            <w:shd w:val="clear" w:color="auto" w:fill="auto"/>
            <w:noWrap/>
            <w:vAlign w:val="center"/>
            <w:hideMark/>
          </w:tcPr>
          <w:p w14:paraId="7EA8EEAC"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3,132.9</w:t>
            </w:r>
          </w:p>
        </w:tc>
      </w:tr>
      <w:tr w:rsidR="00B545DE" w:rsidRPr="00843010" w14:paraId="0414AC10"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741FB318"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Finanzas Públicas</w:t>
            </w:r>
          </w:p>
        </w:tc>
        <w:tc>
          <w:tcPr>
            <w:tcW w:w="1275" w:type="dxa"/>
            <w:tcBorders>
              <w:top w:val="nil"/>
              <w:left w:val="single" w:sz="8" w:space="0" w:color="auto"/>
              <w:bottom w:val="nil"/>
              <w:right w:val="single" w:sz="8" w:space="0" w:color="auto"/>
            </w:tcBorders>
            <w:shd w:val="clear" w:color="auto" w:fill="auto"/>
            <w:vAlign w:val="center"/>
            <w:hideMark/>
          </w:tcPr>
          <w:p w14:paraId="7F26A2D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397.0</w:t>
            </w:r>
          </w:p>
        </w:tc>
        <w:tc>
          <w:tcPr>
            <w:tcW w:w="1276" w:type="dxa"/>
            <w:tcBorders>
              <w:top w:val="nil"/>
              <w:left w:val="nil"/>
              <w:bottom w:val="nil"/>
              <w:right w:val="single" w:sz="8" w:space="0" w:color="auto"/>
            </w:tcBorders>
            <w:shd w:val="clear" w:color="auto" w:fill="auto"/>
            <w:noWrap/>
            <w:vAlign w:val="center"/>
            <w:hideMark/>
          </w:tcPr>
          <w:p w14:paraId="08420D84"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397.0</w:t>
            </w:r>
          </w:p>
        </w:tc>
        <w:tc>
          <w:tcPr>
            <w:tcW w:w="1559" w:type="dxa"/>
            <w:tcBorders>
              <w:top w:val="nil"/>
              <w:left w:val="nil"/>
              <w:bottom w:val="nil"/>
              <w:right w:val="single" w:sz="8" w:space="0" w:color="auto"/>
            </w:tcBorders>
            <w:shd w:val="clear" w:color="auto" w:fill="auto"/>
            <w:noWrap/>
            <w:vAlign w:val="center"/>
            <w:hideMark/>
          </w:tcPr>
          <w:p w14:paraId="690D3AB8"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145.9</w:t>
            </w:r>
          </w:p>
        </w:tc>
        <w:tc>
          <w:tcPr>
            <w:tcW w:w="1418" w:type="dxa"/>
            <w:tcBorders>
              <w:top w:val="nil"/>
              <w:left w:val="nil"/>
              <w:bottom w:val="nil"/>
              <w:right w:val="single" w:sz="8" w:space="0" w:color="auto"/>
            </w:tcBorders>
            <w:shd w:val="clear" w:color="auto" w:fill="auto"/>
            <w:noWrap/>
            <w:vAlign w:val="center"/>
            <w:hideMark/>
          </w:tcPr>
          <w:p w14:paraId="3B92A6C5"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366.4</w:t>
            </w:r>
          </w:p>
        </w:tc>
      </w:tr>
      <w:tr w:rsidR="00B545DE" w:rsidRPr="00843010" w14:paraId="0ADBC88E"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281982C8"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 xml:space="preserve">Educación </w:t>
            </w:r>
          </w:p>
        </w:tc>
        <w:tc>
          <w:tcPr>
            <w:tcW w:w="1275" w:type="dxa"/>
            <w:tcBorders>
              <w:top w:val="nil"/>
              <w:left w:val="single" w:sz="8" w:space="0" w:color="auto"/>
              <w:bottom w:val="nil"/>
              <w:right w:val="single" w:sz="8" w:space="0" w:color="auto"/>
            </w:tcBorders>
            <w:shd w:val="clear" w:color="auto" w:fill="auto"/>
            <w:vAlign w:val="center"/>
            <w:hideMark/>
          </w:tcPr>
          <w:p w14:paraId="75BB097F"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22,254.4</w:t>
            </w:r>
          </w:p>
        </w:tc>
        <w:tc>
          <w:tcPr>
            <w:tcW w:w="1276" w:type="dxa"/>
            <w:tcBorders>
              <w:top w:val="nil"/>
              <w:left w:val="nil"/>
              <w:bottom w:val="nil"/>
              <w:right w:val="single" w:sz="8" w:space="0" w:color="auto"/>
            </w:tcBorders>
            <w:shd w:val="clear" w:color="auto" w:fill="auto"/>
            <w:noWrap/>
            <w:vAlign w:val="center"/>
            <w:hideMark/>
          </w:tcPr>
          <w:p w14:paraId="23683AFC"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22,018.4</w:t>
            </w:r>
          </w:p>
        </w:tc>
        <w:tc>
          <w:tcPr>
            <w:tcW w:w="1559" w:type="dxa"/>
            <w:tcBorders>
              <w:top w:val="nil"/>
              <w:left w:val="nil"/>
              <w:bottom w:val="nil"/>
              <w:right w:val="single" w:sz="8" w:space="0" w:color="auto"/>
            </w:tcBorders>
            <w:shd w:val="clear" w:color="auto" w:fill="auto"/>
            <w:noWrap/>
            <w:vAlign w:val="center"/>
            <w:hideMark/>
          </w:tcPr>
          <w:p w14:paraId="70AB941C"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10,514.6</w:t>
            </w:r>
          </w:p>
        </w:tc>
        <w:tc>
          <w:tcPr>
            <w:tcW w:w="1418" w:type="dxa"/>
            <w:tcBorders>
              <w:top w:val="nil"/>
              <w:left w:val="nil"/>
              <w:bottom w:val="nil"/>
              <w:right w:val="single" w:sz="8" w:space="0" w:color="auto"/>
            </w:tcBorders>
            <w:shd w:val="clear" w:color="auto" w:fill="auto"/>
            <w:noWrap/>
            <w:vAlign w:val="center"/>
            <w:hideMark/>
          </w:tcPr>
          <w:p w14:paraId="015DE9B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21,759.8</w:t>
            </w:r>
          </w:p>
        </w:tc>
      </w:tr>
      <w:tr w:rsidR="00B545DE" w:rsidRPr="00843010" w14:paraId="67EE7EB0"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2CA9B679"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Salud Pública y Asistencia Social</w:t>
            </w:r>
          </w:p>
        </w:tc>
        <w:tc>
          <w:tcPr>
            <w:tcW w:w="1275" w:type="dxa"/>
            <w:tcBorders>
              <w:top w:val="nil"/>
              <w:left w:val="single" w:sz="8" w:space="0" w:color="auto"/>
              <w:bottom w:val="nil"/>
              <w:right w:val="single" w:sz="8" w:space="0" w:color="auto"/>
            </w:tcBorders>
            <w:shd w:val="clear" w:color="auto" w:fill="auto"/>
            <w:vAlign w:val="center"/>
            <w:hideMark/>
          </w:tcPr>
          <w:p w14:paraId="05C9F87F"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12,053.4</w:t>
            </w:r>
          </w:p>
        </w:tc>
        <w:tc>
          <w:tcPr>
            <w:tcW w:w="1276" w:type="dxa"/>
            <w:tcBorders>
              <w:top w:val="nil"/>
              <w:left w:val="nil"/>
              <w:bottom w:val="nil"/>
              <w:right w:val="single" w:sz="8" w:space="0" w:color="auto"/>
            </w:tcBorders>
            <w:shd w:val="clear" w:color="auto" w:fill="auto"/>
            <w:noWrap/>
            <w:vAlign w:val="center"/>
            <w:hideMark/>
          </w:tcPr>
          <w:p w14:paraId="304EC245"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11,690.4</w:t>
            </w:r>
          </w:p>
        </w:tc>
        <w:tc>
          <w:tcPr>
            <w:tcW w:w="1559" w:type="dxa"/>
            <w:tcBorders>
              <w:top w:val="nil"/>
              <w:left w:val="nil"/>
              <w:bottom w:val="nil"/>
              <w:right w:val="single" w:sz="8" w:space="0" w:color="auto"/>
            </w:tcBorders>
            <w:shd w:val="clear" w:color="auto" w:fill="auto"/>
            <w:noWrap/>
            <w:vAlign w:val="center"/>
            <w:hideMark/>
          </w:tcPr>
          <w:p w14:paraId="587F8DA5"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4,933.0</w:t>
            </w:r>
          </w:p>
        </w:tc>
        <w:tc>
          <w:tcPr>
            <w:tcW w:w="1418" w:type="dxa"/>
            <w:tcBorders>
              <w:top w:val="nil"/>
              <w:left w:val="nil"/>
              <w:bottom w:val="nil"/>
              <w:right w:val="single" w:sz="8" w:space="0" w:color="auto"/>
            </w:tcBorders>
            <w:shd w:val="clear" w:color="auto" w:fill="auto"/>
            <w:noWrap/>
            <w:vAlign w:val="center"/>
            <w:hideMark/>
          </w:tcPr>
          <w:p w14:paraId="3069DA75"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10,714.0</w:t>
            </w:r>
          </w:p>
        </w:tc>
      </w:tr>
      <w:tr w:rsidR="00B545DE" w:rsidRPr="00843010" w14:paraId="583B6209"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437F0B04"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Trabajo y Previsión Social</w:t>
            </w:r>
          </w:p>
        </w:tc>
        <w:tc>
          <w:tcPr>
            <w:tcW w:w="1275" w:type="dxa"/>
            <w:tcBorders>
              <w:top w:val="nil"/>
              <w:left w:val="single" w:sz="8" w:space="0" w:color="auto"/>
              <w:bottom w:val="nil"/>
              <w:right w:val="single" w:sz="8" w:space="0" w:color="auto"/>
            </w:tcBorders>
            <w:shd w:val="clear" w:color="auto" w:fill="auto"/>
            <w:vAlign w:val="center"/>
            <w:hideMark/>
          </w:tcPr>
          <w:p w14:paraId="7BD67390"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1,073.6</w:t>
            </w:r>
          </w:p>
        </w:tc>
        <w:tc>
          <w:tcPr>
            <w:tcW w:w="1276" w:type="dxa"/>
            <w:tcBorders>
              <w:top w:val="nil"/>
              <w:left w:val="nil"/>
              <w:bottom w:val="nil"/>
              <w:right w:val="single" w:sz="8" w:space="0" w:color="auto"/>
            </w:tcBorders>
            <w:shd w:val="clear" w:color="auto" w:fill="auto"/>
            <w:noWrap/>
            <w:vAlign w:val="center"/>
            <w:hideMark/>
          </w:tcPr>
          <w:p w14:paraId="6D1C56B8"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1,413.5</w:t>
            </w:r>
          </w:p>
        </w:tc>
        <w:tc>
          <w:tcPr>
            <w:tcW w:w="1559" w:type="dxa"/>
            <w:tcBorders>
              <w:top w:val="nil"/>
              <w:left w:val="nil"/>
              <w:bottom w:val="nil"/>
              <w:right w:val="single" w:sz="8" w:space="0" w:color="auto"/>
            </w:tcBorders>
            <w:shd w:val="clear" w:color="auto" w:fill="auto"/>
            <w:noWrap/>
            <w:vAlign w:val="center"/>
            <w:hideMark/>
          </w:tcPr>
          <w:p w14:paraId="7337B0F9"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543.3</w:t>
            </w:r>
          </w:p>
        </w:tc>
        <w:tc>
          <w:tcPr>
            <w:tcW w:w="1418" w:type="dxa"/>
            <w:tcBorders>
              <w:top w:val="nil"/>
              <w:left w:val="nil"/>
              <w:bottom w:val="nil"/>
              <w:right w:val="single" w:sz="8" w:space="0" w:color="auto"/>
            </w:tcBorders>
            <w:shd w:val="clear" w:color="auto" w:fill="auto"/>
            <w:noWrap/>
            <w:vAlign w:val="center"/>
            <w:hideMark/>
          </w:tcPr>
          <w:p w14:paraId="3A8D4275"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1,145.2</w:t>
            </w:r>
          </w:p>
        </w:tc>
      </w:tr>
      <w:tr w:rsidR="00B545DE" w:rsidRPr="00843010" w14:paraId="2BD3E8DB"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792CE3CF"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Economía</w:t>
            </w:r>
          </w:p>
        </w:tc>
        <w:tc>
          <w:tcPr>
            <w:tcW w:w="1275" w:type="dxa"/>
            <w:tcBorders>
              <w:top w:val="nil"/>
              <w:left w:val="single" w:sz="8" w:space="0" w:color="auto"/>
              <w:bottom w:val="nil"/>
              <w:right w:val="single" w:sz="8" w:space="0" w:color="auto"/>
            </w:tcBorders>
            <w:shd w:val="clear" w:color="auto" w:fill="auto"/>
            <w:vAlign w:val="center"/>
            <w:hideMark/>
          </w:tcPr>
          <w:p w14:paraId="4A2C75A8"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497.0</w:t>
            </w:r>
          </w:p>
        </w:tc>
        <w:tc>
          <w:tcPr>
            <w:tcW w:w="1276" w:type="dxa"/>
            <w:tcBorders>
              <w:top w:val="nil"/>
              <w:left w:val="nil"/>
              <w:bottom w:val="nil"/>
              <w:right w:val="single" w:sz="8" w:space="0" w:color="auto"/>
            </w:tcBorders>
            <w:shd w:val="clear" w:color="auto" w:fill="auto"/>
            <w:noWrap/>
            <w:vAlign w:val="center"/>
            <w:hideMark/>
          </w:tcPr>
          <w:p w14:paraId="26AA98CE"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493.0</w:t>
            </w:r>
          </w:p>
        </w:tc>
        <w:tc>
          <w:tcPr>
            <w:tcW w:w="1559" w:type="dxa"/>
            <w:tcBorders>
              <w:top w:val="nil"/>
              <w:left w:val="nil"/>
              <w:bottom w:val="nil"/>
              <w:right w:val="single" w:sz="8" w:space="0" w:color="auto"/>
            </w:tcBorders>
            <w:shd w:val="clear" w:color="auto" w:fill="auto"/>
            <w:noWrap/>
            <w:vAlign w:val="center"/>
            <w:hideMark/>
          </w:tcPr>
          <w:p w14:paraId="79B4EA74"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194.1</w:t>
            </w:r>
          </w:p>
        </w:tc>
        <w:tc>
          <w:tcPr>
            <w:tcW w:w="1418" w:type="dxa"/>
            <w:tcBorders>
              <w:top w:val="nil"/>
              <w:left w:val="nil"/>
              <w:bottom w:val="nil"/>
              <w:right w:val="single" w:sz="8" w:space="0" w:color="auto"/>
            </w:tcBorders>
            <w:shd w:val="clear" w:color="auto" w:fill="auto"/>
            <w:noWrap/>
            <w:vAlign w:val="center"/>
            <w:hideMark/>
          </w:tcPr>
          <w:p w14:paraId="2C935941"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404.4</w:t>
            </w:r>
          </w:p>
        </w:tc>
      </w:tr>
      <w:tr w:rsidR="00B545DE" w:rsidRPr="00843010" w14:paraId="5B4FA85C"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7B98F604"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Agricultura, Ganadería y Alimentación</w:t>
            </w:r>
          </w:p>
        </w:tc>
        <w:tc>
          <w:tcPr>
            <w:tcW w:w="1275" w:type="dxa"/>
            <w:tcBorders>
              <w:top w:val="nil"/>
              <w:left w:val="single" w:sz="8" w:space="0" w:color="auto"/>
              <w:bottom w:val="nil"/>
              <w:right w:val="single" w:sz="8" w:space="0" w:color="auto"/>
            </w:tcBorders>
            <w:shd w:val="clear" w:color="auto" w:fill="auto"/>
            <w:vAlign w:val="center"/>
            <w:hideMark/>
          </w:tcPr>
          <w:p w14:paraId="3622FD33"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1,514.2</w:t>
            </w:r>
          </w:p>
        </w:tc>
        <w:tc>
          <w:tcPr>
            <w:tcW w:w="1276" w:type="dxa"/>
            <w:tcBorders>
              <w:top w:val="nil"/>
              <w:left w:val="nil"/>
              <w:bottom w:val="nil"/>
              <w:right w:val="single" w:sz="8" w:space="0" w:color="auto"/>
            </w:tcBorders>
            <w:shd w:val="clear" w:color="auto" w:fill="auto"/>
            <w:noWrap/>
            <w:vAlign w:val="center"/>
            <w:hideMark/>
          </w:tcPr>
          <w:p w14:paraId="77587034"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1,553.7</w:t>
            </w:r>
          </w:p>
        </w:tc>
        <w:tc>
          <w:tcPr>
            <w:tcW w:w="1559" w:type="dxa"/>
            <w:tcBorders>
              <w:top w:val="nil"/>
              <w:left w:val="nil"/>
              <w:bottom w:val="nil"/>
              <w:right w:val="single" w:sz="8" w:space="0" w:color="auto"/>
            </w:tcBorders>
            <w:shd w:val="clear" w:color="auto" w:fill="auto"/>
            <w:noWrap/>
            <w:vAlign w:val="center"/>
            <w:hideMark/>
          </w:tcPr>
          <w:p w14:paraId="16D58390"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752.7</w:t>
            </w:r>
          </w:p>
        </w:tc>
        <w:tc>
          <w:tcPr>
            <w:tcW w:w="1418" w:type="dxa"/>
            <w:tcBorders>
              <w:top w:val="nil"/>
              <w:left w:val="nil"/>
              <w:bottom w:val="nil"/>
              <w:right w:val="single" w:sz="8" w:space="0" w:color="auto"/>
            </w:tcBorders>
            <w:shd w:val="clear" w:color="auto" w:fill="auto"/>
            <w:noWrap/>
            <w:vAlign w:val="center"/>
            <w:hideMark/>
          </w:tcPr>
          <w:p w14:paraId="1824EAC8"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1,503.9</w:t>
            </w:r>
          </w:p>
        </w:tc>
      </w:tr>
      <w:tr w:rsidR="00B545DE" w:rsidRPr="00843010" w14:paraId="5E889D6A"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19FAC9FC"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Comunicaciones, Infraestructura y Vivienda</w:t>
            </w:r>
          </w:p>
        </w:tc>
        <w:tc>
          <w:tcPr>
            <w:tcW w:w="1275" w:type="dxa"/>
            <w:tcBorders>
              <w:top w:val="nil"/>
              <w:left w:val="single" w:sz="8" w:space="0" w:color="auto"/>
              <w:bottom w:val="nil"/>
              <w:right w:val="single" w:sz="8" w:space="0" w:color="auto"/>
            </w:tcBorders>
            <w:shd w:val="clear" w:color="auto" w:fill="auto"/>
            <w:vAlign w:val="center"/>
            <w:hideMark/>
          </w:tcPr>
          <w:p w14:paraId="452385FD"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5,791.6</w:t>
            </w:r>
          </w:p>
        </w:tc>
        <w:tc>
          <w:tcPr>
            <w:tcW w:w="1276" w:type="dxa"/>
            <w:tcBorders>
              <w:top w:val="nil"/>
              <w:left w:val="nil"/>
              <w:bottom w:val="nil"/>
              <w:right w:val="single" w:sz="8" w:space="0" w:color="auto"/>
            </w:tcBorders>
            <w:shd w:val="clear" w:color="auto" w:fill="auto"/>
            <w:noWrap/>
            <w:vAlign w:val="center"/>
            <w:hideMark/>
          </w:tcPr>
          <w:p w14:paraId="7ED812A6"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7,537.1</w:t>
            </w:r>
          </w:p>
        </w:tc>
        <w:tc>
          <w:tcPr>
            <w:tcW w:w="1559" w:type="dxa"/>
            <w:tcBorders>
              <w:top w:val="nil"/>
              <w:left w:val="nil"/>
              <w:bottom w:val="nil"/>
              <w:right w:val="single" w:sz="8" w:space="0" w:color="auto"/>
            </w:tcBorders>
            <w:shd w:val="clear" w:color="auto" w:fill="auto"/>
            <w:noWrap/>
            <w:vAlign w:val="center"/>
            <w:hideMark/>
          </w:tcPr>
          <w:p w14:paraId="42505F0B"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5,240.3</w:t>
            </w:r>
          </w:p>
        </w:tc>
        <w:tc>
          <w:tcPr>
            <w:tcW w:w="1418" w:type="dxa"/>
            <w:tcBorders>
              <w:top w:val="nil"/>
              <w:left w:val="nil"/>
              <w:bottom w:val="nil"/>
              <w:right w:val="single" w:sz="8" w:space="0" w:color="auto"/>
            </w:tcBorders>
            <w:shd w:val="clear" w:color="auto" w:fill="auto"/>
            <w:noWrap/>
            <w:vAlign w:val="center"/>
            <w:hideMark/>
          </w:tcPr>
          <w:p w14:paraId="205B02D6"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7,156.1</w:t>
            </w:r>
          </w:p>
        </w:tc>
      </w:tr>
      <w:tr w:rsidR="00B545DE" w:rsidRPr="00843010" w14:paraId="3690BCCC"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3A0BC4E6"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Energía y Minas</w:t>
            </w:r>
          </w:p>
        </w:tc>
        <w:tc>
          <w:tcPr>
            <w:tcW w:w="1275" w:type="dxa"/>
            <w:tcBorders>
              <w:top w:val="nil"/>
              <w:left w:val="single" w:sz="8" w:space="0" w:color="auto"/>
              <w:bottom w:val="nil"/>
              <w:right w:val="single" w:sz="8" w:space="0" w:color="auto"/>
            </w:tcBorders>
            <w:shd w:val="clear" w:color="auto" w:fill="auto"/>
            <w:vAlign w:val="center"/>
            <w:hideMark/>
          </w:tcPr>
          <w:p w14:paraId="708D79C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92.7</w:t>
            </w:r>
          </w:p>
        </w:tc>
        <w:tc>
          <w:tcPr>
            <w:tcW w:w="1276" w:type="dxa"/>
            <w:tcBorders>
              <w:top w:val="nil"/>
              <w:left w:val="nil"/>
              <w:bottom w:val="nil"/>
              <w:right w:val="single" w:sz="8" w:space="0" w:color="auto"/>
            </w:tcBorders>
            <w:shd w:val="clear" w:color="auto" w:fill="auto"/>
            <w:noWrap/>
            <w:vAlign w:val="center"/>
            <w:hideMark/>
          </w:tcPr>
          <w:p w14:paraId="7E85B968"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314.4</w:t>
            </w:r>
          </w:p>
        </w:tc>
        <w:tc>
          <w:tcPr>
            <w:tcW w:w="1559" w:type="dxa"/>
            <w:tcBorders>
              <w:top w:val="nil"/>
              <w:left w:val="nil"/>
              <w:bottom w:val="nil"/>
              <w:right w:val="single" w:sz="8" w:space="0" w:color="auto"/>
            </w:tcBorders>
            <w:shd w:val="clear" w:color="auto" w:fill="auto"/>
            <w:noWrap/>
            <w:vAlign w:val="center"/>
            <w:hideMark/>
          </w:tcPr>
          <w:p w14:paraId="6B26BD32"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255.8</w:t>
            </w:r>
          </w:p>
        </w:tc>
        <w:tc>
          <w:tcPr>
            <w:tcW w:w="1418" w:type="dxa"/>
            <w:tcBorders>
              <w:top w:val="nil"/>
              <w:left w:val="nil"/>
              <w:bottom w:val="nil"/>
              <w:right w:val="single" w:sz="8" w:space="0" w:color="auto"/>
            </w:tcBorders>
            <w:shd w:val="clear" w:color="auto" w:fill="auto"/>
            <w:noWrap/>
            <w:vAlign w:val="center"/>
            <w:hideMark/>
          </w:tcPr>
          <w:p w14:paraId="48350F1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310.0</w:t>
            </w:r>
          </w:p>
        </w:tc>
      </w:tr>
      <w:tr w:rsidR="00B545DE" w:rsidRPr="00843010" w14:paraId="65B05AA6"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69A7B6F9"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Cultura y Deportes</w:t>
            </w:r>
          </w:p>
        </w:tc>
        <w:tc>
          <w:tcPr>
            <w:tcW w:w="1275" w:type="dxa"/>
            <w:tcBorders>
              <w:top w:val="nil"/>
              <w:left w:val="single" w:sz="8" w:space="0" w:color="auto"/>
              <w:bottom w:val="nil"/>
              <w:right w:val="single" w:sz="8" w:space="0" w:color="auto"/>
            </w:tcBorders>
            <w:shd w:val="clear" w:color="auto" w:fill="auto"/>
            <w:vAlign w:val="center"/>
            <w:hideMark/>
          </w:tcPr>
          <w:p w14:paraId="622358A1"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672.7</w:t>
            </w:r>
          </w:p>
        </w:tc>
        <w:tc>
          <w:tcPr>
            <w:tcW w:w="1276" w:type="dxa"/>
            <w:tcBorders>
              <w:top w:val="nil"/>
              <w:left w:val="nil"/>
              <w:bottom w:val="nil"/>
              <w:right w:val="single" w:sz="8" w:space="0" w:color="auto"/>
            </w:tcBorders>
            <w:shd w:val="clear" w:color="auto" w:fill="auto"/>
            <w:noWrap/>
            <w:vAlign w:val="center"/>
            <w:hideMark/>
          </w:tcPr>
          <w:p w14:paraId="010C0118"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775.7</w:t>
            </w:r>
          </w:p>
        </w:tc>
        <w:tc>
          <w:tcPr>
            <w:tcW w:w="1559" w:type="dxa"/>
            <w:tcBorders>
              <w:top w:val="nil"/>
              <w:left w:val="nil"/>
              <w:bottom w:val="nil"/>
              <w:right w:val="single" w:sz="8" w:space="0" w:color="auto"/>
            </w:tcBorders>
            <w:shd w:val="clear" w:color="auto" w:fill="auto"/>
            <w:noWrap/>
            <w:vAlign w:val="center"/>
            <w:hideMark/>
          </w:tcPr>
          <w:p w14:paraId="449298B6"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401.8</w:t>
            </w:r>
          </w:p>
        </w:tc>
        <w:tc>
          <w:tcPr>
            <w:tcW w:w="1418" w:type="dxa"/>
            <w:tcBorders>
              <w:top w:val="nil"/>
              <w:left w:val="nil"/>
              <w:bottom w:val="nil"/>
              <w:right w:val="single" w:sz="8" w:space="0" w:color="auto"/>
            </w:tcBorders>
            <w:shd w:val="clear" w:color="auto" w:fill="auto"/>
            <w:noWrap/>
            <w:vAlign w:val="center"/>
            <w:hideMark/>
          </w:tcPr>
          <w:p w14:paraId="46F9514A"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754.0</w:t>
            </w:r>
          </w:p>
        </w:tc>
      </w:tr>
      <w:tr w:rsidR="00B545DE" w:rsidRPr="00843010" w14:paraId="4CFCC6B1"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3992792F" w14:textId="1B5F92B3" w:rsidR="00B545DE" w:rsidRPr="00843010" w:rsidRDefault="00B545DE" w:rsidP="00B545DE">
            <w:pPr>
              <w:rPr>
                <w:color w:val="000000"/>
                <w:sz w:val="20"/>
                <w:szCs w:val="20"/>
                <w:lang w:val="es-GT" w:eastAsia="es-GT"/>
              </w:rPr>
            </w:pPr>
            <w:r w:rsidRPr="00843010">
              <w:rPr>
                <w:color w:val="000000"/>
                <w:sz w:val="20"/>
                <w:szCs w:val="20"/>
                <w:lang w:val="es-GT" w:eastAsia="es-GT"/>
              </w:rPr>
              <w:t>Secretarías y Dependencias del Ejecutivo</w:t>
            </w:r>
          </w:p>
        </w:tc>
        <w:tc>
          <w:tcPr>
            <w:tcW w:w="1275" w:type="dxa"/>
            <w:tcBorders>
              <w:top w:val="nil"/>
              <w:left w:val="single" w:sz="8" w:space="0" w:color="auto"/>
              <w:bottom w:val="nil"/>
              <w:right w:val="single" w:sz="8" w:space="0" w:color="auto"/>
            </w:tcBorders>
            <w:shd w:val="clear" w:color="auto" w:fill="auto"/>
            <w:vAlign w:val="center"/>
            <w:hideMark/>
          </w:tcPr>
          <w:p w14:paraId="433FC29C"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1,432.8</w:t>
            </w:r>
          </w:p>
        </w:tc>
        <w:tc>
          <w:tcPr>
            <w:tcW w:w="1276" w:type="dxa"/>
            <w:tcBorders>
              <w:top w:val="nil"/>
              <w:left w:val="nil"/>
              <w:bottom w:val="nil"/>
              <w:right w:val="single" w:sz="8" w:space="0" w:color="auto"/>
            </w:tcBorders>
            <w:shd w:val="clear" w:color="auto" w:fill="auto"/>
            <w:noWrap/>
            <w:vAlign w:val="center"/>
            <w:hideMark/>
          </w:tcPr>
          <w:p w14:paraId="0019BFE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1,436.9</w:t>
            </w:r>
          </w:p>
        </w:tc>
        <w:tc>
          <w:tcPr>
            <w:tcW w:w="1559" w:type="dxa"/>
            <w:tcBorders>
              <w:top w:val="nil"/>
              <w:left w:val="nil"/>
              <w:bottom w:val="nil"/>
              <w:right w:val="single" w:sz="8" w:space="0" w:color="auto"/>
            </w:tcBorders>
            <w:shd w:val="clear" w:color="auto" w:fill="auto"/>
            <w:noWrap/>
            <w:vAlign w:val="center"/>
            <w:hideMark/>
          </w:tcPr>
          <w:p w14:paraId="76E3C39A"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623.5</w:t>
            </w:r>
          </w:p>
        </w:tc>
        <w:tc>
          <w:tcPr>
            <w:tcW w:w="1418" w:type="dxa"/>
            <w:tcBorders>
              <w:top w:val="nil"/>
              <w:left w:val="nil"/>
              <w:bottom w:val="nil"/>
              <w:right w:val="single" w:sz="8" w:space="0" w:color="auto"/>
            </w:tcBorders>
            <w:shd w:val="clear" w:color="auto" w:fill="auto"/>
            <w:noWrap/>
            <w:vAlign w:val="center"/>
            <w:hideMark/>
          </w:tcPr>
          <w:p w14:paraId="1AD3DE1D"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1,283.0</w:t>
            </w:r>
          </w:p>
        </w:tc>
      </w:tr>
      <w:tr w:rsidR="00B545DE" w:rsidRPr="00843010" w14:paraId="1311052C"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185F4B12"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Ambiente y Recursos Naturales</w:t>
            </w:r>
          </w:p>
        </w:tc>
        <w:tc>
          <w:tcPr>
            <w:tcW w:w="1275" w:type="dxa"/>
            <w:tcBorders>
              <w:top w:val="nil"/>
              <w:left w:val="single" w:sz="8" w:space="0" w:color="auto"/>
              <w:bottom w:val="nil"/>
              <w:right w:val="single" w:sz="8" w:space="0" w:color="auto"/>
            </w:tcBorders>
            <w:shd w:val="clear" w:color="auto" w:fill="auto"/>
            <w:vAlign w:val="center"/>
            <w:hideMark/>
          </w:tcPr>
          <w:p w14:paraId="1ACFB20E"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277.6</w:t>
            </w:r>
          </w:p>
        </w:tc>
        <w:tc>
          <w:tcPr>
            <w:tcW w:w="1276" w:type="dxa"/>
            <w:tcBorders>
              <w:top w:val="nil"/>
              <w:left w:val="nil"/>
              <w:bottom w:val="nil"/>
              <w:right w:val="single" w:sz="8" w:space="0" w:color="auto"/>
            </w:tcBorders>
            <w:shd w:val="clear" w:color="auto" w:fill="auto"/>
            <w:noWrap/>
            <w:vAlign w:val="center"/>
            <w:hideMark/>
          </w:tcPr>
          <w:p w14:paraId="2CEE85A0"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277.2</w:t>
            </w:r>
          </w:p>
        </w:tc>
        <w:tc>
          <w:tcPr>
            <w:tcW w:w="1559" w:type="dxa"/>
            <w:tcBorders>
              <w:top w:val="nil"/>
              <w:left w:val="nil"/>
              <w:bottom w:val="nil"/>
              <w:right w:val="single" w:sz="8" w:space="0" w:color="auto"/>
            </w:tcBorders>
            <w:shd w:val="clear" w:color="auto" w:fill="auto"/>
            <w:noWrap/>
            <w:vAlign w:val="center"/>
            <w:hideMark/>
          </w:tcPr>
          <w:p w14:paraId="558909FD"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80.1</w:t>
            </w:r>
          </w:p>
        </w:tc>
        <w:tc>
          <w:tcPr>
            <w:tcW w:w="1418" w:type="dxa"/>
            <w:tcBorders>
              <w:top w:val="nil"/>
              <w:left w:val="nil"/>
              <w:bottom w:val="nil"/>
              <w:right w:val="single" w:sz="8" w:space="0" w:color="auto"/>
            </w:tcBorders>
            <w:shd w:val="clear" w:color="auto" w:fill="auto"/>
            <w:noWrap/>
            <w:vAlign w:val="center"/>
            <w:hideMark/>
          </w:tcPr>
          <w:p w14:paraId="055117F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241.8</w:t>
            </w:r>
          </w:p>
        </w:tc>
      </w:tr>
      <w:tr w:rsidR="00B545DE" w:rsidRPr="00843010" w14:paraId="70B7448B"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0F00236F"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Obligaciones del Estado a Cargo del Tesoro</w:t>
            </w:r>
          </w:p>
        </w:tc>
        <w:tc>
          <w:tcPr>
            <w:tcW w:w="1275" w:type="dxa"/>
            <w:tcBorders>
              <w:top w:val="nil"/>
              <w:left w:val="single" w:sz="8" w:space="0" w:color="auto"/>
              <w:bottom w:val="nil"/>
              <w:right w:val="single" w:sz="8" w:space="0" w:color="auto"/>
            </w:tcBorders>
            <w:shd w:val="clear" w:color="auto" w:fill="auto"/>
            <w:vAlign w:val="center"/>
            <w:hideMark/>
          </w:tcPr>
          <w:p w14:paraId="135C0084"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40,114.0</w:t>
            </w:r>
          </w:p>
        </w:tc>
        <w:tc>
          <w:tcPr>
            <w:tcW w:w="1276" w:type="dxa"/>
            <w:tcBorders>
              <w:top w:val="nil"/>
              <w:left w:val="nil"/>
              <w:bottom w:val="nil"/>
              <w:right w:val="single" w:sz="8" w:space="0" w:color="auto"/>
            </w:tcBorders>
            <w:shd w:val="clear" w:color="auto" w:fill="auto"/>
            <w:noWrap/>
            <w:vAlign w:val="center"/>
            <w:hideMark/>
          </w:tcPr>
          <w:p w14:paraId="4B8C7B5B"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40,767.0</w:t>
            </w:r>
          </w:p>
        </w:tc>
        <w:tc>
          <w:tcPr>
            <w:tcW w:w="1559" w:type="dxa"/>
            <w:tcBorders>
              <w:top w:val="nil"/>
              <w:left w:val="nil"/>
              <w:bottom w:val="nil"/>
              <w:right w:val="single" w:sz="8" w:space="0" w:color="auto"/>
            </w:tcBorders>
            <w:shd w:val="clear" w:color="auto" w:fill="auto"/>
            <w:noWrap/>
            <w:vAlign w:val="center"/>
            <w:hideMark/>
          </w:tcPr>
          <w:p w14:paraId="67651CC3"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17,535.0</w:t>
            </w:r>
          </w:p>
        </w:tc>
        <w:tc>
          <w:tcPr>
            <w:tcW w:w="1418" w:type="dxa"/>
            <w:tcBorders>
              <w:top w:val="nil"/>
              <w:left w:val="nil"/>
              <w:bottom w:val="nil"/>
              <w:right w:val="single" w:sz="8" w:space="0" w:color="auto"/>
            </w:tcBorders>
            <w:shd w:val="clear" w:color="auto" w:fill="auto"/>
            <w:noWrap/>
            <w:vAlign w:val="center"/>
            <w:hideMark/>
          </w:tcPr>
          <w:p w14:paraId="2D0D425A"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40,367.0</w:t>
            </w:r>
          </w:p>
        </w:tc>
      </w:tr>
      <w:tr w:rsidR="00B545DE" w:rsidRPr="00843010" w14:paraId="42A2AB85"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41CD7E22"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Servicios de la Deuda Pública</w:t>
            </w:r>
          </w:p>
        </w:tc>
        <w:tc>
          <w:tcPr>
            <w:tcW w:w="1275" w:type="dxa"/>
            <w:tcBorders>
              <w:top w:val="nil"/>
              <w:left w:val="single" w:sz="8" w:space="0" w:color="auto"/>
              <w:bottom w:val="nil"/>
              <w:right w:val="single" w:sz="8" w:space="0" w:color="auto"/>
            </w:tcBorders>
            <w:shd w:val="clear" w:color="auto" w:fill="auto"/>
            <w:vAlign w:val="center"/>
            <w:hideMark/>
          </w:tcPr>
          <w:p w14:paraId="036CBF1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16,141.7</w:t>
            </w:r>
          </w:p>
        </w:tc>
        <w:tc>
          <w:tcPr>
            <w:tcW w:w="1276" w:type="dxa"/>
            <w:tcBorders>
              <w:top w:val="nil"/>
              <w:left w:val="nil"/>
              <w:bottom w:val="nil"/>
              <w:right w:val="single" w:sz="8" w:space="0" w:color="auto"/>
            </w:tcBorders>
            <w:shd w:val="clear" w:color="auto" w:fill="auto"/>
            <w:noWrap/>
            <w:vAlign w:val="center"/>
            <w:hideMark/>
          </w:tcPr>
          <w:p w14:paraId="7DEB7592"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16,141.7</w:t>
            </w:r>
          </w:p>
        </w:tc>
        <w:tc>
          <w:tcPr>
            <w:tcW w:w="1559" w:type="dxa"/>
            <w:tcBorders>
              <w:top w:val="nil"/>
              <w:left w:val="nil"/>
              <w:bottom w:val="nil"/>
              <w:right w:val="single" w:sz="8" w:space="0" w:color="auto"/>
            </w:tcBorders>
            <w:shd w:val="clear" w:color="auto" w:fill="auto"/>
            <w:noWrap/>
            <w:vAlign w:val="center"/>
            <w:hideMark/>
          </w:tcPr>
          <w:p w14:paraId="4D0A6649"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7,834.2</w:t>
            </w:r>
          </w:p>
        </w:tc>
        <w:tc>
          <w:tcPr>
            <w:tcW w:w="1418" w:type="dxa"/>
            <w:tcBorders>
              <w:top w:val="nil"/>
              <w:left w:val="nil"/>
              <w:bottom w:val="nil"/>
              <w:right w:val="single" w:sz="8" w:space="0" w:color="auto"/>
            </w:tcBorders>
            <w:shd w:val="clear" w:color="auto" w:fill="auto"/>
            <w:noWrap/>
            <w:vAlign w:val="center"/>
            <w:hideMark/>
          </w:tcPr>
          <w:p w14:paraId="2302EF4A"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15,810.8</w:t>
            </w:r>
          </w:p>
        </w:tc>
      </w:tr>
      <w:tr w:rsidR="00B545DE" w:rsidRPr="00843010" w14:paraId="4345A3D4" w14:textId="77777777" w:rsidTr="00222BDF">
        <w:trPr>
          <w:trHeight w:val="13"/>
        </w:trPr>
        <w:tc>
          <w:tcPr>
            <w:tcW w:w="3818" w:type="dxa"/>
            <w:tcBorders>
              <w:top w:val="nil"/>
              <w:left w:val="single" w:sz="8" w:space="0" w:color="auto"/>
              <w:bottom w:val="nil"/>
              <w:right w:val="nil"/>
            </w:tcBorders>
            <w:shd w:val="clear" w:color="auto" w:fill="auto"/>
            <w:noWrap/>
            <w:vAlign w:val="center"/>
            <w:hideMark/>
          </w:tcPr>
          <w:p w14:paraId="759AEBA6"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Ministerio de Desarrollo Social</w:t>
            </w:r>
          </w:p>
        </w:tc>
        <w:tc>
          <w:tcPr>
            <w:tcW w:w="1275" w:type="dxa"/>
            <w:tcBorders>
              <w:top w:val="nil"/>
              <w:left w:val="single" w:sz="8" w:space="0" w:color="auto"/>
              <w:bottom w:val="nil"/>
              <w:right w:val="single" w:sz="8" w:space="0" w:color="auto"/>
            </w:tcBorders>
            <w:shd w:val="clear" w:color="auto" w:fill="auto"/>
            <w:vAlign w:val="center"/>
            <w:hideMark/>
          </w:tcPr>
          <w:p w14:paraId="534F3371"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1,428.1</w:t>
            </w:r>
          </w:p>
        </w:tc>
        <w:tc>
          <w:tcPr>
            <w:tcW w:w="1276" w:type="dxa"/>
            <w:tcBorders>
              <w:top w:val="nil"/>
              <w:left w:val="nil"/>
              <w:bottom w:val="nil"/>
              <w:right w:val="single" w:sz="8" w:space="0" w:color="auto"/>
            </w:tcBorders>
            <w:shd w:val="clear" w:color="auto" w:fill="auto"/>
            <w:noWrap/>
            <w:vAlign w:val="center"/>
            <w:hideMark/>
          </w:tcPr>
          <w:p w14:paraId="207564DF"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1,758.1</w:t>
            </w:r>
          </w:p>
        </w:tc>
        <w:tc>
          <w:tcPr>
            <w:tcW w:w="1559" w:type="dxa"/>
            <w:tcBorders>
              <w:top w:val="nil"/>
              <w:left w:val="nil"/>
              <w:bottom w:val="nil"/>
              <w:right w:val="single" w:sz="8" w:space="0" w:color="auto"/>
            </w:tcBorders>
            <w:shd w:val="clear" w:color="auto" w:fill="auto"/>
            <w:noWrap/>
            <w:vAlign w:val="center"/>
            <w:hideMark/>
          </w:tcPr>
          <w:p w14:paraId="52AB8B4A"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796.5</w:t>
            </w:r>
          </w:p>
        </w:tc>
        <w:tc>
          <w:tcPr>
            <w:tcW w:w="1418" w:type="dxa"/>
            <w:tcBorders>
              <w:top w:val="nil"/>
              <w:left w:val="nil"/>
              <w:bottom w:val="nil"/>
              <w:right w:val="single" w:sz="8" w:space="0" w:color="auto"/>
            </w:tcBorders>
            <w:shd w:val="clear" w:color="auto" w:fill="auto"/>
            <w:noWrap/>
            <w:vAlign w:val="center"/>
            <w:hideMark/>
          </w:tcPr>
          <w:p w14:paraId="1A0B6C4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1,677.5</w:t>
            </w:r>
          </w:p>
        </w:tc>
      </w:tr>
      <w:tr w:rsidR="00B545DE" w:rsidRPr="00843010" w14:paraId="7352A5E1" w14:textId="77777777" w:rsidTr="00222BDF">
        <w:trPr>
          <w:trHeight w:val="13"/>
        </w:trPr>
        <w:tc>
          <w:tcPr>
            <w:tcW w:w="3818" w:type="dxa"/>
            <w:tcBorders>
              <w:top w:val="nil"/>
              <w:left w:val="single" w:sz="8" w:space="0" w:color="auto"/>
              <w:bottom w:val="single" w:sz="8" w:space="0" w:color="auto"/>
              <w:right w:val="nil"/>
            </w:tcBorders>
            <w:shd w:val="clear" w:color="auto" w:fill="auto"/>
            <w:noWrap/>
            <w:vAlign w:val="center"/>
            <w:hideMark/>
          </w:tcPr>
          <w:p w14:paraId="61AAD328" w14:textId="77777777" w:rsidR="00B545DE" w:rsidRPr="00843010" w:rsidRDefault="00B545DE" w:rsidP="00B545DE">
            <w:pPr>
              <w:rPr>
                <w:color w:val="000000"/>
                <w:sz w:val="20"/>
                <w:szCs w:val="20"/>
                <w:lang w:val="es-GT" w:eastAsia="es-GT"/>
              </w:rPr>
            </w:pPr>
            <w:r w:rsidRPr="00843010">
              <w:rPr>
                <w:color w:val="000000"/>
                <w:sz w:val="20"/>
                <w:szCs w:val="20"/>
                <w:lang w:val="es-GT" w:eastAsia="es-GT"/>
              </w:rPr>
              <w:t>Procuraduría General de la Nación</w:t>
            </w:r>
          </w:p>
        </w:tc>
        <w:tc>
          <w:tcPr>
            <w:tcW w:w="1275" w:type="dxa"/>
            <w:tcBorders>
              <w:top w:val="nil"/>
              <w:left w:val="single" w:sz="8" w:space="0" w:color="auto"/>
              <w:bottom w:val="single" w:sz="8" w:space="0" w:color="auto"/>
              <w:right w:val="single" w:sz="8" w:space="0" w:color="auto"/>
            </w:tcBorders>
            <w:shd w:val="clear" w:color="auto" w:fill="auto"/>
            <w:vAlign w:val="center"/>
            <w:hideMark/>
          </w:tcPr>
          <w:p w14:paraId="717388E2"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152.3</w:t>
            </w:r>
          </w:p>
        </w:tc>
        <w:tc>
          <w:tcPr>
            <w:tcW w:w="1276" w:type="dxa"/>
            <w:tcBorders>
              <w:top w:val="nil"/>
              <w:left w:val="nil"/>
              <w:bottom w:val="single" w:sz="8" w:space="0" w:color="auto"/>
              <w:right w:val="single" w:sz="8" w:space="0" w:color="auto"/>
            </w:tcBorders>
            <w:shd w:val="clear" w:color="auto" w:fill="auto"/>
            <w:noWrap/>
            <w:vAlign w:val="center"/>
            <w:hideMark/>
          </w:tcPr>
          <w:p w14:paraId="785740C2"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152.3</w:t>
            </w:r>
          </w:p>
        </w:tc>
        <w:tc>
          <w:tcPr>
            <w:tcW w:w="1559" w:type="dxa"/>
            <w:tcBorders>
              <w:top w:val="nil"/>
              <w:left w:val="nil"/>
              <w:bottom w:val="single" w:sz="8" w:space="0" w:color="auto"/>
              <w:right w:val="single" w:sz="8" w:space="0" w:color="auto"/>
            </w:tcBorders>
            <w:shd w:val="clear" w:color="auto" w:fill="auto"/>
            <w:noWrap/>
            <w:vAlign w:val="center"/>
            <w:hideMark/>
          </w:tcPr>
          <w:p w14:paraId="465C39A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71.1</w:t>
            </w:r>
          </w:p>
        </w:tc>
        <w:tc>
          <w:tcPr>
            <w:tcW w:w="1418" w:type="dxa"/>
            <w:tcBorders>
              <w:top w:val="nil"/>
              <w:left w:val="nil"/>
              <w:bottom w:val="single" w:sz="8" w:space="0" w:color="auto"/>
              <w:right w:val="single" w:sz="8" w:space="0" w:color="auto"/>
            </w:tcBorders>
            <w:shd w:val="clear" w:color="auto" w:fill="auto"/>
            <w:noWrap/>
            <w:vAlign w:val="center"/>
            <w:hideMark/>
          </w:tcPr>
          <w:p w14:paraId="5B1C9A27" w14:textId="77777777" w:rsidR="00B545DE" w:rsidRPr="00843010" w:rsidRDefault="00B545DE" w:rsidP="00B545DE">
            <w:pPr>
              <w:jc w:val="center"/>
              <w:rPr>
                <w:color w:val="000000"/>
                <w:sz w:val="20"/>
                <w:szCs w:val="20"/>
                <w:lang w:val="es-GT" w:eastAsia="es-GT"/>
              </w:rPr>
            </w:pPr>
            <w:r w:rsidRPr="00843010">
              <w:rPr>
                <w:color w:val="000000"/>
                <w:sz w:val="20"/>
                <w:szCs w:val="20"/>
                <w:lang w:val="es-GT" w:eastAsia="es-GT"/>
              </w:rPr>
              <w:t>146.6</w:t>
            </w:r>
          </w:p>
        </w:tc>
      </w:tr>
    </w:tbl>
    <w:p w14:paraId="44B28F2A" w14:textId="17806B24" w:rsidR="00B545DE" w:rsidRDefault="00B545DE" w:rsidP="00B545DE">
      <w:pPr>
        <w:autoSpaceDE w:val="0"/>
        <w:autoSpaceDN w:val="0"/>
        <w:adjustRightInd w:val="0"/>
        <w:jc w:val="both"/>
        <w:rPr>
          <w:sz w:val="18"/>
        </w:rPr>
      </w:pPr>
      <w:r w:rsidRPr="00222BDF">
        <w:rPr>
          <w:sz w:val="18"/>
        </w:rPr>
        <w:t xml:space="preserve">Fuente: </w:t>
      </w:r>
      <w:r w:rsidR="00222BDF">
        <w:rPr>
          <w:sz w:val="18"/>
        </w:rPr>
        <w:t>Ministerio de Finanzas Públicas.</w:t>
      </w:r>
    </w:p>
    <w:p w14:paraId="349B057E" w14:textId="3A2E7C34" w:rsidR="00222BDF" w:rsidRDefault="00222BDF" w:rsidP="00B545DE">
      <w:pPr>
        <w:autoSpaceDE w:val="0"/>
        <w:autoSpaceDN w:val="0"/>
        <w:adjustRightInd w:val="0"/>
        <w:jc w:val="both"/>
        <w:rPr>
          <w:sz w:val="18"/>
        </w:rPr>
      </w:pPr>
    </w:p>
    <w:p w14:paraId="245FB108" w14:textId="77777777" w:rsidR="00222BDF" w:rsidRPr="00222BDF" w:rsidRDefault="00222BDF" w:rsidP="00B545DE">
      <w:pPr>
        <w:autoSpaceDE w:val="0"/>
        <w:autoSpaceDN w:val="0"/>
        <w:adjustRightInd w:val="0"/>
        <w:jc w:val="both"/>
        <w:rPr>
          <w:sz w:val="18"/>
        </w:rPr>
      </w:pPr>
    </w:p>
    <w:p w14:paraId="112B23CA" w14:textId="77777777" w:rsidR="00B545DE" w:rsidRPr="00AD03E4" w:rsidRDefault="00B545DE" w:rsidP="008B27EA">
      <w:pPr>
        <w:pStyle w:val="Ttulo3"/>
        <w:numPr>
          <w:ilvl w:val="0"/>
          <w:numId w:val="14"/>
        </w:numPr>
        <w:ind w:left="284"/>
        <w:rPr>
          <w:color w:val="auto"/>
        </w:rPr>
      </w:pPr>
      <w:bookmarkStart w:id="72" w:name="_Toc142549357"/>
      <w:bookmarkStart w:id="73" w:name="_Toc142920565"/>
      <w:r w:rsidRPr="00AD03E4">
        <w:rPr>
          <w:color w:val="auto"/>
        </w:rPr>
        <w:t>Gasto por Finalidad</w:t>
      </w:r>
      <w:bookmarkEnd w:id="72"/>
      <w:bookmarkEnd w:id="73"/>
    </w:p>
    <w:p w14:paraId="3F08B494" w14:textId="77777777" w:rsidR="00B545DE" w:rsidRDefault="00B545DE" w:rsidP="00B545DE">
      <w:pPr>
        <w:autoSpaceDE w:val="0"/>
        <w:autoSpaceDN w:val="0"/>
        <w:adjustRightInd w:val="0"/>
        <w:jc w:val="both"/>
        <w:rPr>
          <w:b/>
        </w:rPr>
      </w:pPr>
    </w:p>
    <w:p w14:paraId="4C047472" w14:textId="77777777" w:rsidR="00B545DE" w:rsidRDefault="00B545DE" w:rsidP="00B545DE">
      <w:pPr>
        <w:autoSpaceDE w:val="0"/>
        <w:autoSpaceDN w:val="0"/>
        <w:adjustRightInd w:val="0"/>
        <w:jc w:val="both"/>
      </w:pPr>
      <w:r w:rsidRPr="0074156B">
        <w:t>La finalidad del gasto, permite visualizar el gasto público de acuerdo a la naturaleza de los servicios públicos que las entidades que conforman la Administración Central prestan a la ciudadanía. Los gastos se encuentran clasificados por finalidad para determinar objetivos generales de la política de gobierno y la ejecución que se muestra en los diferentes rubros da cuenta de la priorización.</w:t>
      </w:r>
    </w:p>
    <w:p w14:paraId="61F41BB8" w14:textId="77777777" w:rsidR="00B545DE" w:rsidRDefault="00B545DE" w:rsidP="00B545DE">
      <w:pPr>
        <w:autoSpaceDE w:val="0"/>
        <w:autoSpaceDN w:val="0"/>
        <w:adjustRightInd w:val="0"/>
        <w:jc w:val="both"/>
      </w:pPr>
    </w:p>
    <w:p w14:paraId="6CD847AB" w14:textId="77777777" w:rsidR="00B545DE" w:rsidRDefault="00B545DE" w:rsidP="00B545DE">
      <w:pPr>
        <w:autoSpaceDE w:val="0"/>
        <w:autoSpaceDN w:val="0"/>
        <w:adjustRightInd w:val="0"/>
        <w:jc w:val="both"/>
      </w:pPr>
      <w:r>
        <w:t>L</w:t>
      </w:r>
      <w:r w:rsidRPr="00E4238F">
        <w:t xml:space="preserve">as finalidades </w:t>
      </w:r>
      <w:r>
        <w:t xml:space="preserve">que </w:t>
      </w:r>
      <w:r w:rsidRPr="00E4238F">
        <w:t>se encuentran liderando la ejecución a junio</w:t>
      </w:r>
      <w:r>
        <w:t xml:space="preserve"> son:</w:t>
      </w:r>
      <w:r w:rsidRPr="005014FC">
        <w:t xml:space="preserve"> </w:t>
      </w:r>
      <w:r>
        <w:t xml:space="preserve">los Asuntos Económicos (63.0%) y la Atención a Desastres y Gestión de Riesgos (59.0%), la cual se considera importante dado que en esta finalidad se reportan las intervenciones realizadas por la Calamidad Pública por la Emergencia del COVID-19, por la Depresión Tropical ETA, por la Época Lluviosa, Temporada Ciclónica y Sistemas de Baja Presión y por los Efectos de la Época Lluviosa y el Ciclón Tropical Julia. </w:t>
      </w:r>
    </w:p>
    <w:p w14:paraId="4042658E" w14:textId="77777777" w:rsidR="00B545DE" w:rsidRDefault="00B545DE" w:rsidP="00B545DE">
      <w:pPr>
        <w:autoSpaceDE w:val="0"/>
        <w:autoSpaceDN w:val="0"/>
        <w:adjustRightInd w:val="0"/>
        <w:jc w:val="both"/>
      </w:pPr>
    </w:p>
    <w:p w14:paraId="4E3ECAEE" w14:textId="77777777" w:rsidR="00B545DE" w:rsidRDefault="00B545DE" w:rsidP="00B545DE">
      <w:pPr>
        <w:autoSpaceDE w:val="0"/>
        <w:autoSpaceDN w:val="0"/>
        <w:adjustRightInd w:val="0"/>
        <w:jc w:val="both"/>
      </w:pPr>
      <w:r>
        <w:t xml:space="preserve">Seguidamente se encuentran las </w:t>
      </w:r>
      <w:r w:rsidRPr="005014FC">
        <w:t xml:space="preserve">Transacciones de la Deuda Pública </w:t>
      </w:r>
      <w:r>
        <w:t xml:space="preserve">con un </w:t>
      </w:r>
      <w:r w:rsidRPr="005014FC">
        <w:t xml:space="preserve">nivel de ejecución </w:t>
      </w:r>
      <w:r>
        <w:t xml:space="preserve">de </w:t>
      </w:r>
      <w:r w:rsidRPr="005014FC">
        <w:t>4</w:t>
      </w:r>
      <w:r>
        <w:t>8</w:t>
      </w:r>
      <w:r w:rsidRPr="005014FC">
        <w:t>.</w:t>
      </w:r>
      <w:r>
        <w:t>5</w:t>
      </w:r>
      <w:r w:rsidRPr="005014FC">
        <w:t>%</w:t>
      </w:r>
      <w:r>
        <w:t>,</w:t>
      </w:r>
      <w:r w:rsidRPr="005014FC">
        <w:t xml:space="preserve"> dem</w:t>
      </w:r>
      <w:r>
        <w:t>os</w:t>
      </w:r>
      <w:r w:rsidRPr="005014FC">
        <w:t>tra</w:t>
      </w:r>
      <w:r>
        <w:t>ndo</w:t>
      </w:r>
      <w:r w:rsidRPr="005014FC">
        <w:t xml:space="preserve"> el compromiso del Gobierno de Guatemala por hacer frente a sus compromisos de pagos de deuda pública, lo cual le da credibilidad ante sus acreedores nacionales e internacionales.</w:t>
      </w:r>
      <w:r>
        <w:t xml:space="preserve"> Luego se encuentra la finalidad de Protección Social con un nivel de ejecución de 46.7%, siendo una finalidad que concentra programas de importancia como el apoyo para el consumo adecuado de alimentos, la atención al adulto mayor, desarrollo de la vivienda, entre otros que buscan el bienestar social de la población guatemalteca.</w:t>
      </w:r>
    </w:p>
    <w:p w14:paraId="59FBFE33" w14:textId="2A418857" w:rsidR="00B545DE" w:rsidRDefault="00B545DE" w:rsidP="00B545DE">
      <w:pPr>
        <w:autoSpaceDE w:val="0"/>
        <w:autoSpaceDN w:val="0"/>
        <w:adjustRightInd w:val="0"/>
        <w:jc w:val="both"/>
      </w:pPr>
    </w:p>
    <w:p w14:paraId="2F1834AB" w14:textId="77777777" w:rsidR="00533929" w:rsidRDefault="00533929" w:rsidP="00B545DE">
      <w:pPr>
        <w:autoSpaceDE w:val="0"/>
        <w:autoSpaceDN w:val="0"/>
        <w:adjustRightInd w:val="0"/>
        <w:jc w:val="both"/>
      </w:pPr>
    </w:p>
    <w:p w14:paraId="3353E064" w14:textId="77777777" w:rsidR="00B545DE" w:rsidRDefault="00B545DE" w:rsidP="00B545DE">
      <w:pPr>
        <w:autoSpaceDE w:val="0"/>
        <w:autoSpaceDN w:val="0"/>
        <w:adjustRightInd w:val="0"/>
        <w:jc w:val="both"/>
      </w:pPr>
      <w:r>
        <w:t>Por su parte la finalidad de Educación tiene un nivel de ejecución de 46.4%, seguido de Urbanización y Servicios Comunitarios (46.2%), Actividades Deportivas, Recreativas, Cultura y Religión (44.8%) y Defensa (44.8%).</w:t>
      </w:r>
    </w:p>
    <w:p w14:paraId="33D42B74" w14:textId="77777777" w:rsidR="00B545DE" w:rsidRDefault="00B545DE" w:rsidP="00B545DE">
      <w:pPr>
        <w:autoSpaceDE w:val="0"/>
        <w:autoSpaceDN w:val="0"/>
        <w:adjustRightInd w:val="0"/>
        <w:jc w:val="both"/>
      </w:pPr>
      <w:r>
        <w:t xml:space="preserve"> </w:t>
      </w:r>
    </w:p>
    <w:p w14:paraId="6D93D3C9" w14:textId="77777777" w:rsidR="00B545DE" w:rsidRPr="00100C1E" w:rsidRDefault="00B545DE" w:rsidP="00B545DE">
      <w:pPr>
        <w:autoSpaceDE w:val="0"/>
        <w:autoSpaceDN w:val="0"/>
        <w:adjustRightInd w:val="0"/>
        <w:jc w:val="both"/>
      </w:pPr>
      <w:r w:rsidRPr="00DB1BBF">
        <w:t xml:space="preserve">Mientras que las finalidades que reportan una ejecución más baja son: </w:t>
      </w:r>
      <w:r>
        <w:t xml:space="preserve">Orden Público y Seguridad Ciudadana (41.8%), Salud (41.0%), Servicios Públicos Generales (39.7%) y </w:t>
      </w:r>
      <w:r w:rsidRPr="00DB1BBF">
        <w:t>Protección Ambiental (</w:t>
      </w:r>
      <w:r>
        <w:t>31</w:t>
      </w:r>
      <w:r w:rsidRPr="00DB1BBF">
        <w:t>.</w:t>
      </w:r>
      <w:r>
        <w:t>2</w:t>
      </w:r>
      <w:r w:rsidRPr="00DB1BBF">
        <w:t>%)</w:t>
      </w:r>
      <w:r>
        <w:t>.</w:t>
      </w:r>
    </w:p>
    <w:p w14:paraId="5B30AD45" w14:textId="77777777" w:rsidR="00B545DE" w:rsidRDefault="00B545DE" w:rsidP="00B545DE">
      <w:pPr>
        <w:autoSpaceDE w:val="0"/>
        <w:autoSpaceDN w:val="0"/>
        <w:adjustRightInd w:val="0"/>
        <w:jc w:val="both"/>
      </w:pPr>
    </w:p>
    <w:p w14:paraId="75741597" w14:textId="77777777" w:rsidR="00B545DE" w:rsidRDefault="00B545DE" w:rsidP="00B545DE">
      <w:pPr>
        <w:jc w:val="both"/>
      </w:pPr>
      <w:r w:rsidRPr="007346F1">
        <w:t>La estimación de cierre de año da cuenta que la</w:t>
      </w:r>
      <w:r>
        <w:t xml:space="preserve"> mayoría de finalidades reportaran</w:t>
      </w:r>
      <w:r w:rsidRPr="007346F1">
        <w:t xml:space="preserve"> una ejecución bastante alta</w:t>
      </w:r>
      <w:r w:rsidRPr="00913B94">
        <w:t xml:space="preserve"> durante el presente ejercicio fiscal</w:t>
      </w:r>
      <w:r>
        <w:t>,</w:t>
      </w:r>
      <w:r w:rsidRPr="00913B94">
        <w:t xml:space="preserve"> t</w:t>
      </w:r>
      <w:r>
        <w:t>iene</w:t>
      </w:r>
      <w:r w:rsidRPr="00913B94">
        <w:t xml:space="preserve"> particular relevancia la finalidad “Atención a Desastres y Gestión de Riesgos” ya que en esta finalidad se concentran los esfuerzos de la Administración Central por dar respuesta a los efectos negativos causados por la época lluviosa</w:t>
      </w:r>
      <w:r>
        <w:t>.</w:t>
      </w:r>
      <w:r w:rsidRPr="00913B94">
        <w:t xml:space="preserve"> </w:t>
      </w:r>
    </w:p>
    <w:p w14:paraId="016D46C8" w14:textId="77777777" w:rsidR="00B545DE" w:rsidRDefault="00B545DE" w:rsidP="00B545DE">
      <w:pPr>
        <w:jc w:val="both"/>
      </w:pPr>
    </w:p>
    <w:p w14:paraId="5841231F" w14:textId="6FE5FF70" w:rsidR="00B545DE" w:rsidRPr="00DC424C" w:rsidRDefault="00BC0150" w:rsidP="00B545DE">
      <w:pPr>
        <w:autoSpaceDE w:val="0"/>
        <w:autoSpaceDN w:val="0"/>
        <w:adjustRightInd w:val="0"/>
        <w:jc w:val="center"/>
        <w:rPr>
          <w:b/>
          <w:bCs/>
        </w:rPr>
      </w:pPr>
      <w:r>
        <w:rPr>
          <w:b/>
          <w:bCs/>
        </w:rPr>
        <w:t>Cuadro 24</w:t>
      </w:r>
      <w:r w:rsidR="00B545DE">
        <w:rPr>
          <w:b/>
          <w:bCs/>
        </w:rPr>
        <w:t xml:space="preserve">. </w:t>
      </w:r>
      <w:r w:rsidR="00B545DE" w:rsidRPr="00DC424C">
        <w:rPr>
          <w:b/>
          <w:bCs/>
        </w:rPr>
        <w:t xml:space="preserve">Presupuesto </w:t>
      </w:r>
      <w:r w:rsidR="00A01A1F">
        <w:rPr>
          <w:b/>
          <w:bCs/>
        </w:rPr>
        <w:t xml:space="preserve">Vigente </w:t>
      </w:r>
      <w:r w:rsidR="00B545DE" w:rsidRPr="00DC424C">
        <w:rPr>
          <w:b/>
          <w:bCs/>
        </w:rPr>
        <w:t xml:space="preserve">y </w:t>
      </w:r>
      <w:r w:rsidR="00A01A1F">
        <w:rPr>
          <w:b/>
          <w:bCs/>
        </w:rPr>
        <w:t>E</w:t>
      </w:r>
      <w:r w:rsidR="00B545DE" w:rsidRPr="00DC424C">
        <w:rPr>
          <w:b/>
          <w:bCs/>
        </w:rPr>
        <w:t>stimación de</w:t>
      </w:r>
      <w:r w:rsidR="00A01A1F">
        <w:rPr>
          <w:b/>
          <w:bCs/>
        </w:rPr>
        <w:t xml:space="preserve"> Cierre</w:t>
      </w:r>
      <w:r w:rsidR="00B545DE" w:rsidRPr="00DC424C">
        <w:rPr>
          <w:b/>
          <w:bCs/>
        </w:rPr>
        <w:t xml:space="preserve"> por Finalidad</w:t>
      </w:r>
    </w:p>
    <w:p w14:paraId="0B9CD9EB" w14:textId="189E69F1" w:rsidR="00B545DE" w:rsidRPr="00DC424C" w:rsidRDefault="00A01A1F" w:rsidP="00B545DE">
      <w:pPr>
        <w:autoSpaceDE w:val="0"/>
        <w:autoSpaceDN w:val="0"/>
        <w:adjustRightInd w:val="0"/>
        <w:jc w:val="center"/>
        <w:rPr>
          <w:b/>
          <w:bCs/>
          <w:sz w:val="20"/>
          <w:szCs w:val="20"/>
        </w:rPr>
      </w:pPr>
      <w:r w:rsidRPr="00A01A1F">
        <w:rPr>
          <w:b/>
          <w:bCs/>
          <w:szCs w:val="20"/>
        </w:rPr>
        <w:t xml:space="preserve">(En </w:t>
      </w:r>
      <w:r w:rsidR="00B545DE" w:rsidRPr="00A01A1F">
        <w:rPr>
          <w:b/>
          <w:bCs/>
          <w:szCs w:val="20"/>
        </w:rPr>
        <w:t xml:space="preserve">Millones de </w:t>
      </w:r>
      <w:r w:rsidRPr="00A01A1F">
        <w:rPr>
          <w:b/>
          <w:bCs/>
          <w:szCs w:val="20"/>
        </w:rPr>
        <w:t>Q</w:t>
      </w:r>
      <w:r w:rsidR="00B545DE" w:rsidRPr="00A01A1F">
        <w:rPr>
          <w:b/>
          <w:bCs/>
          <w:szCs w:val="20"/>
        </w:rPr>
        <w:t>uetzales</w:t>
      </w:r>
      <w:r>
        <w:rPr>
          <w:b/>
          <w:bCs/>
          <w:sz w:val="20"/>
          <w:szCs w:val="20"/>
        </w:rPr>
        <w:t>)</w:t>
      </w:r>
    </w:p>
    <w:tbl>
      <w:tblPr>
        <w:tblW w:w="9193" w:type="dxa"/>
        <w:tblCellMar>
          <w:left w:w="70" w:type="dxa"/>
          <w:right w:w="70" w:type="dxa"/>
        </w:tblCellMar>
        <w:tblLook w:val="04A0" w:firstRow="1" w:lastRow="0" w:firstColumn="1" w:lastColumn="0" w:noHBand="0" w:noVBand="1"/>
      </w:tblPr>
      <w:tblGrid>
        <w:gridCol w:w="4668"/>
        <w:gridCol w:w="1442"/>
        <w:gridCol w:w="1513"/>
        <w:gridCol w:w="1570"/>
      </w:tblGrid>
      <w:tr w:rsidR="00A01A1F" w:rsidRPr="00A01A1F" w14:paraId="25CEDBA8" w14:textId="77777777" w:rsidTr="00A01A1F">
        <w:trPr>
          <w:trHeight w:val="446"/>
        </w:trPr>
        <w:tc>
          <w:tcPr>
            <w:tcW w:w="4668" w:type="dxa"/>
            <w:tcBorders>
              <w:top w:val="single" w:sz="8" w:space="0" w:color="auto"/>
              <w:left w:val="single" w:sz="8" w:space="0" w:color="auto"/>
              <w:bottom w:val="single" w:sz="8" w:space="0" w:color="auto"/>
              <w:right w:val="single" w:sz="8" w:space="0" w:color="auto"/>
            </w:tcBorders>
            <w:shd w:val="clear" w:color="auto" w:fill="00B0F0"/>
            <w:noWrap/>
            <w:vAlign w:val="center"/>
            <w:hideMark/>
          </w:tcPr>
          <w:p w14:paraId="1B60B2D0" w14:textId="77777777" w:rsidR="00B545DE" w:rsidRPr="00A01A1F" w:rsidRDefault="00B545DE" w:rsidP="00B545DE">
            <w:pPr>
              <w:jc w:val="center"/>
              <w:rPr>
                <w:b/>
                <w:bCs/>
                <w:sz w:val="20"/>
                <w:szCs w:val="20"/>
                <w:lang w:val="es-GT" w:eastAsia="es-GT"/>
              </w:rPr>
            </w:pPr>
            <w:r w:rsidRPr="00A01A1F">
              <w:rPr>
                <w:b/>
                <w:bCs/>
                <w:sz w:val="20"/>
                <w:szCs w:val="20"/>
                <w:lang w:val="es-GT" w:eastAsia="es-GT"/>
              </w:rPr>
              <w:t>Descripción</w:t>
            </w:r>
          </w:p>
        </w:tc>
        <w:tc>
          <w:tcPr>
            <w:tcW w:w="1442" w:type="dxa"/>
            <w:tcBorders>
              <w:top w:val="single" w:sz="8" w:space="0" w:color="auto"/>
              <w:left w:val="nil"/>
              <w:bottom w:val="single" w:sz="8" w:space="0" w:color="auto"/>
              <w:right w:val="single" w:sz="8" w:space="0" w:color="auto"/>
            </w:tcBorders>
            <w:shd w:val="clear" w:color="auto" w:fill="00B0F0"/>
            <w:vAlign w:val="center"/>
            <w:hideMark/>
          </w:tcPr>
          <w:p w14:paraId="67B89001" w14:textId="77777777" w:rsidR="00B545DE" w:rsidRPr="00A01A1F" w:rsidRDefault="00B545DE" w:rsidP="00B545DE">
            <w:pPr>
              <w:jc w:val="center"/>
              <w:rPr>
                <w:b/>
                <w:bCs/>
                <w:sz w:val="20"/>
                <w:szCs w:val="20"/>
                <w:lang w:val="es-GT" w:eastAsia="es-GT"/>
              </w:rPr>
            </w:pPr>
            <w:r w:rsidRPr="00A01A1F">
              <w:rPr>
                <w:b/>
                <w:bCs/>
                <w:sz w:val="20"/>
                <w:szCs w:val="20"/>
                <w:lang w:val="es-GT" w:eastAsia="es-GT"/>
              </w:rPr>
              <w:t>Vigente</w:t>
            </w:r>
          </w:p>
        </w:tc>
        <w:tc>
          <w:tcPr>
            <w:tcW w:w="1513" w:type="dxa"/>
            <w:tcBorders>
              <w:top w:val="single" w:sz="8" w:space="0" w:color="auto"/>
              <w:left w:val="nil"/>
              <w:bottom w:val="single" w:sz="8" w:space="0" w:color="auto"/>
              <w:right w:val="single" w:sz="8" w:space="0" w:color="auto"/>
            </w:tcBorders>
            <w:shd w:val="clear" w:color="auto" w:fill="00B0F0"/>
            <w:vAlign w:val="center"/>
            <w:hideMark/>
          </w:tcPr>
          <w:p w14:paraId="2E796A47" w14:textId="1FFBC32E" w:rsidR="00B545DE" w:rsidRPr="00A01A1F" w:rsidRDefault="00B545DE" w:rsidP="00B545DE">
            <w:pPr>
              <w:jc w:val="center"/>
              <w:rPr>
                <w:b/>
                <w:bCs/>
                <w:sz w:val="20"/>
                <w:szCs w:val="20"/>
                <w:lang w:val="es-GT" w:eastAsia="es-GT"/>
              </w:rPr>
            </w:pPr>
            <w:r w:rsidRPr="00A01A1F">
              <w:rPr>
                <w:b/>
                <w:bCs/>
                <w:sz w:val="20"/>
                <w:szCs w:val="20"/>
                <w:lang w:val="es-GT" w:eastAsia="es-GT"/>
              </w:rPr>
              <w:t>Ejecución a</w:t>
            </w:r>
            <w:r w:rsidR="00A01A1F">
              <w:rPr>
                <w:b/>
                <w:bCs/>
                <w:sz w:val="20"/>
                <w:szCs w:val="20"/>
                <w:lang w:val="es-GT" w:eastAsia="es-GT"/>
              </w:rPr>
              <w:t xml:space="preserve"> ju</w:t>
            </w:r>
            <w:r w:rsidRPr="00A01A1F">
              <w:rPr>
                <w:b/>
                <w:bCs/>
                <w:sz w:val="20"/>
                <w:szCs w:val="20"/>
                <w:lang w:val="es-GT" w:eastAsia="es-GT"/>
              </w:rPr>
              <w:t>nio</w:t>
            </w:r>
          </w:p>
        </w:tc>
        <w:tc>
          <w:tcPr>
            <w:tcW w:w="1570" w:type="dxa"/>
            <w:tcBorders>
              <w:top w:val="single" w:sz="8" w:space="0" w:color="auto"/>
              <w:left w:val="nil"/>
              <w:bottom w:val="single" w:sz="8" w:space="0" w:color="auto"/>
              <w:right w:val="single" w:sz="8" w:space="0" w:color="auto"/>
            </w:tcBorders>
            <w:shd w:val="clear" w:color="auto" w:fill="00B0F0"/>
            <w:vAlign w:val="center"/>
            <w:hideMark/>
          </w:tcPr>
          <w:p w14:paraId="02EEFF90" w14:textId="77777777" w:rsidR="00B545DE" w:rsidRPr="00A01A1F" w:rsidRDefault="00B545DE" w:rsidP="00B545DE">
            <w:pPr>
              <w:jc w:val="center"/>
              <w:rPr>
                <w:b/>
                <w:bCs/>
                <w:sz w:val="20"/>
                <w:szCs w:val="20"/>
                <w:lang w:val="es-GT" w:eastAsia="es-GT"/>
              </w:rPr>
            </w:pPr>
            <w:r w:rsidRPr="00A01A1F">
              <w:rPr>
                <w:b/>
                <w:bCs/>
                <w:sz w:val="20"/>
                <w:szCs w:val="20"/>
                <w:lang w:val="es-GT" w:eastAsia="es-GT"/>
              </w:rPr>
              <w:t>Estimación de Cierre</w:t>
            </w:r>
          </w:p>
        </w:tc>
      </w:tr>
      <w:tr w:rsidR="00B545DE" w:rsidRPr="00217924" w14:paraId="05770D2A" w14:textId="77777777" w:rsidTr="00A01A1F">
        <w:trPr>
          <w:trHeight w:val="267"/>
        </w:trPr>
        <w:tc>
          <w:tcPr>
            <w:tcW w:w="4668" w:type="dxa"/>
            <w:tcBorders>
              <w:top w:val="single" w:sz="8" w:space="0" w:color="auto"/>
              <w:left w:val="single" w:sz="8" w:space="0" w:color="auto"/>
              <w:right w:val="single" w:sz="8" w:space="0" w:color="auto"/>
            </w:tcBorders>
            <w:shd w:val="clear" w:color="auto" w:fill="auto"/>
            <w:noWrap/>
            <w:vAlign w:val="center"/>
            <w:hideMark/>
          </w:tcPr>
          <w:p w14:paraId="0BCD732F" w14:textId="77777777" w:rsidR="00B545DE" w:rsidRPr="00217924" w:rsidRDefault="00B545DE" w:rsidP="00B545DE">
            <w:pPr>
              <w:jc w:val="center"/>
              <w:rPr>
                <w:b/>
                <w:bCs/>
                <w:color w:val="000000"/>
                <w:sz w:val="20"/>
                <w:szCs w:val="20"/>
                <w:lang w:val="es-GT" w:eastAsia="es-GT"/>
              </w:rPr>
            </w:pPr>
            <w:r w:rsidRPr="00217924">
              <w:rPr>
                <w:b/>
                <w:bCs/>
                <w:color w:val="000000"/>
                <w:sz w:val="20"/>
                <w:szCs w:val="20"/>
                <w:lang w:val="es-GT" w:eastAsia="es-GT"/>
              </w:rPr>
              <w:t>Total</w:t>
            </w:r>
          </w:p>
        </w:tc>
        <w:tc>
          <w:tcPr>
            <w:tcW w:w="1442" w:type="dxa"/>
            <w:tcBorders>
              <w:top w:val="single" w:sz="8" w:space="0" w:color="auto"/>
              <w:left w:val="nil"/>
              <w:right w:val="single" w:sz="8" w:space="0" w:color="auto"/>
            </w:tcBorders>
            <w:shd w:val="clear" w:color="auto" w:fill="auto"/>
            <w:vAlign w:val="center"/>
            <w:hideMark/>
          </w:tcPr>
          <w:p w14:paraId="63C89090" w14:textId="77777777" w:rsidR="00B545DE" w:rsidRPr="00217924" w:rsidRDefault="00B545DE" w:rsidP="00B545DE">
            <w:pPr>
              <w:jc w:val="center"/>
              <w:rPr>
                <w:b/>
                <w:bCs/>
                <w:color w:val="000000"/>
                <w:sz w:val="20"/>
                <w:szCs w:val="20"/>
                <w:lang w:val="es-GT" w:eastAsia="es-GT"/>
              </w:rPr>
            </w:pPr>
            <w:r w:rsidRPr="00217924">
              <w:rPr>
                <w:b/>
                <w:bCs/>
                <w:color w:val="000000"/>
                <w:sz w:val="20"/>
                <w:szCs w:val="20"/>
                <w:lang w:val="es-GT" w:eastAsia="es-GT"/>
              </w:rPr>
              <w:t>118,159.7</w:t>
            </w:r>
          </w:p>
        </w:tc>
        <w:tc>
          <w:tcPr>
            <w:tcW w:w="1513" w:type="dxa"/>
            <w:tcBorders>
              <w:top w:val="single" w:sz="8" w:space="0" w:color="auto"/>
              <w:left w:val="nil"/>
              <w:right w:val="single" w:sz="8" w:space="0" w:color="auto"/>
            </w:tcBorders>
            <w:shd w:val="clear" w:color="auto" w:fill="auto"/>
            <w:vAlign w:val="center"/>
            <w:hideMark/>
          </w:tcPr>
          <w:p w14:paraId="205ED0E3" w14:textId="77777777" w:rsidR="00B545DE" w:rsidRPr="00217924" w:rsidRDefault="00B545DE" w:rsidP="00B545DE">
            <w:pPr>
              <w:jc w:val="center"/>
              <w:rPr>
                <w:b/>
                <w:bCs/>
                <w:color w:val="000000"/>
                <w:sz w:val="20"/>
                <w:szCs w:val="20"/>
                <w:lang w:val="es-GT" w:eastAsia="es-GT"/>
              </w:rPr>
            </w:pPr>
            <w:r w:rsidRPr="00217924">
              <w:rPr>
                <w:b/>
                <w:bCs/>
                <w:color w:val="000000"/>
                <w:sz w:val="20"/>
                <w:szCs w:val="20"/>
                <w:lang w:val="es-GT" w:eastAsia="es-GT"/>
              </w:rPr>
              <w:t>54,863.2</w:t>
            </w:r>
          </w:p>
        </w:tc>
        <w:tc>
          <w:tcPr>
            <w:tcW w:w="1570" w:type="dxa"/>
            <w:tcBorders>
              <w:top w:val="single" w:sz="8" w:space="0" w:color="auto"/>
              <w:left w:val="nil"/>
              <w:right w:val="single" w:sz="8" w:space="0" w:color="auto"/>
            </w:tcBorders>
            <w:shd w:val="clear" w:color="auto" w:fill="auto"/>
            <w:noWrap/>
            <w:vAlign w:val="center"/>
            <w:hideMark/>
          </w:tcPr>
          <w:p w14:paraId="70804F81" w14:textId="77777777" w:rsidR="00B545DE" w:rsidRPr="00217924" w:rsidRDefault="00B545DE" w:rsidP="00B545DE">
            <w:pPr>
              <w:jc w:val="center"/>
              <w:rPr>
                <w:b/>
                <w:bCs/>
                <w:color w:val="000000"/>
                <w:sz w:val="20"/>
                <w:szCs w:val="20"/>
                <w:lang w:val="es-GT" w:eastAsia="es-GT"/>
              </w:rPr>
            </w:pPr>
            <w:r w:rsidRPr="00217924">
              <w:rPr>
                <w:b/>
                <w:bCs/>
                <w:color w:val="000000"/>
                <w:sz w:val="20"/>
                <w:szCs w:val="20"/>
                <w:lang w:val="es-GT" w:eastAsia="es-GT"/>
              </w:rPr>
              <w:t>114,399.0</w:t>
            </w:r>
          </w:p>
        </w:tc>
      </w:tr>
      <w:tr w:rsidR="00B545DE" w:rsidRPr="00217924" w14:paraId="64D385BF" w14:textId="77777777" w:rsidTr="00A01A1F">
        <w:trPr>
          <w:trHeight w:val="255"/>
        </w:trPr>
        <w:tc>
          <w:tcPr>
            <w:tcW w:w="4668" w:type="dxa"/>
            <w:tcBorders>
              <w:left w:val="single" w:sz="8" w:space="0" w:color="auto"/>
              <w:bottom w:val="nil"/>
              <w:right w:val="single" w:sz="8" w:space="0" w:color="auto"/>
            </w:tcBorders>
            <w:shd w:val="clear" w:color="000000" w:fill="FFFFFF"/>
            <w:noWrap/>
            <w:vAlign w:val="center"/>
            <w:hideMark/>
          </w:tcPr>
          <w:p w14:paraId="4340BD21"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Servicios Públicos Generales</w:t>
            </w:r>
          </w:p>
        </w:tc>
        <w:tc>
          <w:tcPr>
            <w:tcW w:w="1442" w:type="dxa"/>
            <w:tcBorders>
              <w:left w:val="nil"/>
              <w:bottom w:val="nil"/>
              <w:right w:val="single" w:sz="8" w:space="0" w:color="auto"/>
            </w:tcBorders>
            <w:shd w:val="clear" w:color="000000" w:fill="FFFFFF"/>
            <w:noWrap/>
            <w:vAlign w:val="center"/>
            <w:hideMark/>
          </w:tcPr>
          <w:p w14:paraId="25A46FA9"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8,104.2</w:t>
            </w:r>
          </w:p>
        </w:tc>
        <w:tc>
          <w:tcPr>
            <w:tcW w:w="1513" w:type="dxa"/>
            <w:tcBorders>
              <w:left w:val="nil"/>
              <w:bottom w:val="nil"/>
              <w:right w:val="single" w:sz="8" w:space="0" w:color="auto"/>
            </w:tcBorders>
            <w:shd w:val="clear" w:color="000000" w:fill="FFFFFF"/>
            <w:noWrap/>
            <w:vAlign w:val="center"/>
            <w:hideMark/>
          </w:tcPr>
          <w:p w14:paraId="305C639D"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3,218.6</w:t>
            </w:r>
          </w:p>
        </w:tc>
        <w:tc>
          <w:tcPr>
            <w:tcW w:w="1570" w:type="dxa"/>
            <w:tcBorders>
              <w:left w:val="nil"/>
              <w:bottom w:val="nil"/>
              <w:right w:val="single" w:sz="8" w:space="0" w:color="auto"/>
            </w:tcBorders>
            <w:shd w:val="clear" w:color="000000" w:fill="FFFFFF"/>
            <w:noWrap/>
            <w:vAlign w:val="center"/>
            <w:hideMark/>
          </w:tcPr>
          <w:p w14:paraId="636640DF"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7,601.6</w:t>
            </w:r>
          </w:p>
        </w:tc>
      </w:tr>
      <w:tr w:rsidR="00B545DE" w:rsidRPr="00217924" w14:paraId="15B52DC8"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21BEEF51"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Defensa</w:t>
            </w:r>
          </w:p>
        </w:tc>
        <w:tc>
          <w:tcPr>
            <w:tcW w:w="1442" w:type="dxa"/>
            <w:tcBorders>
              <w:top w:val="nil"/>
              <w:left w:val="nil"/>
              <w:bottom w:val="nil"/>
              <w:right w:val="single" w:sz="8" w:space="0" w:color="auto"/>
            </w:tcBorders>
            <w:shd w:val="clear" w:color="000000" w:fill="FFFFFF"/>
            <w:noWrap/>
            <w:vAlign w:val="center"/>
            <w:hideMark/>
          </w:tcPr>
          <w:p w14:paraId="34EFC4BA"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2,026.0</w:t>
            </w:r>
          </w:p>
        </w:tc>
        <w:tc>
          <w:tcPr>
            <w:tcW w:w="1513" w:type="dxa"/>
            <w:tcBorders>
              <w:top w:val="nil"/>
              <w:left w:val="nil"/>
              <w:bottom w:val="nil"/>
              <w:right w:val="single" w:sz="8" w:space="0" w:color="auto"/>
            </w:tcBorders>
            <w:shd w:val="clear" w:color="000000" w:fill="FFFFFF"/>
            <w:noWrap/>
            <w:vAlign w:val="center"/>
            <w:hideMark/>
          </w:tcPr>
          <w:p w14:paraId="6D5AE64A"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906.7</w:t>
            </w:r>
          </w:p>
        </w:tc>
        <w:tc>
          <w:tcPr>
            <w:tcW w:w="1570" w:type="dxa"/>
            <w:tcBorders>
              <w:top w:val="nil"/>
              <w:left w:val="nil"/>
              <w:bottom w:val="nil"/>
              <w:right w:val="single" w:sz="8" w:space="0" w:color="auto"/>
            </w:tcBorders>
            <w:shd w:val="clear" w:color="000000" w:fill="FFFFFF"/>
            <w:noWrap/>
            <w:vAlign w:val="center"/>
            <w:hideMark/>
          </w:tcPr>
          <w:p w14:paraId="5341931A"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1,915.2</w:t>
            </w:r>
          </w:p>
        </w:tc>
      </w:tr>
      <w:tr w:rsidR="00B545DE" w:rsidRPr="00217924" w14:paraId="54BE253B"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62AA0342"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Orden Público y Seguridad Ciudadana</w:t>
            </w:r>
          </w:p>
        </w:tc>
        <w:tc>
          <w:tcPr>
            <w:tcW w:w="1442" w:type="dxa"/>
            <w:tcBorders>
              <w:top w:val="nil"/>
              <w:left w:val="nil"/>
              <w:bottom w:val="nil"/>
              <w:right w:val="single" w:sz="8" w:space="0" w:color="auto"/>
            </w:tcBorders>
            <w:shd w:val="clear" w:color="000000" w:fill="FFFFFF"/>
            <w:noWrap/>
            <w:vAlign w:val="center"/>
            <w:hideMark/>
          </w:tcPr>
          <w:p w14:paraId="2F4BDE42"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15,396.1</w:t>
            </w:r>
          </w:p>
        </w:tc>
        <w:tc>
          <w:tcPr>
            <w:tcW w:w="1513" w:type="dxa"/>
            <w:tcBorders>
              <w:top w:val="nil"/>
              <w:left w:val="nil"/>
              <w:bottom w:val="nil"/>
              <w:right w:val="single" w:sz="8" w:space="0" w:color="auto"/>
            </w:tcBorders>
            <w:shd w:val="clear" w:color="000000" w:fill="FFFFFF"/>
            <w:noWrap/>
            <w:vAlign w:val="center"/>
            <w:hideMark/>
          </w:tcPr>
          <w:p w14:paraId="0C9A574E"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6,433.3</w:t>
            </w:r>
          </w:p>
        </w:tc>
        <w:tc>
          <w:tcPr>
            <w:tcW w:w="1570" w:type="dxa"/>
            <w:tcBorders>
              <w:top w:val="nil"/>
              <w:left w:val="nil"/>
              <w:bottom w:val="nil"/>
              <w:right w:val="single" w:sz="8" w:space="0" w:color="auto"/>
            </w:tcBorders>
            <w:shd w:val="clear" w:color="000000" w:fill="FFFFFF"/>
            <w:noWrap/>
            <w:vAlign w:val="center"/>
            <w:hideMark/>
          </w:tcPr>
          <w:p w14:paraId="18141033"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14,964.9</w:t>
            </w:r>
          </w:p>
        </w:tc>
      </w:tr>
      <w:tr w:rsidR="00B545DE" w:rsidRPr="00217924" w14:paraId="71AE0E64"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1DA724D3"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Atención a Desastres y Gestión de Riesgos</w:t>
            </w:r>
          </w:p>
        </w:tc>
        <w:tc>
          <w:tcPr>
            <w:tcW w:w="1442" w:type="dxa"/>
            <w:tcBorders>
              <w:top w:val="nil"/>
              <w:left w:val="nil"/>
              <w:bottom w:val="nil"/>
              <w:right w:val="single" w:sz="8" w:space="0" w:color="auto"/>
            </w:tcBorders>
            <w:shd w:val="clear" w:color="000000" w:fill="FFFFFF"/>
            <w:noWrap/>
            <w:vAlign w:val="center"/>
            <w:hideMark/>
          </w:tcPr>
          <w:p w14:paraId="303C64B5"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1,926.8</w:t>
            </w:r>
          </w:p>
        </w:tc>
        <w:tc>
          <w:tcPr>
            <w:tcW w:w="1513" w:type="dxa"/>
            <w:tcBorders>
              <w:top w:val="nil"/>
              <w:left w:val="nil"/>
              <w:bottom w:val="nil"/>
              <w:right w:val="single" w:sz="8" w:space="0" w:color="auto"/>
            </w:tcBorders>
            <w:shd w:val="clear" w:color="000000" w:fill="FFFFFF"/>
            <w:noWrap/>
            <w:vAlign w:val="center"/>
            <w:hideMark/>
          </w:tcPr>
          <w:p w14:paraId="17F0341F"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1,137.6</w:t>
            </w:r>
          </w:p>
        </w:tc>
        <w:tc>
          <w:tcPr>
            <w:tcW w:w="1570" w:type="dxa"/>
            <w:tcBorders>
              <w:top w:val="nil"/>
              <w:left w:val="nil"/>
              <w:bottom w:val="nil"/>
              <w:right w:val="single" w:sz="8" w:space="0" w:color="auto"/>
            </w:tcBorders>
            <w:shd w:val="clear" w:color="000000" w:fill="FFFFFF"/>
            <w:noWrap/>
            <w:vAlign w:val="center"/>
            <w:hideMark/>
          </w:tcPr>
          <w:p w14:paraId="750C3DDC"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1,896.5</w:t>
            </w:r>
          </w:p>
        </w:tc>
      </w:tr>
      <w:tr w:rsidR="00B545DE" w:rsidRPr="00217924" w14:paraId="75B3F097"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3D6AFAB4"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Asuntos Económicos</w:t>
            </w:r>
          </w:p>
        </w:tc>
        <w:tc>
          <w:tcPr>
            <w:tcW w:w="1442" w:type="dxa"/>
            <w:tcBorders>
              <w:top w:val="nil"/>
              <w:left w:val="nil"/>
              <w:bottom w:val="nil"/>
              <w:right w:val="single" w:sz="8" w:space="0" w:color="auto"/>
            </w:tcBorders>
            <w:shd w:val="clear" w:color="000000" w:fill="FFFFFF"/>
            <w:noWrap/>
            <w:vAlign w:val="center"/>
            <w:hideMark/>
          </w:tcPr>
          <w:p w14:paraId="4C20A647"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9,920.0</w:t>
            </w:r>
          </w:p>
        </w:tc>
        <w:tc>
          <w:tcPr>
            <w:tcW w:w="1513" w:type="dxa"/>
            <w:tcBorders>
              <w:top w:val="nil"/>
              <w:left w:val="nil"/>
              <w:bottom w:val="nil"/>
              <w:right w:val="single" w:sz="8" w:space="0" w:color="auto"/>
            </w:tcBorders>
            <w:shd w:val="clear" w:color="000000" w:fill="FFFFFF"/>
            <w:noWrap/>
            <w:vAlign w:val="center"/>
            <w:hideMark/>
          </w:tcPr>
          <w:p w14:paraId="1B97D84C"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6,246.2</w:t>
            </w:r>
          </w:p>
        </w:tc>
        <w:tc>
          <w:tcPr>
            <w:tcW w:w="1570" w:type="dxa"/>
            <w:tcBorders>
              <w:top w:val="nil"/>
              <w:left w:val="nil"/>
              <w:bottom w:val="nil"/>
              <w:right w:val="single" w:sz="8" w:space="0" w:color="auto"/>
            </w:tcBorders>
            <w:shd w:val="clear" w:color="000000" w:fill="FFFFFF"/>
            <w:noWrap/>
            <w:vAlign w:val="center"/>
            <w:hideMark/>
          </w:tcPr>
          <w:p w14:paraId="2B51A1AB"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9,164.2</w:t>
            </w:r>
          </w:p>
        </w:tc>
      </w:tr>
      <w:tr w:rsidR="00B545DE" w:rsidRPr="00217924" w14:paraId="48E057E7"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1321B809"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Protección Ambiental</w:t>
            </w:r>
          </w:p>
        </w:tc>
        <w:tc>
          <w:tcPr>
            <w:tcW w:w="1442" w:type="dxa"/>
            <w:tcBorders>
              <w:top w:val="nil"/>
              <w:left w:val="nil"/>
              <w:bottom w:val="nil"/>
              <w:right w:val="single" w:sz="8" w:space="0" w:color="auto"/>
            </w:tcBorders>
            <w:shd w:val="clear" w:color="000000" w:fill="FFFFFF"/>
            <w:noWrap/>
            <w:vAlign w:val="center"/>
            <w:hideMark/>
          </w:tcPr>
          <w:p w14:paraId="0F9DE965"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1,987.4</w:t>
            </w:r>
          </w:p>
        </w:tc>
        <w:tc>
          <w:tcPr>
            <w:tcW w:w="1513" w:type="dxa"/>
            <w:tcBorders>
              <w:top w:val="nil"/>
              <w:left w:val="nil"/>
              <w:bottom w:val="nil"/>
              <w:right w:val="single" w:sz="8" w:space="0" w:color="auto"/>
            </w:tcBorders>
            <w:shd w:val="clear" w:color="000000" w:fill="FFFFFF"/>
            <w:noWrap/>
            <w:vAlign w:val="center"/>
            <w:hideMark/>
          </w:tcPr>
          <w:p w14:paraId="380F7D0B"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619.5</w:t>
            </w:r>
          </w:p>
        </w:tc>
        <w:tc>
          <w:tcPr>
            <w:tcW w:w="1570" w:type="dxa"/>
            <w:tcBorders>
              <w:top w:val="nil"/>
              <w:left w:val="nil"/>
              <w:bottom w:val="nil"/>
              <w:right w:val="single" w:sz="8" w:space="0" w:color="auto"/>
            </w:tcBorders>
            <w:shd w:val="clear" w:color="000000" w:fill="FFFFFF"/>
            <w:noWrap/>
            <w:vAlign w:val="center"/>
            <w:hideMark/>
          </w:tcPr>
          <w:p w14:paraId="453CCF0F"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1,647.7</w:t>
            </w:r>
          </w:p>
        </w:tc>
      </w:tr>
      <w:tr w:rsidR="00B545DE" w:rsidRPr="00217924" w14:paraId="073F7004"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61991082"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Urbanización y Servicios Comunitarios</w:t>
            </w:r>
          </w:p>
        </w:tc>
        <w:tc>
          <w:tcPr>
            <w:tcW w:w="1442" w:type="dxa"/>
            <w:tcBorders>
              <w:top w:val="nil"/>
              <w:left w:val="nil"/>
              <w:bottom w:val="nil"/>
              <w:right w:val="single" w:sz="8" w:space="0" w:color="auto"/>
            </w:tcBorders>
            <w:shd w:val="clear" w:color="000000" w:fill="FFFFFF"/>
            <w:noWrap/>
            <w:vAlign w:val="center"/>
            <w:hideMark/>
          </w:tcPr>
          <w:p w14:paraId="481B3207"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12,090.6</w:t>
            </w:r>
          </w:p>
        </w:tc>
        <w:tc>
          <w:tcPr>
            <w:tcW w:w="1513" w:type="dxa"/>
            <w:tcBorders>
              <w:top w:val="nil"/>
              <w:left w:val="nil"/>
              <w:bottom w:val="nil"/>
              <w:right w:val="single" w:sz="8" w:space="0" w:color="auto"/>
            </w:tcBorders>
            <w:shd w:val="clear" w:color="000000" w:fill="FFFFFF"/>
            <w:noWrap/>
            <w:vAlign w:val="center"/>
            <w:hideMark/>
          </w:tcPr>
          <w:p w14:paraId="565B1879"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5,590.2</w:t>
            </w:r>
          </w:p>
        </w:tc>
        <w:tc>
          <w:tcPr>
            <w:tcW w:w="1570" w:type="dxa"/>
            <w:tcBorders>
              <w:top w:val="nil"/>
              <w:left w:val="nil"/>
              <w:bottom w:val="nil"/>
              <w:right w:val="single" w:sz="8" w:space="0" w:color="auto"/>
            </w:tcBorders>
            <w:shd w:val="clear" w:color="000000" w:fill="FFFFFF"/>
            <w:noWrap/>
            <w:vAlign w:val="center"/>
            <w:hideMark/>
          </w:tcPr>
          <w:p w14:paraId="7FC6C34D"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11,837.0</w:t>
            </w:r>
          </w:p>
        </w:tc>
      </w:tr>
      <w:tr w:rsidR="00B545DE" w:rsidRPr="00217924" w14:paraId="1DB76E62"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27B8F37D"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Salud</w:t>
            </w:r>
          </w:p>
        </w:tc>
        <w:tc>
          <w:tcPr>
            <w:tcW w:w="1442" w:type="dxa"/>
            <w:tcBorders>
              <w:top w:val="nil"/>
              <w:left w:val="nil"/>
              <w:bottom w:val="nil"/>
              <w:right w:val="single" w:sz="8" w:space="0" w:color="auto"/>
            </w:tcBorders>
            <w:shd w:val="clear" w:color="000000" w:fill="FFFFFF"/>
            <w:noWrap/>
            <w:vAlign w:val="center"/>
            <w:hideMark/>
          </w:tcPr>
          <w:p w14:paraId="7D61D86D"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10,986.9</w:t>
            </w:r>
          </w:p>
        </w:tc>
        <w:tc>
          <w:tcPr>
            <w:tcW w:w="1513" w:type="dxa"/>
            <w:tcBorders>
              <w:top w:val="nil"/>
              <w:left w:val="nil"/>
              <w:bottom w:val="nil"/>
              <w:right w:val="single" w:sz="8" w:space="0" w:color="auto"/>
            </w:tcBorders>
            <w:shd w:val="clear" w:color="000000" w:fill="FFFFFF"/>
            <w:noWrap/>
            <w:vAlign w:val="center"/>
            <w:hideMark/>
          </w:tcPr>
          <w:p w14:paraId="2DB8BB85"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4,500.8</w:t>
            </w:r>
          </w:p>
        </w:tc>
        <w:tc>
          <w:tcPr>
            <w:tcW w:w="1570" w:type="dxa"/>
            <w:tcBorders>
              <w:top w:val="nil"/>
              <w:left w:val="nil"/>
              <w:bottom w:val="nil"/>
              <w:right w:val="single" w:sz="8" w:space="0" w:color="auto"/>
            </w:tcBorders>
            <w:shd w:val="clear" w:color="000000" w:fill="FFFFFF"/>
            <w:noWrap/>
            <w:vAlign w:val="center"/>
            <w:hideMark/>
          </w:tcPr>
          <w:p w14:paraId="22FEA2C7"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10,326.1</w:t>
            </w:r>
          </w:p>
        </w:tc>
      </w:tr>
      <w:tr w:rsidR="00B545DE" w:rsidRPr="00217924" w14:paraId="4D3F4124"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21126106"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Actividades Deportivas, Recreativas, Cultura y Religión</w:t>
            </w:r>
          </w:p>
        </w:tc>
        <w:tc>
          <w:tcPr>
            <w:tcW w:w="1442" w:type="dxa"/>
            <w:tcBorders>
              <w:top w:val="nil"/>
              <w:left w:val="nil"/>
              <w:bottom w:val="nil"/>
              <w:right w:val="single" w:sz="8" w:space="0" w:color="auto"/>
            </w:tcBorders>
            <w:shd w:val="clear" w:color="000000" w:fill="FFFFFF"/>
            <w:noWrap/>
            <w:vAlign w:val="center"/>
            <w:hideMark/>
          </w:tcPr>
          <w:p w14:paraId="5920D83A"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1,645.3</w:t>
            </w:r>
          </w:p>
        </w:tc>
        <w:tc>
          <w:tcPr>
            <w:tcW w:w="1513" w:type="dxa"/>
            <w:tcBorders>
              <w:top w:val="nil"/>
              <w:left w:val="nil"/>
              <w:bottom w:val="nil"/>
              <w:right w:val="single" w:sz="8" w:space="0" w:color="auto"/>
            </w:tcBorders>
            <w:shd w:val="clear" w:color="000000" w:fill="FFFFFF"/>
            <w:noWrap/>
            <w:vAlign w:val="center"/>
            <w:hideMark/>
          </w:tcPr>
          <w:p w14:paraId="5C1419FC"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736.6</w:t>
            </w:r>
          </w:p>
        </w:tc>
        <w:tc>
          <w:tcPr>
            <w:tcW w:w="1570" w:type="dxa"/>
            <w:tcBorders>
              <w:top w:val="nil"/>
              <w:left w:val="nil"/>
              <w:bottom w:val="nil"/>
              <w:right w:val="single" w:sz="8" w:space="0" w:color="auto"/>
            </w:tcBorders>
            <w:shd w:val="clear" w:color="000000" w:fill="FFFFFF"/>
            <w:noWrap/>
            <w:vAlign w:val="center"/>
            <w:hideMark/>
          </w:tcPr>
          <w:p w14:paraId="0A35CE7D"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1,425.5</w:t>
            </w:r>
          </w:p>
        </w:tc>
      </w:tr>
      <w:tr w:rsidR="00B545DE" w:rsidRPr="00217924" w14:paraId="28DC1D94"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0EB2D09B"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Educación</w:t>
            </w:r>
          </w:p>
        </w:tc>
        <w:tc>
          <w:tcPr>
            <w:tcW w:w="1442" w:type="dxa"/>
            <w:tcBorders>
              <w:top w:val="nil"/>
              <w:left w:val="nil"/>
              <w:bottom w:val="nil"/>
              <w:right w:val="single" w:sz="8" w:space="0" w:color="auto"/>
            </w:tcBorders>
            <w:shd w:val="clear" w:color="000000" w:fill="FFFFFF"/>
            <w:noWrap/>
            <w:vAlign w:val="center"/>
            <w:hideMark/>
          </w:tcPr>
          <w:p w14:paraId="7CF98B91"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26,822.8</w:t>
            </w:r>
          </w:p>
        </w:tc>
        <w:tc>
          <w:tcPr>
            <w:tcW w:w="1513" w:type="dxa"/>
            <w:tcBorders>
              <w:top w:val="nil"/>
              <w:left w:val="nil"/>
              <w:bottom w:val="nil"/>
              <w:right w:val="single" w:sz="8" w:space="0" w:color="auto"/>
            </w:tcBorders>
            <w:shd w:val="clear" w:color="000000" w:fill="FFFFFF"/>
            <w:noWrap/>
            <w:vAlign w:val="center"/>
            <w:hideMark/>
          </w:tcPr>
          <w:p w14:paraId="0C6C41E6"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12,453.7</w:t>
            </w:r>
          </w:p>
        </w:tc>
        <w:tc>
          <w:tcPr>
            <w:tcW w:w="1570" w:type="dxa"/>
            <w:tcBorders>
              <w:top w:val="nil"/>
              <w:left w:val="nil"/>
              <w:bottom w:val="nil"/>
              <w:right w:val="single" w:sz="8" w:space="0" w:color="auto"/>
            </w:tcBorders>
            <w:shd w:val="clear" w:color="000000" w:fill="FFFFFF"/>
            <w:noWrap/>
            <w:vAlign w:val="center"/>
            <w:hideMark/>
          </w:tcPr>
          <w:p w14:paraId="3028D0B9"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26,769.4</w:t>
            </w:r>
          </w:p>
        </w:tc>
      </w:tr>
      <w:tr w:rsidR="00B545DE" w:rsidRPr="00217924" w14:paraId="13E422F2" w14:textId="77777777" w:rsidTr="00A01A1F">
        <w:trPr>
          <w:trHeight w:val="255"/>
        </w:trPr>
        <w:tc>
          <w:tcPr>
            <w:tcW w:w="4668" w:type="dxa"/>
            <w:tcBorders>
              <w:top w:val="nil"/>
              <w:left w:val="single" w:sz="8" w:space="0" w:color="auto"/>
              <w:bottom w:val="nil"/>
              <w:right w:val="single" w:sz="8" w:space="0" w:color="auto"/>
            </w:tcBorders>
            <w:shd w:val="clear" w:color="000000" w:fill="FFFFFF"/>
            <w:noWrap/>
            <w:vAlign w:val="center"/>
            <w:hideMark/>
          </w:tcPr>
          <w:p w14:paraId="1F677E79"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Protección Social</w:t>
            </w:r>
          </w:p>
        </w:tc>
        <w:tc>
          <w:tcPr>
            <w:tcW w:w="1442" w:type="dxa"/>
            <w:tcBorders>
              <w:top w:val="nil"/>
              <w:left w:val="nil"/>
              <w:bottom w:val="nil"/>
              <w:right w:val="single" w:sz="8" w:space="0" w:color="auto"/>
            </w:tcBorders>
            <w:shd w:val="clear" w:color="000000" w:fill="FFFFFF"/>
            <w:noWrap/>
            <w:vAlign w:val="center"/>
            <w:hideMark/>
          </w:tcPr>
          <w:p w14:paraId="606BBB47"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11,112.1</w:t>
            </w:r>
          </w:p>
        </w:tc>
        <w:tc>
          <w:tcPr>
            <w:tcW w:w="1513" w:type="dxa"/>
            <w:tcBorders>
              <w:top w:val="nil"/>
              <w:left w:val="nil"/>
              <w:bottom w:val="nil"/>
              <w:right w:val="single" w:sz="8" w:space="0" w:color="auto"/>
            </w:tcBorders>
            <w:shd w:val="clear" w:color="000000" w:fill="FFFFFF"/>
            <w:noWrap/>
            <w:vAlign w:val="center"/>
            <w:hideMark/>
          </w:tcPr>
          <w:p w14:paraId="1FFC6C09"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5,185.9</w:t>
            </w:r>
          </w:p>
        </w:tc>
        <w:tc>
          <w:tcPr>
            <w:tcW w:w="1570" w:type="dxa"/>
            <w:tcBorders>
              <w:top w:val="nil"/>
              <w:left w:val="nil"/>
              <w:bottom w:val="nil"/>
              <w:right w:val="single" w:sz="8" w:space="0" w:color="auto"/>
            </w:tcBorders>
            <w:shd w:val="clear" w:color="000000" w:fill="FFFFFF"/>
            <w:noWrap/>
            <w:vAlign w:val="center"/>
            <w:hideMark/>
          </w:tcPr>
          <w:p w14:paraId="31C9558F"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11,040.0</w:t>
            </w:r>
          </w:p>
        </w:tc>
      </w:tr>
      <w:tr w:rsidR="00B545DE" w:rsidRPr="00217924" w14:paraId="49ADAD4F" w14:textId="77777777" w:rsidTr="00A01A1F">
        <w:trPr>
          <w:trHeight w:val="267"/>
        </w:trPr>
        <w:tc>
          <w:tcPr>
            <w:tcW w:w="4668" w:type="dxa"/>
            <w:tcBorders>
              <w:top w:val="nil"/>
              <w:left w:val="single" w:sz="8" w:space="0" w:color="auto"/>
              <w:bottom w:val="single" w:sz="8" w:space="0" w:color="auto"/>
              <w:right w:val="single" w:sz="8" w:space="0" w:color="auto"/>
            </w:tcBorders>
            <w:shd w:val="clear" w:color="000000" w:fill="FFFFFF"/>
            <w:noWrap/>
            <w:vAlign w:val="center"/>
            <w:hideMark/>
          </w:tcPr>
          <w:p w14:paraId="321D6925" w14:textId="77777777" w:rsidR="00B545DE" w:rsidRPr="00217924" w:rsidRDefault="00B545DE" w:rsidP="00B545DE">
            <w:pPr>
              <w:rPr>
                <w:color w:val="000000"/>
                <w:sz w:val="20"/>
                <w:szCs w:val="20"/>
                <w:lang w:val="es-GT" w:eastAsia="es-GT"/>
              </w:rPr>
            </w:pPr>
            <w:r w:rsidRPr="00217924">
              <w:rPr>
                <w:color w:val="000000"/>
                <w:sz w:val="20"/>
                <w:szCs w:val="20"/>
                <w:lang w:val="es-GT" w:eastAsia="es-GT"/>
              </w:rPr>
              <w:t>Transacciones de la Deuda Pública</w:t>
            </w:r>
          </w:p>
        </w:tc>
        <w:tc>
          <w:tcPr>
            <w:tcW w:w="1442" w:type="dxa"/>
            <w:tcBorders>
              <w:top w:val="nil"/>
              <w:left w:val="nil"/>
              <w:bottom w:val="single" w:sz="8" w:space="0" w:color="auto"/>
              <w:right w:val="single" w:sz="8" w:space="0" w:color="auto"/>
            </w:tcBorders>
            <w:shd w:val="clear" w:color="000000" w:fill="FFFFFF"/>
            <w:noWrap/>
            <w:vAlign w:val="center"/>
            <w:hideMark/>
          </w:tcPr>
          <w:p w14:paraId="2D577201"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16,141.7</w:t>
            </w:r>
          </w:p>
        </w:tc>
        <w:tc>
          <w:tcPr>
            <w:tcW w:w="1513" w:type="dxa"/>
            <w:tcBorders>
              <w:top w:val="nil"/>
              <w:left w:val="nil"/>
              <w:bottom w:val="single" w:sz="8" w:space="0" w:color="auto"/>
              <w:right w:val="single" w:sz="8" w:space="0" w:color="auto"/>
            </w:tcBorders>
            <w:shd w:val="clear" w:color="000000" w:fill="FFFFFF"/>
            <w:noWrap/>
            <w:vAlign w:val="center"/>
            <w:hideMark/>
          </w:tcPr>
          <w:p w14:paraId="0EBD67BC"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7,834.2</w:t>
            </w:r>
          </w:p>
        </w:tc>
        <w:tc>
          <w:tcPr>
            <w:tcW w:w="1570" w:type="dxa"/>
            <w:tcBorders>
              <w:top w:val="nil"/>
              <w:left w:val="nil"/>
              <w:bottom w:val="single" w:sz="8" w:space="0" w:color="auto"/>
              <w:right w:val="single" w:sz="8" w:space="0" w:color="auto"/>
            </w:tcBorders>
            <w:shd w:val="clear" w:color="000000" w:fill="FFFFFF"/>
            <w:noWrap/>
            <w:vAlign w:val="center"/>
            <w:hideMark/>
          </w:tcPr>
          <w:p w14:paraId="134142D5" w14:textId="77777777" w:rsidR="00B545DE" w:rsidRPr="00217924" w:rsidRDefault="00B545DE" w:rsidP="00B545DE">
            <w:pPr>
              <w:jc w:val="center"/>
              <w:rPr>
                <w:color w:val="000000"/>
                <w:sz w:val="20"/>
                <w:szCs w:val="20"/>
                <w:lang w:val="es-GT" w:eastAsia="es-GT"/>
              </w:rPr>
            </w:pPr>
            <w:r w:rsidRPr="00217924">
              <w:rPr>
                <w:color w:val="000000"/>
                <w:sz w:val="20"/>
                <w:szCs w:val="20"/>
                <w:lang w:val="es-GT" w:eastAsia="es-GT"/>
              </w:rPr>
              <w:t>15,810.8</w:t>
            </w:r>
          </w:p>
        </w:tc>
      </w:tr>
    </w:tbl>
    <w:p w14:paraId="44772BF9" w14:textId="6ED9B3D1" w:rsidR="00B545DE" w:rsidRPr="00A01A1F" w:rsidRDefault="00B545DE" w:rsidP="00B545DE">
      <w:pPr>
        <w:autoSpaceDE w:val="0"/>
        <w:autoSpaceDN w:val="0"/>
        <w:adjustRightInd w:val="0"/>
        <w:jc w:val="both"/>
        <w:rPr>
          <w:sz w:val="18"/>
        </w:rPr>
      </w:pPr>
      <w:r w:rsidRPr="00A01A1F">
        <w:rPr>
          <w:sz w:val="18"/>
        </w:rPr>
        <w:t xml:space="preserve">Fuente: </w:t>
      </w:r>
      <w:r w:rsidR="00A01A1F">
        <w:rPr>
          <w:sz w:val="18"/>
        </w:rPr>
        <w:t>Ministerio de Finanzas Públicas.</w:t>
      </w:r>
    </w:p>
    <w:p w14:paraId="2ADED73C" w14:textId="77777777" w:rsidR="00B545DE" w:rsidRDefault="00B545DE" w:rsidP="00B545DE">
      <w:pPr>
        <w:autoSpaceDE w:val="0"/>
        <w:autoSpaceDN w:val="0"/>
        <w:adjustRightInd w:val="0"/>
        <w:jc w:val="both"/>
        <w:rPr>
          <w:b/>
        </w:rPr>
      </w:pPr>
    </w:p>
    <w:p w14:paraId="41F3E23A" w14:textId="77777777" w:rsidR="00B545DE" w:rsidRDefault="00B545DE" w:rsidP="00B545DE">
      <w:pPr>
        <w:autoSpaceDE w:val="0"/>
        <w:autoSpaceDN w:val="0"/>
        <w:adjustRightInd w:val="0"/>
        <w:jc w:val="both"/>
        <w:rPr>
          <w:b/>
        </w:rPr>
      </w:pPr>
    </w:p>
    <w:p w14:paraId="443AA536" w14:textId="7705FE18" w:rsidR="00B545DE" w:rsidRPr="00AD03E4" w:rsidRDefault="00B545DE" w:rsidP="00AD03E4">
      <w:pPr>
        <w:pStyle w:val="Ttulo2"/>
        <w:numPr>
          <w:ilvl w:val="0"/>
          <w:numId w:val="6"/>
        </w:numPr>
        <w:ind w:left="426"/>
        <w:rPr>
          <w:rFonts w:ascii="Times New Roman" w:hAnsi="Times New Roman"/>
          <w:color w:val="auto"/>
          <w:sz w:val="24"/>
        </w:rPr>
      </w:pPr>
      <w:bookmarkStart w:id="74" w:name="_Toc142549358"/>
      <w:bookmarkStart w:id="75" w:name="_Toc142920566"/>
      <w:r w:rsidRPr="00AD03E4">
        <w:rPr>
          <w:rFonts w:ascii="Times New Roman" w:hAnsi="Times New Roman"/>
          <w:color w:val="auto"/>
          <w:sz w:val="24"/>
        </w:rPr>
        <w:t xml:space="preserve">Déficit Fiscal y su </w:t>
      </w:r>
      <w:r w:rsidR="00367ECF" w:rsidRPr="00AD03E4">
        <w:rPr>
          <w:rFonts w:ascii="Times New Roman" w:hAnsi="Times New Roman"/>
          <w:color w:val="auto"/>
          <w:sz w:val="24"/>
        </w:rPr>
        <w:t>F</w:t>
      </w:r>
      <w:r w:rsidRPr="00AD03E4">
        <w:rPr>
          <w:rFonts w:ascii="Times New Roman" w:hAnsi="Times New Roman"/>
          <w:color w:val="auto"/>
          <w:sz w:val="24"/>
        </w:rPr>
        <w:t>inanciamiento</w:t>
      </w:r>
      <w:bookmarkEnd w:id="74"/>
      <w:bookmarkEnd w:id="75"/>
    </w:p>
    <w:p w14:paraId="18E0CFCD" w14:textId="77777777" w:rsidR="00B545DE" w:rsidRDefault="00B545DE" w:rsidP="00B545DE">
      <w:pPr>
        <w:autoSpaceDE w:val="0"/>
        <w:autoSpaceDN w:val="0"/>
        <w:adjustRightInd w:val="0"/>
        <w:jc w:val="both"/>
        <w:rPr>
          <w:b/>
        </w:rPr>
      </w:pPr>
    </w:p>
    <w:p w14:paraId="0390B462" w14:textId="1DF25A3B" w:rsidR="00B545DE" w:rsidRDefault="00B545DE" w:rsidP="00B545DE">
      <w:pPr>
        <w:autoSpaceDE w:val="0"/>
        <w:autoSpaceDN w:val="0"/>
        <w:adjustRightInd w:val="0"/>
        <w:jc w:val="both"/>
      </w:pPr>
      <w:r>
        <w:t>Dada la dinámica de ingresos y gastos, e</w:t>
      </w:r>
      <w:r w:rsidRPr="00264476">
        <w:t>l déficit</w:t>
      </w:r>
      <w:r>
        <w:t xml:space="preserve"> a junio</w:t>
      </w:r>
      <w:r w:rsidR="00367ECF">
        <w:t xml:space="preserve"> de 2023</w:t>
      </w:r>
      <w:r>
        <w:t xml:space="preserve"> se ubica en </w:t>
      </w:r>
      <w:r w:rsidRPr="00DE514D">
        <w:t>Q</w:t>
      </w:r>
      <w:r w:rsidR="00367ECF">
        <w:t>.</w:t>
      </w:r>
      <w:r>
        <w:t>4</w:t>
      </w:r>
      <w:r w:rsidRPr="00DE514D">
        <w:t>,6</w:t>
      </w:r>
      <w:r>
        <w:t>04.6</w:t>
      </w:r>
      <w:r w:rsidRPr="00DE514D">
        <w:t xml:space="preserve"> millones</w:t>
      </w:r>
      <w:r>
        <w:t>, correspondiente</w:t>
      </w:r>
      <w:r w:rsidR="00367ECF">
        <w:t>s</w:t>
      </w:r>
      <w:r>
        <w:t xml:space="preserve"> al 0.6% del PIB,</w:t>
      </w:r>
      <w:r w:rsidRPr="00DE514D">
        <w:t xml:space="preserve"> </w:t>
      </w:r>
      <w:r>
        <w:t>mientras que a junio de 2021 y 2022 se reportaba un déficit fiscal más moderado, asociado al buen desempeño mostrado en los ingresos tributarios.</w:t>
      </w:r>
    </w:p>
    <w:p w14:paraId="6164BCF6" w14:textId="77777777" w:rsidR="00B545DE" w:rsidRDefault="00B545DE" w:rsidP="00B545DE">
      <w:pPr>
        <w:autoSpaceDE w:val="0"/>
        <w:autoSpaceDN w:val="0"/>
        <w:adjustRightInd w:val="0"/>
        <w:jc w:val="both"/>
      </w:pPr>
    </w:p>
    <w:p w14:paraId="70B20D65" w14:textId="1210F81D" w:rsidR="00B545DE" w:rsidRDefault="00B545DE" w:rsidP="00B545DE">
      <w:pPr>
        <w:autoSpaceDE w:val="0"/>
        <w:autoSpaceDN w:val="0"/>
        <w:adjustRightInd w:val="0"/>
        <w:jc w:val="both"/>
      </w:pPr>
      <w:r>
        <w:t xml:space="preserve">En 2023, el déficit se debe en gran medida al dinamismo del gasto público, que, si bien se ha desacelerado </w:t>
      </w:r>
      <w:r w:rsidR="00367ECF">
        <w:t xml:space="preserve">con </w:t>
      </w:r>
      <w:r>
        <w:t xml:space="preserve">respecto </w:t>
      </w:r>
      <w:r w:rsidR="00367ECF">
        <w:t>a</w:t>
      </w:r>
      <w:r>
        <w:t xml:space="preserve"> los meses previos, se mantiene bastante alto respecto </w:t>
      </w:r>
      <w:r w:rsidR="00367ECF">
        <w:t>de</w:t>
      </w:r>
      <w:r>
        <w:t>l grado de ejecución de los años anteriores.</w:t>
      </w:r>
    </w:p>
    <w:p w14:paraId="79B8C856" w14:textId="58EE872F" w:rsidR="00B545DE" w:rsidRDefault="00B545DE" w:rsidP="00B545DE">
      <w:pPr>
        <w:autoSpaceDE w:val="0"/>
        <w:autoSpaceDN w:val="0"/>
        <w:adjustRightInd w:val="0"/>
        <w:jc w:val="both"/>
      </w:pPr>
    </w:p>
    <w:p w14:paraId="51C50498" w14:textId="0E4E11FD" w:rsidR="00533929" w:rsidRDefault="00533929" w:rsidP="00B545DE">
      <w:pPr>
        <w:autoSpaceDE w:val="0"/>
        <w:autoSpaceDN w:val="0"/>
        <w:adjustRightInd w:val="0"/>
        <w:jc w:val="both"/>
      </w:pPr>
    </w:p>
    <w:p w14:paraId="6414D76C" w14:textId="77777777" w:rsidR="00533929" w:rsidRDefault="00533929" w:rsidP="00B545DE">
      <w:pPr>
        <w:autoSpaceDE w:val="0"/>
        <w:autoSpaceDN w:val="0"/>
        <w:adjustRightInd w:val="0"/>
        <w:jc w:val="both"/>
      </w:pPr>
    </w:p>
    <w:p w14:paraId="40EA73C4" w14:textId="5E3BD46B" w:rsidR="00B545DE" w:rsidRDefault="00B545DE" w:rsidP="00B545DE">
      <w:pPr>
        <w:autoSpaceDE w:val="0"/>
        <w:autoSpaceDN w:val="0"/>
        <w:adjustRightInd w:val="0"/>
        <w:jc w:val="both"/>
      </w:pPr>
      <w:r>
        <w:t>En cuanto al financiamiento, al cierre de junio</w:t>
      </w:r>
      <w:r w:rsidR="005D7D52">
        <w:t xml:space="preserve"> de 2023</w:t>
      </w:r>
      <w:r>
        <w:t xml:space="preserve"> se obtuvo un flujo positivo en el endeudamiento externo neto por el equivalente a Q</w:t>
      </w:r>
      <w:r w:rsidR="005D7D52">
        <w:t>.</w:t>
      </w:r>
      <w:r>
        <w:t>6,982.8 millones, derivado de la colocación de US$1,000</w:t>
      </w:r>
      <w:r w:rsidR="004E37E7">
        <w:t>.0</w:t>
      </w:r>
      <w:r>
        <w:t xml:space="preserve"> millones (Q</w:t>
      </w:r>
      <w:r w:rsidR="005D7D52">
        <w:t>.</w:t>
      </w:r>
      <w:r>
        <w:t>7,833.2 millones) en el mercado internacional</w:t>
      </w:r>
      <w:r w:rsidR="005D7D52">
        <w:t>,</w:t>
      </w:r>
      <w:r>
        <w:t xml:space="preserve"> por medio de un Eurobono. Esta emisión se realizó a un plazo de 12 años (con vencimiento en el 2035) y una tasa de cupón de 6.6%, en condiciones que todavía se consideran bastante favorables para el país, a pesar del entorno económico internacional y nacional de subida de tasa de política monetaria por parte de los </w:t>
      </w:r>
      <w:r w:rsidR="00C95A7E">
        <w:t>b</w:t>
      </w:r>
      <w:r>
        <w:t xml:space="preserve">ancos </w:t>
      </w:r>
      <w:r w:rsidR="00C95A7E">
        <w:t>c</w:t>
      </w:r>
      <w:r>
        <w:t>entrales, como mecanismo para controlar la inflación, y por consiguiente de las tasas de interés en los bancos del sistema financiero.</w:t>
      </w:r>
    </w:p>
    <w:p w14:paraId="7D680F06" w14:textId="77777777" w:rsidR="00B545DE" w:rsidRDefault="00B545DE" w:rsidP="00B545DE">
      <w:pPr>
        <w:autoSpaceDE w:val="0"/>
        <w:autoSpaceDN w:val="0"/>
        <w:adjustRightInd w:val="0"/>
        <w:jc w:val="both"/>
      </w:pPr>
    </w:p>
    <w:p w14:paraId="1C155DCE" w14:textId="64EFDB39" w:rsidR="00B545DE" w:rsidRDefault="00B545DE" w:rsidP="00B545DE">
      <w:pPr>
        <w:autoSpaceDE w:val="0"/>
        <w:autoSpaceDN w:val="0"/>
        <w:adjustRightInd w:val="0"/>
        <w:jc w:val="both"/>
      </w:pPr>
      <w:r>
        <w:t>La demanda del Eurobono fue bastante significativa, alcanzando los US$3,200</w:t>
      </w:r>
      <w:r w:rsidR="004E37E7">
        <w:t>.0</w:t>
      </w:r>
      <w:r>
        <w:t xml:space="preserve"> millones, reflejando la confianza que tienen los inversionistas</w:t>
      </w:r>
      <w:r w:rsidR="00C95A7E">
        <w:t xml:space="preserve"> extranjeros</w:t>
      </w:r>
      <w:r>
        <w:t xml:space="preserve"> en los títulos de deuda que emite el Estado de Guatemala. Adicionalmente, es importante resaltar que la colocación del Eurobono no representa deuda pública adicional, sino ya forma parte del cupo de endeudamiento público que el Congreso de la República aprobó para el presente ejercicio fiscal.</w:t>
      </w:r>
    </w:p>
    <w:p w14:paraId="7ABC6ECA" w14:textId="77777777" w:rsidR="00B545DE" w:rsidRDefault="00B545DE" w:rsidP="00B545DE">
      <w:pPr>
        <w:autoSpaceDE w:val="0"/>
        <w:autoSpaceDN w:val="0"/>
        <w:adjustRightInd w:val="0"/>
        <w:jc w:val="both"/>
      </w:pPr>
    </w:p>
    <w:p w14:paraId="29F33C1C" w14:textId="32EAC39E" w:rsidR="00B545DE" w:rsidRDefault="00B545DE" w:rsidP="00B545DE">
      <w:pPr>
        <w:autoSpaceDE w:val="0"/>
        <w:autoSpaceDN w:val="0"/>
        <w:adjustRightInd w:val="0"/>
        <w:jc w:val="both"/>
      </w:pPr>
      <w:r>
        <w:t>Además, es importante considerar que en el Congreso de la República se encuentran cuatro préstamos en trámite de aproba</w:t>
      </w:r>
      <w:r w:rsidR="004E37E7">
        <w:t>ción</w:t>
      </w:r>
      <w:r>
        <w:t>. Son de suma importancia los préstamos de apoyo presupuestario, negociados con el Banco Internacional de Reconstrucción y Fomento (BIRF) por US$250</w:t>
      </w:r>
      <w:r w:rsidR="004E37E7">
        <w:t>.0</w:t>
      </w:r>
      <w:r>
        <w:t xml:space="preserve"> millones y con el Banco Interamericano de Desarrollo (BID) por US$300</w:t>
      </w:r>
      <w:r w:rsidR="004E37E7">
        <w:t>.0</w:t>
      </w:r>
      <w:r>
        <w:t xml:space="preserve"> millones, derivado que se incorporarían al </w:t>
      </w:r>
      <w:r w:rsidR="004E37E7">
        <w:t>p</w:t>
      </w:r>
      <w:r>
        <w:t>resupuesto</w:t>
      </w:r>
      <w:r w:rsidR="004E37E7">
        <w:t xml:space="preserve"> vigente</w:t>
      </w:r>
      <w:r>
        <w:t xml:space="preserve"> </w:t>
      </w:r>
      <w:r w:rsidR="004E37E7">
        <w:t xml:space="preserve">por </w:t>
      </w:r>
      <w:r>
        <w:t>el equivalente a US$550.0 millones (alrededor de Q</w:t>
      </w:r>
      <w:r w:rsidR="004E37E7">
        <w:t>.</w:t>
      </w:r>
      <w:r>
        <w:t>4,290</w:t>
      </w:r>
      <w:r w:rsidR="004E37E7">
        <w:t>.0</w:t>
      </w:r>
      <w:r>
        <w:t xml:space="preserve"> millones), por medio de una sustitución de fuente</w:t>
      </w:r>
      <w:r w:rsidR="004E37E7">
        <w:t>s</w:t>
      </w:r>
      <w:r>
        <w:t xml:space="preserve"> de financiamiento, liberando recursos de la colocación de bonos del tesoro, todo ello sin incrementar el </w:t>
      </w:r>
      <w:r w:rsidR="004E37E7">
        <w:t>p</w:t>
      </w:r>
      <w:r>
        <w:t xml:space="preserve">resupuesto </w:t>
      </w:r>
      <w:r w:rsidR="004E37E7">
        <w:t>de ingresos y e</w:t>
      </w:r>
      <w:r>
        <w:t>gresos vigente para 2023, porque ello no representaría ingresos y gastos adicionales.</w:t>
      </w:r>
    </w:p>
    <w:p w14:paraId="7355DA68" w14:textId="77777777" w:rsidR="00B545DE" w:rsidRDefault="00B545DE" w:rsidP="00B545DE">
      <w:pPr>
        <w:autoSpaceDE w:val="0"/>
        <w:autoSpaceDN w:val="0"/>
        <w:adjustRightInd w:val="0"/>
        <w:jc w:val="both"/>
      </w:pPr>
    </w:p>
    <w:p w14:paraId="3FA8B8A0" w14:textId="77777777" w:rsidR="00B545DE" w:rsidRDefault="00B545DE" w:rsidP="00B545DE">
      <w:pPr>
        <w:autoSpaceDE w:val="0"/>
        <w:autoSpaceDN w:val="0"/>
        <w:adjustRightInd w:val="0"/>
        <w:jc w:val="both"/>
      </w:pPr>
      <w:r>
        <w:t>Estos préstamos cobran relevancia, dado que consideran condiciones financieras bastante favorables, representando ahorros en contraste con una emisión local.</w:t>
      </w:r>
    </w:p>
    <w:p w14:paraId="46BF9AE1" w14:textId="77777777" w:rsidR="00B545DE" w:rsidRDefault="00B545DE" w:rsidP="00B545DE">
      <w:pPr>
        <w:autoSpaceDE w:val="0"/>
        <w:autoSpaceDN w:val="0"/>
        <w:adjustRightInd w:val="0"/>
        <w:jc w:val="both"/>
      </w:pPr>
    </w:p>
    <w:p w14:paraId="3FA591E4" w14:textId="0A626278" w:rsidR="00B545DE" w:rsidRDefault="00B545DE" w:rsidP="00B545DE">
      <w:pPr>
        <w:autoSpaceDE w:val="0"/>
        <w:autoSpaceDN w:val="0"/>
        <w:adjustRightInd w:val="0"/>
        <w:jc w:val="both"/>
      </w:pPr>
      <w:r>
        <w:t>Adicionalmente, se han realizado colocaciones por Q</w:t>
      </w:r>
      <w:r w:rsidR="004E37E7">
        <w:t>.</w:t>
      </w:r>
      <w:r>
        <w:t>924.1 millones, correspondientes a Bonos del Tesoro en el mercado interno. Respect</w:t>
      </w:r>
      <w:r w:rsidRPr="00622789">
        <w:t xml:space="preserve">o </w:t>
      </w:r>
      <w:r w:rsidR="004E37E7">
        <w:t>de</w:t>
      </w:r>
      <w:r w:rsidRPr="00622789">
        <w:t xml:space="preserve"> las condiciones financieras, </w:t>
      </w:r>
      <w:r>
        <w:t xml:space="preserve">la tasa ponderada que se ha alcanzado en moneda nacional asciende a 7.2%, siendo el plazo promedio de colocación de 15.6 años, se observa un aumento en la tasa respecto </w:t>
      </w:r>
      <w:r w:rsidR="004E37E7">
        <w:t>de</w:t>
      </w:r>
      <w:r>
        <w:t xml:space="preserve"> las colocaciones de años anteriores, así como una disminución en el plazo de </w:t>
      </w:r>
      <w:r w:rsidR="004E37E7">
        <w:t xml:space="preserve">la </w:t>
      </w:r>
      <w:r>
        <w:t>colocación, presionado por el alza en la tasa líder de política monetaria aplicada por el Banco de Guatemala</w:t>
      </w:r>
      <w:r w:rsidR="004E37E7">
        <w:t>,</w:t>
      </w:r>
      <w:r>
        <w:t xml:space="preserve"> como consecuencia del aumento en las expectativas inflacionarias, así como la coyuntura internacional prevaleciente.</w:t>
      </w:r>
    </w:p>
    <w:p w14:paraId="4DDA9DBC" w14:textId="77777777" w:rsidR="00B545DE" w:rsidRDefault="00B545DE" w:rsidP="00B545DE">
      <w:pPr>
        <w:autoSpaceDE w:val="0"/>
        <w:autoSpaceDN w:val="0"/>
        <w:adjustRightInd w:val="0"/>
        <w:jc w:val="both"/>
      </w:pPr>
    </w:p>
    <w:p w14:paraId="56E22131" w14:textId="0266C726" w:rsidR="00B545DE" w:rsidRDefault="00B545DE" w:rsidP="00B545DE">
      <w:pPr>
        <w:autoSpaceDE w:val="0"/>
        <w:autoSpaceDN w:val="0"/>
        <w:adjustRightInd w:val="0"/>
        <w:jc w:val="both"/>
      </w:pPr>
      <w:r>
        <w:t>Es relevante indicar que en la sesión celebrada el 28 de junio</w:t>
      </w:r>
      <w:r w:rsidR="00F6020F">
        <w:t xml:space="preserve"> de 2023</w:t>
      </w:r>
      <w:r>
        <w:t>, la Junta Monetaria decidió por unanimidad mantener en 5.0% el nivel de la tasa de interés de política monetaria, siendo la tercera vez consecutiva que decide mantener la tasa en dicho nivel.</w:t>
      </w:r>
    </w:p>
    <w:p w14:paraId="3C204438" w14:textId="77777777" w:rsidR="00B545DE" w:rsidRDefault="00B545DE" w:rsidP="00B545DE">
      <w:pPr>
        <w:autoSpaceDE w:val="0"/>
        <w:autoSpaceDN w:val="0"/>
        <w:adjustRightInd w:val="0"/>
        <w:jc w:val="both"/>
      </w:pPr>
    </w:p>
    <w:p w14:paraId="3CE5F601" w14:textId="158886BD" w:rsidR="00B545DE" w:rsidRDefault="00B545DE" w:rsidP="00B545DE">
      <w:pPr>
        <w:autoSpaceDE w:val="0"/>
        <w:autoSpaceDN w:val="0"/>
        <w:adjustRightInd w:val="0"/>
        <w:jc w:val="both"/>
      </w:pPr>
      <w:r>
        <w:t>Lo anterior deriva que a nivel internacional</w:t>
      </w:r>
      <w:r w:rsidR="00F6020F">
        <w:t>,</w:t>
      </w:r>
      <w:r>
        <w:t xml:space="preserve"> las proyecciones de la actividad económica mundial evidencian crecimientos positivos para este año y el siguiente</w:t>
      </w:r>
      <w:r w:rsidR="00F6020F">
        <w:t>;</w:t>
      </w:r>
      <w:r>
        <w:t xml:space="preserve"> asimismo, la inflación internacional ha empezado a ceder, particularmente la de los principales socios comerciales de Guatemala, aunque aún se encuentra por encima de las metas de la mayoría de bancos centrales.</w:t>
      </w:r>
    </w:p>
    <w:p w14:paraId="5D1B6026" w14:textId="77777777" w:rsidR="00B545DE" w:rsidRDefault="00B545DE" w:rsidP="00B545DE">
      <w:pPr>
        <w:autoSpaceDE w:val="0"/>
        <w:autoSpaceDN w:val="0"/>
        <w:adjustRightInd w:val="0"/>
        <w:jc w:val="both"/>
      </w:pPr>
    </w:p>
    <w:p w14:paraId="7E447F32" w14:textId="0979B701" w:rsidR="00B545DE" w:rsidRDefault="00B545DE" w:rsidP="00B545DE">
      <w:pPr>
        <w:autoSpaceDE w:val="0"/>
        <w:autoSpaceDN w:val="0"/>
        <w:adjustRightInd w:val="0"/>
        <w:jc w:val="both"/>
      </w:pPr>
      <w:r>
        <w:t xml:space="preserve">La inflación de junio </w:t>
      </w:r>
      <w:r w:rsidR="00EA636B">
        <w:t xml:space="preserve">de 2023 </w:t>
      </w:r>
      <w:r>
        <w:t>continúo reduciéndose al ubicarse en 4.9% (6.5% en mayo)</w:t>
      </w:r>
      <w:r w:rsidR="00EA636B">
        <w:t>,</w:t>
      </w:r>
      <w:r>
        <w:t xml:space="preserve"> como resultado del esfuerzo del Banco de Guatemala </w:t>
      </w:r>
      <w:r w:rsidR="00EA636B">
        <w:t>de</w:t>
      </w:r>
      <w:r>
        <w:t xml:space="preserve"> mantener ancladas las expectativas inflacionarias con aumentos en la tasa de interés líder de política monetaria. De acuerdo al Ban</w:t>
      </w:r>
      <w:r w:rsidR="00EA636B">
        <w:t>co de Guatemala</w:t>
      </w:r>
      <w:r>
        <w:t>, tanto los pronósticos como las expectativas muestran que la inflación mantendría la trayectoria decreciente que convergería a la meta de 4% ±1%</w:t>
      </w:r>
      <w:r w:rsidR="00EA636B">
        <w:t>,</w:t>
      </w:r>
      <w:r>
        <w:t xml:space="preserve"> para final del año.</w:t>
      </w:r>
    </w:p>
    <w:p w14:paraId="24D0A8DC" w14:textId="77777777" w:rsidR="00B545DE" w:rsidRDefault="00B545DE" w:rsidP="00B545DE">
      <w:pPr>
        <w:autoSpaceDE w:val="0"/>
        <w:autoSpaceDN w:val="0"/>
        <w:adjustRightInd w:val="0"/>
        <w:jc w:val="both"/>
      </w:pPr>
    </w:p>
    <w:p w14:paraId="73EAD7F6" w14:textId="24C6EE9D" w:rsidR="00B545DE" w:rsidRDefault="00B545DE" w:rsidP="00B545DE">
      <w:pPr>
        <w:autoSpaceDE w:val="0"/>
        <w:autoSpaceDN w:val="0"/>
        <w:adjustRightInd w:val="0"/>
        <w:jc w:val="both"/>
      </w:pPr>
      <w:r>
        <w:t xml:space="preserve">Respecto </w:t>
      </w:r>
      <w:r w:rsidR="00EA636B">
        <w:t>de</w:t>
      </w:r>
      <w:r>
        <w:t xml:space="preserve"> los pequeños inversionistas, se dispone de un cupo de hasta Q</w:t>
      </w:r>
      <w:r w:rsidR="00EA636B">
        <w:t>.</w:t>
      </w:r>
      <w:r>
        <w:t>500</w:t>
      </w:r>
      <w:r w:rsidR="00EA636B">
        <w:t>.0</w:t>
      </w:r>
      <w:r>
        <w:t xml:space="preserve"> millones, aprobado d</w:t>
      </w:r>
      <w:r w:rsidR="00EA636B">
        <w:t>e</w:t>
      </w:r>
      <w:r>
        <w:t xml:space="preserve">ntro del </w:t>
      </w:r>
      <w:r w:rsidR="00EA636B">
        <w:t>p</w:t>
      </w:r>
      <w:r>
        <w:t>resupuesto para el ejercicio 2023. El cupo destinado a este fin tuvo un incremento importante, pasando de Q</w:t>
      </w:r>
      <w:r w:rsidR="00EA636B">
        <w:t>.</w:t>
      </w:r>
      <w:r>
        <w:t>100</w:t>
      </w:r>
      <w:r w:rsidR="00EA636B">
        <w:t>.0</w:t>
      </w:r>
      <w:r>
        <w:t xml:space="preserve"> a Q</w:t>
      </w:r>
      <w:r w:rsidR="00EA636B">
        <w:t>.</w:t>
      </w:r>
      <w:r>
        <w:t>500</w:t>
      </w:r>
      <w:r w:rsidR="00EA636B">
        <w:t>.0</w:t>
      </w:r>
      <w:r>
        <w:t xml:space="preserve"> millones</w:t>
      </w:r>
      <w:r w:rsidR="00EA636B">
        <w:t>; este</w:t>
      </w:r>
      <w:r>
        <w:t xml:space="preserve"> aumento se debe a que desde que se inició con este tipo de colocación, fue hasta el 2021 que se logró colocar la totalidad del cupo aprobado (Q</w:t>
      </w:r>
      <w:r w:rsidR="00EA636B">
        <w:t>.</w:t>
      </w:r>
      <w:r>
        <w:t>100</w:t>
      </w:r>
      <w:r w:rsidR="00EA636B">
        <w:t>.0</w:t>
      </w:r>
      <w:r>
        <w:t xml:space="preserve"> millones), siendo una opción de inversión para pequeños inversionistas dado que los montos de inversión van desde un mínimo de Q</w:t>
      </w:r>
      <w:r w:rsidR="00EA636B">
        <w:t>.</w:t>
      </w:r>
      <w:r>
        <w:t>10,000 hasta un máximo de Q</w:t>
      </w:r>
      <w:r w:rsidR="00EA636B">
        <w:t>.</w:t>
      </w:r>
      <w:r>
        <w:t>500,000, a</w:t>
      </w:r>
      <w:r w:rsidR="00EA636B">
        <w:t xml:space="preserve">l </w:t>
      </w:r>
      <w:r>
        <w:t>tiempo que es un mecanismo de diversificación en el financiamiento de la necesidades del Estado.</w:t>
      </w:r>
    </w:p>
    <w:p w14:paraId="136BE29E" w14:textId="77777777" w:rsidR="00B545DE" w:rsidRDefault="00B545DE" w:rsidP="00B545DE">
      <w:pPr>
        <w:autoSpaceDE w:val="0"/>
        <w:autoSpaceDN w:val="0"/>
        <w:adjustRightInd w:val="0"/>
        <w:jc w:val="both"/>
      </w:pPr>
    </w:p>
    <w:p w14:paraId="2CE190C1" w14:textId="77777777" w:rsidR="00B545DE" w:rsidRDefault="00B545DE" w:rsidP="00B545DE">
      <w:pPr>
        <w:autoSpaceDE w:val="0"/>
        <w:autoSpaceDN w:val="0"/>
        <w:adjustRightInd w:val="0"/>
        <w:jc w:val="both"/>
      </w:pPr>
      <w:r>
        <w:t>Los plazos de vencimiento para este segmento son de 1, 2 y 3 años. Para 2024 el rendimiento es de 6.0%, para 2025 el rendimiento es de 6.125% y para 2026 el rendimiento es de 6.250%.</w:t>
      </w:r>
    </w:p>
    <w:p w14:paraId="647B0F48" w14:textId="77777777" w:rsidR="00B545DE" w:rsidRDefault="00B545DE" w:rsidP="00B545DE">
      <w:pPr>
        <w:autoSpaceDE w:val="0"/>
        <w:autoSpaceDN w:val="0"/>
        <w:adjustRightInd w:val="0"/>
        <w:jc w:val="both"/>
      </w:pPr>
    </w:p>
    <w:p w14:paraId="60062ED2" w14:textId="5576CCC8" w:rsidR="00B545DE" w:rsidRDefault="00B545DE" w:rsidP="00B545DE">
      <w:pPr>
        <w:autoSpaceDE w:val="0"/>
        <w:autoSpaceDN w:val="0"/>
        <w:adjustRightInd w:val="0"/>
        <w:jc w:val="both"/>
        <w:rPr>
          <w:lang w:val="es-GT"/>
        </w:rPr>
      </w:pPr>
      <w:r w:rsidRPr="00552513">
        <w:t>En</w:t>
      </w:r>
      <w:r w:rsidRPr="00552513">
        <w:rPr>
          <w:lang w:val="es-GT"/>
        </w:rPr>
        <w:t xml:space="preserve"> la estimación de cierre</w:t>
      </w:r>
      <w:r w:rsidR="00C31F74">
        <w:rPr>
          <w:lang w:val="es-GT"/>
        </w:rPr>
        <w:t xml:space="preserve"> de 2023</w:t>
      </w:r>
      <w:r w:rsidRPr="00552513">
        <w:rPr>
          <w:lang w:val="es-GT"/>
        </w:rPr>
        <w:t>, se espera que el déficit fiscal se ubique en torno a los Q</w:t>
      </w:r>
      <w:r w:rsidR="00C31F74">
        <w:rPr>
          <w:lang w:val="es-GT"/>
        </w:rPr>
        <w:t>.</w:t>
      </w:r>
      <w:r w:rsidRPr="00552513">
        <w:rPr>
          <w:lang w:val="es-GT"/>
        </w:rPr>
        <w:t>1</w:t>
      </w:r>
      <w:r>
        <w:rPr>
          <w:lang w:val="es-GT"/>
        </w:rPr>
        <w:t>3,508.6</w:t>
      </w:r>
      <w:r w:rsidRPr="00552513">
        <w:rPr>
          <w:lang w:val="es-GT"/>
        </w:rPr>
        <w:t xml:space="preserve"> millones, equivalente</w:t>
      </w:r>
      <w:r w:rsidR="00C31F74">
        <w:rPr>
          <w:lang w:val="es-GT"/>
        </w:rPr>
        <w:t>s</w:t>
      </w:r>
      <w:r w:rsidRPr="00552513">
        <w:rPr>
          <w:lang w:val="es-GT"/>
        </w:rPr>
        <w:t xml:space="preserve"> a 1</w:t>
      </w:r>
      <w:r>
        <w:rPr>
          <w:lang w:val="es-GT"/>
        </w:rPr>
        <w:t>7</w:t>
      </w:r>
      <w:r w:rsidRPr="00552513">
        <w:rPr>
          <w:lang w:val="es-GT"/>
        </w:rPr>
        <w:t>8</w:t>
      </w:r>
      <w:r w:rsidR="00C31F74">
        <w:rPr>
          <w:lang w:val="es-GT"/>
        </w:rPr>
        <w:t>.0</w:t>
      </w:r>
      <w:r w:rsidRPr="00552513">
        <w:rPr>
          <w:lang w:val="es-GT"/>
        </w:rPr>
        <w:t>% del PIB, mayor al nivel obtenido en 2022</w:t>
      </w:r>
      <w:r w:rsidR="00C31F74">
        <w:rPr>
          <w:lang w:val="es-GT"/>
        </w:rPr>
        <w:t>,</w:t>
      </w:r>
      <w:r w:rsidRPr="00552513">
        <w:rPr>
          <w:lang w:val="es-GT"/>
        </w:rPr>
        <w:t xml:space="preserve"> en </w:t>
      </w:r>
      <w:r w:rsidR="00C31F74">
        <w:rPr>
          <w:lang w:val="es-GT"/>
        </w:rPr>
        <w:t>que</w:t>
      </w:r>
      <w:r w:rsidRPr="00552513">
        <w:rPr>
          <w:lang w:val="es-GT"/>
        </w:rPr>
        <w:t xml:space="preserve"> el déficit se ubicó en Q</w:t>
      </w:r>
      <w:r w:rsidR="00C31F74">
        <w:rPr>
          <w:lang w:val="es-GT"/>
        </w:rPr>
        <w:t>.</w:t>
      </w:r>
      <w:r w:rsidRPr="00552513">
        <w:rPr>
          <w:lang w:val="es-GT"/>
        </w:rPr>
        <w:t>12,561.9 millones, equivalente</w:t>
      </w:r>
      <w:r w:rsidR="00C31F74">
        <w:rPr>
          <w:lang w:val="es-GT"/>
        </w:rPr>
        <w:t>s</w:t>
      </w:r>
      <w:r w:rsidRPr="00552513">
        <w:rPr>
          <w:lang w:val="es-GT"/>
        </w:rPr>
        <w:t xml:space="preserve"> al 1.2% del PIB. El resultado de 2023 estará por debajo de lo estimado en el presupuesto para este año</w:t>
      </w:r>
      <w:r>
        <w:rPr>
          <w:lang w:val="es-GT"/>
        </w:rPr>
        <w:t>,</w:t>
      </w:r>
      <w:r w:rsidRPr="00552513">
        <w:rPr>
          <w:lang w:val="es-GT"/>
        </w:rPr>
        <w:t xml:space="preserve"> ya que se había previsto un déficit de </w:t>
      </w:r>
      <w:r>
        <w:rPr>
          <w:lang w:val="es-GT"/>
        </w:rPr>
        <w:t>3.0</w:t>
      </w:r>
      <w:r w:rsidRPr="00552513">
        <w:rPr>
          <w:lang w:val="es-GT"/>
        </w:rPr>
        <w:t xml:space="preserve">% </w:t>
      </w:r>
      <w:r w:rsidR="00C31F74">
        <w:rPr>
          <w:lang w:val="es-GT"/>
        </w:rPr>
        <w:t>con respecto al</w:t>
      </w:r>
      <w:r w:rsidRPr="00552513">
        <w:rPr>
          <w:lang w:val="es-GT"/>
        </w:rPr>
        <w:t xml:space="preserve"> PIB.</w:t>
      </w:r>
    </w:p>
    <w:p w14:paraId="683F1D2E" w14:textId="2015ABF8" w:rsidR="00B545DE" w:rsidRDefault="00B545DE" w:rsidP="00B545DE">
      <w:pPr>
        <w:autoSpaceDE w:val="0"/>
        <w:autoSpaceDN w:val="0"/>
        <w:adjustRightInd w:val="0"/>
        <w:jc w:val="both"/>
      </w:pPr>
    </w:p>
    <w:p w14:paraId="7A730987" w14:textId="77777777" w:rsidR="00533929" w:rsidRDefault="00533929" w:rsidP="00B545DE">
      <w:pPr>
        <w:autoSpaceDE w:val="0"/>
        <w:autoSpaceDN w:val="0"/>
        <w:adjustRightInd w:val="0"/>
        <w:jc w:val="both"/>
      </w:pPr>
    </w:p>
    <w:p w14:paraId="584F6752" w14:textId="420E476F" w:rsidR="00B545DE" w:rsidRPr="00AD03E4" w:rsidRDefault="00B545DE" w:rsidP="00AD03E4">
      <w:pPr>
        <w:pStyle w:val="Ttulo2"/>
        <w:numPr>
          <w:ilvl w:val="0"/>
          <w:numId w:val="6"/>
        </w:numPr>
        <w:ind w:left="426"/>
        <w:rPr>
          <w:rFonts w:ascii="Times New Roman" w:hAnsi="Times New Roman"/>
          <w:color w:val="auto"/>
          <w:sz w:val="24"/>
        </w:rPr>
      </w:pPr>
      <w:bookmarkStart w:id="76" w:name="_Toc142549359"/>
      <w:bookmarkStart w:id="77" w:name="_Toc142920567"/>
      <w:r w:rsidRPr="00AD03E4">
        <w:rPr>
          <w:rFonts w:ascii="Times New Roman" w:hAnsi="Times New Roman"/>
          <w:color w:val="auto"/>
          <w:sz w:val="24"/>
        </w:rPr>
        <w:t>Deuda</w:t>
      </w:r>
      <w:bookmarkEnd w:id="76"/>
      <w:r w:rsidR="00C31F74" w:rsidRPr="00AD03E4">
        <w:rPr>
          <w:rFonts w:ascii="Times New Roman" w:hAnsi="Times New Roman"/>
          <w:color w:val="auto"/>
          <w:sz w:val="24"/>
        </w:rPr>
        <w:t xml:space="preserve"> Pública</w:t>
      </w:r>
      <w:bookmarkEnd w:id="77"/>
    </w:p>
    <w:p w14:paraId="793B870F" w14:textId="77777777" w:rsidR="00B545DE" w:rsidRDefault="00B545DE" w:rsidP="00B545DE">
      <w:pPr>
        <w:autoSpaceDE w:val="0"/>
        <w:autoSpaceDN w:val="0"/>
        <w:adjustRightInd w:val="0"/>
        <w:jc w:val="both"/>
      </w:pPr>
    </w:p>
    <w:p w14:paraId="7BB93538" w14:textId="3DAF0191" w:rsidR="00B545DE" w:rsidRPr="00212E53" w:rsidRDefault="00B545DE" w:rsidP="00B545DE">
      <w:pPr>
        <w:autoSpaceDE w:val="0"/>
        <w:autoSpaceDN w:val="0"/>
        <w:adjustRightInd w:val="0"/>
        <w:jc w:val="both"/>
      </w:pPr>
      <w:r w:rsidRPr="00212E53">
        <w:t>La deuda pública en 202</w:t>
      </w:r>
      <w:r>
        <w:t>2</w:t>
      </w:r>
      <w:r w:rsidRPr="00212E53">
        <w:t xml:space="preserve"> report</w:t>
      </w:r>
      <w:r w:rsidR="00C31F74">
        <w:t>ó</w:t>
      </w:r>
      <w:r w:rsidRPr="00212E53">
        <w:t xml:space="preserve"> un saldo de Q</w:t>
      </w:r>
      <w:r w:rsidR="00740809">
        <w:t>.</w:t>
      </w:r>
      <w:r>
        <w:t>214</w:t>
      </w:r>
      <w:r w:rsidRPr="00212E53">
        <w:t>,</w:t>
      </w:r>
      <w:r>
        <w:t>755.4</w:t>
      </w:r>
      <w:r w:rsidRPr="00212E53">
        <w:t xml:space="preserve"> millones, de los cuales, por estructura de origen, el 5</w:t>
      </w:r>
      <w:r>
        <w:t>9</w:t>
      </w:r>
      <w:r w:rsidRPr="00212E53">
        <w:t>.</w:t>
      </w:r>
      <w:r>
        <w:t>4</w:t>
      </w:r>
      <w:r w:rsidRPr="00212E53">
        <w:t>% correspondió a deuda interna y 4</w:t>
      </w:r>
      <w:r>
        <w:t>0.</w:t>
      </w:r>
      <w:r w:rsidRPr="00CC2463">
        <w:t xml:space="preserve">6% a deuda externa. Respecto </w:t>
      </w:r>
      <w:r w:rsidR="007F6027">
        <w:t>de</w:t>
      </w:r>
      <w:r w:rsidRPr="00CC2463">
        <w:t xml:space="preserve"> la estructura por moneda, el 56.7% correspondió a moneda nacional y 43.3% a moneda extranjera.</w:t>
      </w:r>
    </w:p>
    <w:p w14:paraId="0B3B9F68" w14:textId="77777777" w:rsidR="00B545DE" w:rsidRPr="00212E53" w:rsidRDefault="00B545DE" w:rsidP="00B545DE">
      <w:pPr>
        <w:autoSpaceDE w:val="0"/>
        <w:autoSpaceDN w:val="0"/>
        <w:adjustRightInd w:val="0"/>
        <w:jc w:val="both"/>
      </w:pPr>
    </w:p>
    <w:p w14:paraId="095F0837" w14:textId="45C45287" w:rsidR="00B545DE" w:rsidRPr="00212E53" w:rsidRDefault="00B545DE" w:rsidP="00B545DE">
      <w:pPr>
        <w:autoSpaceDE w:val="0"/>
        <w:autoSpaceDN w:val="0"/>
        <w:adjustRightInd w:val="0"/>
        <w:jc w:val="both"/>
      </w:pPr>
      <w:r w:rsidRPr="00920F85">
        <w:t xml:space="preserve">De acuerdo </w:t>
      </w:r>
      <w:r w:rsidR="007F6027">
        <w:t>con</w:t>
      </w:r>
      <w:r w:rsidRPr="00920F85">
        <w:t xml:space="preserve"> la estimación de cierre para 2023, se espera que el saldo de la deuda pública crezca en Q</w:t>
      </w:r>
      <w:r w:rsidR="007F6027">
        <w:t>.</w:t>
      </w:r>
      <w:r>
        <w:t>9,637.7</w:t>
      </w:r>
      <w:r w:rsidRPr="00920F85">
        <w:t xml:space="preserve"> millones (</w:t>
      </w:r>
      <w:r>
        <w:t>4.5</w:t>
      </w:r>
      <w:r w:rsidRPr="00920F85">
        <w:t>%) y la estructura de origen de deuda se modifique levemente</w:t>
      </w:r>
      <w:r w:rsidR="007F6027">
        <w:t>,</w:t>
      </w:r>
      <w:r w:rsidRPr="00920F85">
        <w:t xml:space="preserve"> siendo el porcentaje de deuda interna 58.</w:t>
      </w:r>
      <w:r>
        <w:t>3</w:t>
      </w:r>
      <w:r w:rsidRPr="00920F85">
        <w:t>% y por moneda disminuye el porcentaje en moneda local a 55.</w:t>
      </w:r>
      <w:r>
        <w:t>7</w:t>
      </w:r>
      <w:r w:rsidRPr="00920F85">
        <w:t>%, esto se da como resultado del mayor financiamiento externo para el presente año.</w:t>
      </w:r>
    </w:p>
    <w:p w14:paraId="1DCAD8A2" w14:textId="77777777" w:rsidR="00B545DE" w:rsidRDefault="00B545DE" w:rsidP="00B545DE">
      <w:pPr>
        <w:autoSpaceDE w:val="0"/>
        <w:autoSpaceDN w:val="0"/>
        <w:adjustRightInd w:val="0"/>
        <w:jc w:val="both"/>
        <w:rPr>
          <w:highlight w:val="yellow"/>
        </w:rPr>
      </w:pPr>
    </w:p>
    <w:p w14:paraId="09E5909A" w14:textId="09B64201" w:rsidR="00B545DE" w:rsidRDefault="00B545DE" w:rsidP="00B545DE">
      <w:pPr>
        <w:autoSpaceDE w:val="0"/>
        <w:autoSpaceDN w:val="0"/>
        <w:adjustRightInd w:val="0"/>
        <w:jc w:val="both"/>
      </w:pPr>
      <w:r>
        <w:t>Considerando el</w:t>
      </w:r>
      <w:r w:rsidRPr="00212E53">
        <w:t xml:space="preserve"> indicador de solvencia de la deuda pública, también conocido como indica</w:t>
      </w:r>
      <w:r>
        <w:t>dor</w:t>
      </w:r>
      <w:r w:rsidRPr="00212E53">
        <w:t xml:space="preserve"> de sostenibilidad, </w:t>
      </w:r>
      <w:r w:rsidR="007F6027">
        <w:t xml:space="preserve">se </w:t>
      </w:r>
      <w:r>
        <w:t xml:space="preserve">muestra </w:t>
      </w:r>
      <w:r w:rsidRPr="00212E53">
        <w:t xml:space="preserve">la capacidad de repago de la deuda que tiene un país considerando </w:t>
      </w:r>
      <w:r w:rsidR="007F6027">
        <w:t>su</w:t>
      </w:r>
      <w:r w:rsidRPr="00212E53">
        <w:t xml:space="preserve"> producción nacional medida a través del PIB.</w:t>
      </w:r>
    </w:p>
    <w:p w14:paraId="46E91DF1" w14:textId="77777777" w:rsidR="00B545DE" w:rsidRDefault="00B545DE" w:rsidP="00B545DE">
      <w:pPr>
        <w:autoSpaceDE w:val="0"/>
        <w:autoSpaceDN w:val="0"/>
        <w:adjustRightInd w:val="0"/>
        <w:jc w:val="both"/>
      </w:pPr>
    </w:p>
    <w:p w14:paraId="782E70A7" w14:textId="323A1C73" w:rsidR="00B545DE" w:rsidRDefault="00B545DE" w:rsidP="00B545DE">
      <w:pPr>
        <w:autoSpaceDE w:val="0"/>
        <w:autoSpaceDN w:val="0"/>
        <w:adjustRightInd w:val="0"/>
        <w:jc w:val="both"/>
      </w:pPr>
      <w:r w:rsidRPr="00212E53">
        <w:t xml:space="preserve">El principal indicador es la relación </w:t>
      </w:r>
      <w:r w:rsidR="007F6027">
        <w:t>D</w:t>
      </w:r>
      <w:r w:rsidRPr="00212E53">
        <w:t>euda</w:t>
      </w:r>
      <w:r w:rsidR="007F6027">
        <w:t xml:space="preserve"> / </w:t>
      </w:r>
      <w:r w:rsidRPr="00212E53">
        <w:t>PIB, que muestra la capacidad potencial que tiene el país para atender sus obligaciones</w:t>
      </w:r>
      <w:r w:rsidR="007F6027">
        <w:t>. P</w:t>
      </w:r>
      <w:r w:rsidRPr="00212E53">
        <w:t>ara el cierre de 202</w:t>
      </w:r>
      <w:r>
        <w:t>2</w:t>
      </w:r>
      <w:r w:rsidRPr="00212E53">
        <w:t xml:space="preserve"> se ubicó </w:t>
      </w:r>
      <w:r>
        <w:t xml:space="preserve">en 29.2% </w:t>
      </w:r>
      <w:r w:rsidRPr="00212E53">
        <w:t xml:space="preserve">derivado del </w:t>
      </w:r>
      <w:r>
        <w:t xml:space="preserve">proceso de consolidación fiscal, el fortalecimiento de los ingresos tributarios, así como una menor </w:t>
      </w:r>
      <w:r w:rsidRPr="00920F85">
        <w:t>colocación de títulos de deuda. Para 2023 se espera que disminuya cerca de un punto porcentual y alcance un nivel de 28.</w:t>
      </w:r>
      <w:r>
        <w:t>5</w:t>
      </w:r>
      <w:r w:rsidRPr="00920F85">
        <w:t>%</w:t>
      </w:r>
      <w:r>
        <w:t>, incluso por debajo de lo previsto en el presupuesto para dicho</w:t>
      </w:r>
      <w:r w:rsidR="007F6027">
        <w:t xml:space="preserve"> año,</w:t>
      </w:r>
      <w:r>
        <w:t xml:space="preserve"> el cual se estimaba en 28.5%.</w:t>
      </w:r>
    </w:p>
    <w:p w14:paraId="28A4A929" w14:textId="77777777" w:rsidR="00B545DE" w:rsidRDefault="00B545DE" w:rsidP="00B545DE">
      <w:pPr>
        <w:autoSpaceDE w:val="0"/>
        <w:autoSpaceDN w:val="0"/>
        <w:adjustRightInd w:val="0"/>
        <w:jc w:val="both"/>
      </w:pPr>
    </w:p>
    <w:p w14:paraId="4FFA5259" w14:textId="1660EBD6" w:rsidR="00B545DE" w:rsidRDefault="00B545DE" w:rsidP="00B545DE">
      <w:pPr>
        <w:autoSpaceDE w:val="0"/>
        <w:autoSpaceDN w:val="0"/>
        <w:adjustRightInd w:val="0"/>
        <w:jc w:val="both"/>
      </w:pPr>
      <w:r>
        <w:t xml:space="preserve">Este indicador </w:t>
      </w:r>
      <w:r w:rsidR="007F6027">
        <w:t>D</w:t>
      </w:r>
      <w:r>
        <w:t>euda</w:t>
      </w:r>
      <w:r w:rsidR="007F6027">
        <w:t xml:space="preserve"> </w:t>
      </w:r>
      <w:r>
        <w:t>/</w:t>
      </w:r>
      <w:r w:rsidR="007F6027">
        <w:t xml:space="preserve"> </w:t>
      </w:r>
      <w:r>
        <w:t xml:space="preserve">PIB aún se encuentra </w:t>
      </w:r>
      <w:r w:rsidRPr="00212E53">
        <w:t>por debajo del benchmark para países emergentes con acceso al mercado del Fondo Monetario Internacional</w:t>
      </w:r>
      <w:r w:rsidR="007F6027">
        <w:t xml:space="preserve"> (FMI)</w:t>
      </w:r>
      <w:r w:rsidRPr="00212E53">
        <w:t xml:space="preserve"> y otros organismos internacionales, </w:t>
      </w:r>
      <w:r w:rsidR="007F6027">
        <w:t>el cual</w:t>
      </w:r>
      <w:r w:rsidRPr="00212E53">
        <w:t xml:space="preserve"> se encuentra </w:t>
      </w:r>
      <w:r>
        <w:t>entre</w:t>
      </w:r>
      <w:r w:rsidRPr="00212E53">
        <w:t xml:space="preserve"> 50</w:t>
      </w:r>
      <w:r w:rsidR="007F6027">
        <w:t>.0</w:t>
      </w:r>
      <w:r w:rsidRPr="00212E53">
        <w:t>% a 60</w:t>
      </w:r>
      <w:r w:rsidR="007F6027">
        <w:t>.0</w:t>
      </w:r>
      <w:r w:rsidRPr="00212E53">
        <w:t>%.</w:t>
      </w:r>
    </w:p>
    <w:p w14:paraId="513612F9" w14:textId="77777777" w:rsidR="00B545DE" w:rsidRDefault="00B545DE" w:rsidP="00B545DE">
      <w:pPr>
        <w:autoSpaceDE w:val="0"/>
        <w:autoSpaceDN w:val="0"/>
        <w:adjustRightInd w:val="0"/>
        <w:jc w:val="center"/>
        <w:rPr>
          <w:b/>
        </w:rPr>
      </w:pPr>
    </w:p>
    <w:p w14:paraId="2282B0DA" w14:textId="77777777" w:rsidR="00B545DE" w:rsidRDefault="00B545DE" w:rsidP="00B545DE">
      <w:pPr>
        <w:autoSpaceDE w:val="0"/>
        <w:autoSpaceDN w:val="0"/>
        <w:adjustRightInd w:val="0"/>
        <w:jc w:val="center"/>
        <w:rPr>
          <w:b/>
        </w:rPr>
      </w:pPr>
    </w:p>
    <w:p w14:paraId="0AC75F3C" w14:textId="76FE500C" w:rsidR="00B545DE" w:rsidRPr="00FC1517" w:rsidRDefault="00BC0150" w:rsidP="00B545DE">
      <w:pPr>
        <w:autoSpaceDE w:val="0"/>
        <w:autoSpaceDN w:val="0"/>
        <w:adjustRightInd w:val="0"/>
        <w:jc w:val="center"/>
        <w:rPr>
          <w:b/>
        </w:rPr>
      </w:pPr>
      <w:bookmarkStart w:id="78" w:name="_Hlk141885770"/>
      <w:r>
        <w:rPr>
          <w:b/>
        </w:rPr>
        <w:t>Cuadro 25</w:t>
      </w:r>
      <w:r w:rsidR="00B545DE">
        <w:rPr>
          <w:b/>
        </w:rPr>
        <w:t xml:space="preserve">. </w:t>
      </w:r>
      <w:r w:rsidR="00B545DE" w:rsidRPr="00FC1517">
        <w:rPr>
          <w:b/>
        </w:rPr>
        <w:t>Saldo de la Deuda Pública por Origen y Moneda</w:t>
      </w:r>
    </w:p>
    <w:p w14:paraId="1D9D3194" w14:textId="59E21D02" w:rsidR="00B545DE" w:rsidRPr="007F6027" w:rsidRDefault="007F6027" w:rsidP="00B545DE">
      <w:pPr>
        <w:autoSpaceDE w:val="0"/>
        <w:autoSpaceDN w:val="0"/>
        <w:adjustRightInd w:val="0"/>
        <w:jc w:val="center"/>
        <w:rPr>
          <w:b/>
        </w:rPr>
      </w:pPr>
      <w:r>
        <w:rPr>
          <w:b/>
        </w:rPr>
        <w:t>(</w:t>
      </w:r>
      <w:r w:rsidRPr="007F6027">
        <w:rPr>
          <w:b/>
        </w:rPr>
        <w:t xml:space="preserve">Período </w:t>
      </w:r>
      <w:r w:rsidR="00B545DE" w:rsidRPr="007F6027">
        <w:rPr>
          <w:b/>
        </w:rPr>
        <w:t xml:space="preserve">2022 </w:t>
      </w:r>
      <w:r w:rsidRPr="007F6027">
        <w:rPr>
          <w:b/>
        </w:rPr>
        <w:t>y</w:t>
      </w:r>
      <w:r w:rsidR="00B545DE" w:rsidRPr="007F6027">
        <w:rPr>
          <w:b/>
        </w:rPr>
        <w:t xml:space="preserve"> 2023</w:t>
      </w:r>
      <w:r>
        <w:rPr>
          <w:b/>
        </w:rPr>
        <w:t>)</w:t>
      </w:r>
    </w:p>
    <w:tbl>
      <w:tblPr>
        <w:tblW w:w="8931" w:type="dxa"/>
        <w:jc w:val="center"/>
        <w:tblCellMar>
          <w:left w:w="70" w:type="dxa"/>
          <w:right w:w="70" w:type="dxa"/>
        </w:tblCellMar>
        <w:tblLook w:val="04A0" w:firstRow="1" w:lastRow="0" w:firstColumn="1" w:lastColumn="0" w:noHBand="0" w:noVBand="1"/>
      </w:tblPr>
      <w:tblGrid>
        <w:gridCol w:w="3544"/>
        <w:gridCol w:w="1985"/>
        <w:gridCol w:w="1701"/>
        <w:gridCol w:w="1701"/>
      </w:tblGrid>
      <w:tr w:rsidR="00B545DE" w:rsidRPr="00A36AFC" w14:paraId="5AD5DC90" w14:textId="77777777" w:rsidTr="0029595B">
        <w:trPr>
          <w:trHeight w:val="315"/>
          <w:jc w:val="center"/>
        </w:trPr>
        <w:tc>
          <w:tcPr>
            <w:tcW w:w="3544" w:type="dxa"/>
            <w:vMerge w:val="restart"/>
            <w:tcBorders>
              <w:top w:val="nil"/>
              <w:left w:val="nil"/>
              <w:bottom w:val="single" w:sz="8" w:space="0" w:color="000000"/>
              <w:right w:val="single" w:sz="8" w:space="0" w:color="auto"/>
            </w:tcBorders>
            <w:shd w:val="clear" w:color="auto" w:fill="auto"/>
            <w:noWrap/>
            <w:vAlign w:val="center"/>
            <w:hideMark/>
          </w:tcPr>
          <w:p w14:paraId="3283B7C2" w14:textId="77777777" w:rsidR="00B545DE" w:rsidRPr="00A36AFC" w:rsidRDefault="00B545DE" w:rsidP="00B545DE">
            <w:pPr>
              <w:jc w:val="center"/>
              <w:rPr>
                <w:rFonts w:ascii="Calibri" w:hAnsi="Calibri" w:cs="Calibri"/>
                <w:color w:val="000000"/>
                <w:sz w:val="22"/>
                <w:szCs w:val="22"/>
                <w:lang w:val="es-GT" w:eastAsia="es-GT"/>
              </w:rPr>
            </w:pPr>
            <w:r w:rsidRPr="00A36AFC">
              <w:rPr>
                <w:rFonts w:ascii="Calibri" w:hAnsi="Calibri" w:cs="Calibri"/>
                <w:color w:val="000000"/>
                <w:sz w:val="22"/>
                <w:szCs w:val="22"/>
                <w:lang w:val="es-GT" w:eastAsia="es-GT"/>
              </w:rPr>
              <w:t> </w:t>
            </w:r>
          </w:p>
        </w:tc>
        <w:tc>
          <w:tcPr>
            <w:tcW w:w="1985" w:type="dxa"/>
            <w:tcBorders>
              <w:top w:val="single" w:sz="8" w:space="0" w:color="auto"/>
              <w:left w:val="nil"/>
              <w:bottom w:val="single" w:sz="4" w:space="0" w:color="auto"/>
              <w:right w:val="single" w:sz="8" w:space="0" w:color="auto"/>
            </w:tcBorders>
            <w:shd w:val="clear" w:color="auto" w:fill="00B0F0"/>
            <w:noWrap/>
            <w:vAlign w:val="center"/>
            <w:hideMark/>
          </w:tcPr>
          <w:p w14:paraId="022D61C6" w14:textId="77777777" w:rsidR="00B545DE" w:rsidRPr="007F6027" w:rsidRDefault="00B545DE" w:rsidP="00B545DE">
            <w:pPr>
              <w:jc w:val="center"/>
              <w:rPr>
                <w:b/>
                <w:bCs/>
                <w:sz w:val="22"/>
                <w:szCs w:val="22"/>
                <w:lang w:val="es-GT" w:eastAsia="es-GT"/>
              </w:rPr>
            </w:pPr>
            <w:r w:rsidRPr="007F6027">
              <w:rPr>
                <w:b/>
                <w:bCs/>
                <w:sz w:val="22"/>
                <w:szCs w:val="22"/>
                <w:lang w:val="es-GT" w:eastAsia="es-GT"/>
              </w:rPr>
              <w:t>2022</w:t>
            </w:r>
          </w:p>
        </w:tc>
        <w:tc>
          <w:tcPr>
            <w:tcW w:w="3402" w:type="dxa"/>
            <w:gridSpan w:val="2"/>
            <w:tcBorders>
              <w:top w:val="single" w:sz="8" w:space="0" w:color="auto"/>
              <w:left w:val="nil"/>
              <w:bottom w:val="single" w:sz="4" w:space="0" w:color="auto"/>
              <w:right w:val="single" w:sz="8" w:space="0" w:color="000000"/>
            </w:tcBorders>
            <w:shd w:val="clear" w:color="auto" w:fill="00B0F0"/>
            <w:vAlign w:val="center"/>
            <w:hideMark/>
          </w:tcPr>
          <w:p w14:paraId="220CA9AB" w14:textId="77777777" w:rsidR="00B545DE" w:rsidRPr="007F6027" w:rsidRDefault="00B545DE" w:rsidP="00B545DE">
            <w:pPr>
              <w:jc w:val="center"/>
              <w:rPr>
                <w:b/>
                <w:bCs/>
                <w:sz w:val="22"/>
                <w:szCs w:val="22"/>
                <w:lang w:val="es-GT" w:eastAsia="es-GT"/>
              </w:rPr>
            </w:pPr>
            <w:r w:rsidRPr="007F6027">
              <w:rPr>
                <w:b/>
                <w:bCs/>
                <w:sz w:val="22"/>
                <w:szCs w:val="22"/>
                <w:lang w:val="es-GT" w:eastAsia="es-GT"/>
              </w:rPr>
              <w:t>2023</w:t>
            </w:r>
          </w:p>
        </w:tc>
      </w:tr>
      <w:tr w:rsidR="00B545DE" w:rsidRPr="00A36AFC" w14:paraId="6C68CFE4" w14:textId="77777777" w:rsidTr="0029595B">
        <w:trPr>
          <w:trHeight w:val="315"/>
          <w:jc w:val="center"/>
        </w:trPr>
        <w:tc>
          <w:tcPr>
            <w:tcW w:w="3544" w:type="dxa"/>
            <w:vMerge/>
            <w:tcBorders>
              <w:top w:val="nil"/>
              <w:left w:val="nil"/>
              <w:bottom w:val="single" w:sz="8" w:space="0" w:color="000000"/>
              <w:right w:val="single" w:sz="8" w:space="0" w:color="auto"/>
            </w:tcBorders>
            <w:vAlign w:val="center"/>
            <w:hideMark/>
          </w:tcPr>
          <w:p w14:paraId="597B702E" w14:textId="77777777" w:rsidR="00B545DE" w:rsidRPr="00A36AFC" w:rsidRDefault="00B545DE" w:rsidP="00B545DE">
            <w:pPr>
              <w:rPr>
                <w:rFonts w:ascii="Calibri" w:hAnsi="Calibri" w:cs="Calibri"/>
                <w:color w:val="000000"/>
                <w:sz w:val="22"/>
                <w:szCs w:val="22"/>
                <w:lang w:val="es-GT" w:eastAsia="es-GT"/>
              </w:rPr>
            </w:pPr>
          </w:p>
        </w:tc>
        <w:tc>
          <w:tcPr>
            <w:tcW w:w="1985" w:type="dxa"/>
            <w:tcBorders>
              <w:top w:val="single" w:sz="4" w:space="0" w:color="auto"/>
              <w:left w:val="nil"/>
              <w:bottom w:val="single" w:sz="8" w:space="0" w:color="auto"/>
              <w:right w:val="single" w:sz="8" w:space="0" w:color="auto"/>
            </w:tcBorders>
            <w:shd w:val="clear" w:color="auto" w:fill="00B0F0"/>
            <w:noWrap/>
            <w:vAlign w:val="center"/>
            <w:hideMark/>
          </w:tcPr>
          <w:p w14:paraId="6F8B75D1" w14:textId="77777777" w:rsidR="00B545DE" w:rsidRPr="007F6027" w:rsidRDefault="00B545DE" w:rsidP="00B545DE">
            <w:pPr>
              <w:jc w:val="center"/>
              <w:rPr>
                <w:b/>
                <w:bCs/>
                <w:sz w:val="22"/>
                <w:szCs w:val="22"/>
                <w:lang w:val="es-GT" w:eastAsia="es-GT"/>
              </w:rPr>
            </w:pPr>
            <w:r w:rsidRPr="007F6027">
              <w:rPr>
                <w:b/>
                <w:bCs/>
                <w:sz w:val="22"/>
                <w:szCs w:val="22"/>
                <w:lang w:val="es-GT" w:eastAsia="es-GT"/>
              </w:rPr>
              <w:t>Observado</w:t>
            </w:r>
          </w:p>
        </w:tc>
        <w:tc>
          <w:tcPr>
            <w:tcW w:w="1701" w:type="dxa"/>
            <w:tcBorders>
              <w:top w:val="single" w:sz="4" w:space="0" w:color="auto"/>
              <w:left w:val="nil"/>
              <w:bottom w:val="single" w:sz="8" w:space="0" w:color="auto"/>
              <w:right w:val="single" w:sz="8" w:space="0" w:color="auto"/>
            </w:tcBorders>
            <w:shd w:val="clear" w:color="auto" w:fill="00B0F0"/>
            <w:vAlign w:val="center"/>
            <w:hideMark/>
          </w:tcPr>
          <w:p w14:paraId="5433BC59" w14:textId="77777777" w:rsidR="00B545DE" w:rsidRPr="007F6027" w:rsidRDefault="00B545DE" w:rsidP="00B545DE">
            <w:pPr>
              <w:jc w:val="center"/>
              <w:rPr>
                <w:b/>
                <w:bCs/>
                <w:sz w:val="22"/>
                <w:szCs w:val="22"/>
                <w:lang w:val="es-GT" w:eastAsia="es-GT"/>
              </w:rPr>
            </w:pPr>
            <w:r w:rsidRPr="007F6027">
              <w:rPr>
                <w:b/>
                <w:bCs/>
                <w:sz w:val="22"/>
                <w:szCs w:val="22"/>
                <w:lang w:val="es-GT" w:eastAsia="es-GT"/>
              </w:rPr>
              <w:t>Presupuesto</w:t>
            </w:r>
          </w:p>
        </w:tc>
        <w:tc>
          <w:tcPr>
            <w:tcW w:w="1701" w:type="dxa"/>
            <w:tcBorders>
              <w:top w:val="single" w:sz="4" w:space="0" w:color="auto"/>
              <w:left w:val="single" w:sz="8" w:space="0" w:color="auto"/>
              <w:bottom w:val="single" w:sz="8" w:space="0" w:color="auto"/>
              <w:right w:val="single" w:sz="8" w:space="0" w:color="auto"/>
            </w:tcBorders>
            <w:shd w:val="clear" w:color="auto" w:fill="00B0F0"/>
            <w:noWrap/>
            <w:vAlign w:val="center"/>
            <w:hideMark/>
          </w:tcPr>
          <w:p w14:paraId="5FCD920C" w14:textId="77777777" w:rsidR="00B545DE" w:rsidRPr="007F6027" w:rsidRDefault="00B545DE" w:rsidP="00B545DE">
            <w:pPr>
              <w:jc w:val="center"/>
              <w:rPr>
                <w:b/>
                <w:bCs/>
                <w:sz w:val="22"/>
                <w:szCs w:val="22"/>
                <w:lang w:val="es-GT" w:eastAsia="es-GT"/>
              </w:rPr>
            </w:pPr>
            <w:r w:rsidRPr="007F6027">
              <w:rPr>
                <w:b/>
                <w:bCs/>
                <w:sz w:val="22"/>
                <w:szCs w:val="22"/>
                <w:lang w:val="es-GT" w:eastAsia="es-GT"/>
              </w:rPr>
              <w:t>Estimación</w:t>
            </w:r>
          </w:p>
        </w:tc>
      </w:tr>
      <w:tr w:rsidR="00B545DE" w:rsidRPr="00A36AFC" w14:paraId="759B65D8" w14:textId="77777777" w:rsidTr="007F6027">
        <w:trPr>
          <w:trHeight w:val="300"/>
          <w:jc w:val="center"/>
        </w:trPr>
        <w:tc>
          <w:tcPr>
            <w:tcW w:w="3544" w:type="dxa"/>
            <w:tcBorders>
              <w:top w:val="nil"/>
              <w:left w:val="single" w:sz="8" w:space="0" w:color="auto"/>
              <w:bottom w:val="nil"/>
              <w:right w:val="single" w:sz="8" w:space="0" w:color="auto"/>
            </w:tcBorders>
            <w:shd w:val="clear" w:color="000000" w:fill="FFFFFF"/>
            <w:noWrap/>
            <w:vAlign w:val="center"/>
            <w:hideMark/>
          </w:tcPr>
          <w:p w14:paraId="0BFC4F7F" w14:textId="14D98B10" w:rsidR="00B545DE" w:rsidRPr="00A36AFC" w:rsidRDefault="00B545DE" w:rsidP="00B545DE">
            <w:pPr>
              <w:rPr>
                <w:b/>
                <w:bCs/>
                <w:color w:val="000000"/>
                <w:sz w:val="22"/>
                <w:szCs w:val="22"/>
                <w:lang w:val="es-GT" w:eastAsia="es-GT"/>
              </w:rPr>
            </w:pPr>
            <w:r w:rsidRPr="00A36AFC">
              <w:rPr>
                <w:b/>
                <w:bCs/>
                <w:color w:val="000000"/>
                <w:sz w:val="22"/>
                <w:szCs w:val="22"/>
                <w:lang w:val="es-GT" w:eastAsia="es-GT"/>
              </w:rPr>
              <w:t xml:space="preserve">Saldo de la </w:t>
            </w:r>
            <w:r w:rsidR="00DF6BCB">
              <w:rPr>
                <w:b/>
                <w:bCs/>
                <w:color w:val="000000"/>
                <w:sz w:val="22"/>
                <w:szCs w:val="22"/>
                <w:lang w:val="es-GT" w:eastAsia="es-GT"/>
              </w:rPr>
              <w:t>D</w:t>
            </w:r>
            <w:r w:rsidRPr="00A36AFC">
              <w:rPr>
                <w:b/>
                <w:bCs/>
                <w:color w:val="000000"/>
                <w:sz w:val="22"/>
                <w:szCs w:val="22"/>
                <w:lang w:val="es-GT" w:eastAsia="es-GT"/>
              </w:rPr>
              <w:t xml:space="preserve">euda </w:t>
            </w:r>
            <w:r w:rsidR="00DF6BCB">
              <w:rPr>
                <w:b/>
                <w:bCs/>
                <w:color w:val="000000"/>
                <w:sz w:val="22"/>
                <w:szCs w:val="22"/>
                <w:lang w:val="es-GT" w:eastAsia="es-GT"/>
              </w:rPr>
              <w:t>P</w:t>
            </w:r>
            <w:r w:rsidRPr="00A36AFC">
              <w:rPr>
                <w:b/>
                <w:bCs/>
                <w:color w:val="000000"/>
                <w:sz w:val="22"/>
                <w:szCs w:val="22"/>
                <w:lang w:val="es-GT" w:eastAsia="es-GT"/>
              </w:rPr>
              <w:t>ública</w:t>
            </w:r>
          </w:p>
        </w:tc>
        <w:tc>
          <w:tcPr>
            <w:tcW w:w="1985" w:type="dxa"/>
            <w:tcBorders>
              <w:top w:val="nil"/>
              <w:left w:val="nil"/>
              <w:bottom w:val="nil"/>
              <w:right w:val="single" w:sz="8" w:space="0" w:color="auto"/>
            </w:tcBorders>
            <w:shd w:val="clear" w:color="000000" w:fill="FFFFFF"/>
            <w:noWrap/>
            <w:vAlign w:val="center"/>
            <w:hideMark/>
          </w:tcPr>
          <w:p w14:paraId="698283BD" w14:textId="77777777" w:rsidR="00B545DE" w:rsidRPr="00A36AFC" w:rsidRDefault="00B545DE" w:rsidP="00B545DE">
            <w:pPr>
              <w:jc w:val="center"/>
              <w:rPr>
                <w:b/>
                <w:bCs/>
                <w:color w:val="000000"/>
                <w:sz w:val="22"/>
                <w:szCs w:val="22"/>
                <w:lang w:val="es-GT" w:eastAsia="es-GT"/>
              </w:rPr>
            </w:pPr>
            <w:r w:rsidRPr="00A36AFC">
              <w:rPr>
                <w:b/>
                <w:bCs/>
                <w:color w:val="000000"/>
                <w:sz w:val="22"/>
                <w:szCs w:val="22"/>
                <w:lang w:val="es-GT" w:eastAsia="es-GT"/>
              </w:rPr>
              <w:t>214,755.40</w:t>
            </w:r>
          </w:p>
        </w:tc>
        <w:tc>
          <w:tcPr>
            <w:tcW w:w="1701" w:type="dxa"/>
            <w:tcBorders>
              <w:top w:val="nil"/>
              <w:left w:val="nil"/>
              <w:bottom w:val="nil"/>
              <w:right w:val="single" w:sz="8" w:space="0" w:color="auto"/>
            </w:tcBorders>
            <w:shd w:val="clear" w:color="000000" w:fill="FFFFFF"/>
            <w:vAlign w:val="center"/>
            <w:hideMark/>
          </w:tcPr>
          <w:p w14:paraId="4F04EA3D" w14:textId="1EEC2709" w:rsidR="00B545DE" w:rsidRPr="00A36AFC" w:rsidRDefault="00B545DE" w:rsidP="00B545DE">
            <w:pPr>
              <w:jc w:val="center"/>
              <w:rPr>
                <w:b/>
                <w:bCs/>
                <w:color w:val="000000"/>
                <w:sz w:val="22"/>
                <w:szCs w:val="22"/>
                <w:lang w:val="es-GT" w:eastAsia="es-GT"/>
              </w:rPr>
            </w:pPr>
            <w:r w:rsidRPr="00A36AFC">
              <w:rPr>
                <w:b/>
                <w:bCs/>
                <w:color w:val="000000"/>
                <w:sz w:val="22"/>
                <w:szCs w:val="22"/>
                <w:lang w:val="es-GT" w:eastAsia="es-GT"/>
              </w:rPr>
              <w:t>226,756.55</w:t>
            </w:r>
          </w:p>
        </w:tc>
        <w:tc>
          <w:tcPr>
            <w:tcW w:w="1701" w:type="dxa"/>
            <w:tcBorders>
              <w:top w:val="nil"/>
              <w:left w:val="single" w:sz="8" w:space="0" w:color="auto"/>
              <w:bottom w:val="nil"/>
              <w:right w:val="single" w:sz="8" w:space="0" w:color="auto"/>
            </w:tcBorders>
            <w:shd w:val="clear" w:color="000000" w:fill="FFFFFF"/>
            <w:noWrap/>
            <w:vAlign w:val="center"/>
            <w:hideMark/>
          </w:tcPr>
          <w:p w14:paraId="0A9AF450" w14:textId="77777777" w:rsidR="00B545DE" w:rsidRPr="00A36AFC" w:rsidRDefault="00B545DE" w:rsidP="00B545DE">
            <w:pPr>
              <w:jc w:val="center"/>
              <w:rPr>
                <w:b/>
                <w:bCs/>
                <w:color w:val="000000"/>
                <w:sz w:val="22"/>
                <w:szCs w:val="22"/>
                <w:lang w:val="es-GT" w:eastAsia="es-GT"/>
              </w:rPr>
            </w:pPr>
            <w:r w:rsidRPr="00A36AFC">
              <w:rPr>
                <w:b/>
                <w:bCs/>
                <w:color w:val="000000"/>
                <w:sz w:val="22"/>
                <w:szCs w:val="22"/>
                <w:lang w:val="es-GT" w:eastAsia="es-GT"/>
              </w:rPr>
              <w:t>224,393.06</w:t>
            </w:r>
          </w:p>
        </w:tc>
      </w:tr>
      <w:tr w:rsidR="00B545DE" w:rsidRPr="00A36AFC" w14:paraId="279D405B" w14:textId="77777777" w:rsidTr="007F6027">
        <w:trPr>
          <w:trHeight w:val="300"/>
          <w:jc w:val="center"/>
        </w:trPr>
        <w:tc>
          <w:tcPr>
            <w:tcW w:w="3544" w:type="dxa"/>
            <w:tcBorders>
              <w:top w:val="nil"/>
              <w:left w:val="single" w:sz="8" w:space="0" w:color="auto"/>
              <w:bottom w:val="nil"/>
              <w:right w:val="single" w:sz="8" w:space="0" w:color="auto"/>
            </w:tcBorders>
            <w:shd w:val="clear" w:color="000000" w:fill="FFFFFF"/>
            <w:noWrap/>
            <w:vAlign w:val="center"/>
            <w:hideMark/>
          </w:tcPr>
          <w:p w14:paraId="659F05EE" w14:textId="0A8C115E" w:rsidR="00B545DE" w:rsidRPr="00A36AFC" w:rsidRDefault="00DF6BCB" w:rsidP="00B545DE">
            <w:pPr>
              <w:ind w:firstLineChars="200" w:firstLine="440"/>
              <w:rPr>
                <w:i/>
                <w:iCs/>
                <w:color w:val="000000"/>
                <w:sz w:val="22"/>
                <w:szCs w:val="22"/>
                <w:lang w:val="es-GT" w:eastAsia="es-GT"/>
              </w:rPr>
            </w:pPr>
            <w:r>
              <w:rPr>
                <w:i/>
                <w:iCs/>
                <w:color w:val="000000"/>
                <w:sz w:val="22"/>
                <w:szCs w:val="22"/>
                <w:lang w:val="es-GT" w:eastAsia="es-GT"/>
              </w:rPr>
              <w:t>R</w:t>
            </w:r>
            <w:r w:rsidR="00B545DE" w:rsidRPr="00A36AFC">
              <w:rPr>
                <w:i/>
                <w:iCs/>
                <w:color w:val="000000"/>
                <w:sz w:val="22"/>
                <w:szCs w:val="22"/>
                <w:lang w:val="es-GT" w:eastAsia="es-GT"/>
              </w:rPr>
              <w:t xml:space="preserve">elación </w:t>
            </w:r>
            <w:r>
              <w:rPr>
                <w:i/>
                <w:iCs/>
                <w:color w:val="000000"/>
                <w:sz w:val="22"/>
                <w:szCs w:val="22"/>
                <w:lang w:val="es-GT" w:eastAsia="es-GT"/>
              </w:rPr>
              <w:t>D</w:t>
            </w:r>
            <w:r w:rsidR="00B545DE" w:rsidRPr="00A36AFC">
              <w:rPr>
                <w:i/>
                <w:iCs/>
                <w:color w:val="000000"/>
                <w:sz w:val="22"/>
                <w:szCs w:val="22"/>
                <w:lang w:val="es-GT" w:eastAsia="es-GT"/>
              </w:rPr>
              <w:t>euda</w:t>
            </w:r>
            <w:r>
              <w:rPr>
                <w:i/>
                <w:iCs/>
                <w:color w:val="000000"/>
                <w:sz w:val="22"/>
                <w:szCs w:val="22"/>
                <w:lang w:val="es-GT" w:eastAsia="es-GT"/>
              </w:rPr>
              <w:t xml:space="preserve"> /</w:t>
            </w:r>
            <w:r w:rsidR="00B545DE" w:rsidRPr="00A36AFC">
              <w:rPr>
                <w:i/>
                <w:iCs/>
                <w:color w:val="000000"/>
                <w:sz w:val="22"/>
                <w:szCs w:val="22"/>
                <w:lang w:val="es-GT" w:eastAsia="es-GT"/>
              </w:rPr>
              <w:t xml:space="preserve"> PIB</w:t>
            </w:r>
          </w:p>
        </w:tc>
        <w:tc>
          <w:tcPr>
            <w:tcW w:w="1985" w:type="dxa"/>
            <w:tcBorders>
              <w:top w:val="nil"/>
              <w:left w:val="nil"/>
              <w:bottom w:val="nil"/>
              <w:right w:val="single" w:sz="8" w:space="0" w:color="auto"/>
            </w:tcBorders>
            <w:shd w:val="clear" w:color="000000" w:fill="FFFFFF"/>
            <w:noWrap/>
            <w:vAlign w:val="center"/>
            <w:hideMark/>
          </w:tcPr>
          <w:p w14:paraId="20B35C0C"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29.2%</w:t>
            </w:r>
          </w:p>
        </w:tc>
        <w:tc>
          <w:tcPr>
            <w:tcW w:w="1701" w:type="dxa"/>
            <w:tcBorders>
              <w:top w:val="nil"/>
              <w:left w:val="nil"/>
              <w:bottom w:val="nil"/>
              <w:right w:val="single" w:sz="8" w:space="0" w:color="auto"/>
            </w:tcBorders>
            <w:shd w:val="clear" w:color="000000" w:fill="FFFFFF"/>
            <w:vAlign w:val="center"/>
            <w:hideMark/>
          </w:tcPr>
          <w:p w14:paraId="1BDEF102"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28.5%</w:t>
            </w:r>
          </w:p>
        </w:tc>
        <w:tc>
          <w:tcPr>
            <w:tcW w:w="1701" w:type="dxa"/>
            <w:tcBorders>
              <w:top w:val="nil"/>
              <w:left w:val="single" w:sz="8" w:space="0" w:color="auto"/>
              <w:bottom w:val="nil"/>
              <w:right w:val="single" w:sz="8" w:space="0" w:color="auto"/>
            </w:tcBorders>
            <w:shd w:val="clear" w:color="000000" w:fill="FFFFFF"/>
            <w:noWrap/>
            <w:vAlign w:val="center"/>
            <w:hideMark/>
          </w:tcPr>
          <w:p w14:paraId="52D0997D"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28.2%</w:t>
            </w:r>
          </w:p>
        </w:tc>
      </w:tr>
      <w:tr w:rsidR="00B545DE" w:rsidRPr="00A36AFC" w14:paraId="5A3A2BA7" w14:textId="77777777" w:rsidTr="007F6027">
        <w:trPr>
          <w:trHeight w:val="300"/>
          <w:jc w:val="center"/>
        </w:trPr>
        <w:tc>
          <w:tcPr>
            <w:tcW w:w="3544" w:type="dxa"/>
            <w:tcBorders>
              <w:top w:val="nil"/>
              <w:left w:val="single" w:sz="8" w:space="0" w:color="auto"/>
              <w:bottom w:val="nil"/>
              <w:right w:val="single" w:sz="8" w:space="0" w:color="auto"/>
            </w:tcBorders>
            <w:shd w:val="clear" w:color="000000" w:fill="FFFFFF"/>
            <w:noWrap/>
            <w:vAlign w:val="center"/>
            <w:hideMark/>
          </w:tcPr>
          <w:p w14:paraId="56BAA4C5" w14:textId="7505E360" w:rsidR="00B545DE" w:rsidRPr="00A36AFC" w:rsidRDefault="00B545DE" w:rsidP="00B545DE">
            <w:pPr>
              <w:rPr>
                <w:color w:val="000000"/>
                <w:sz w:val="22"/>
                <w:szCs w:val="22"/>
                <w:lang w:val="es-GT" w:eastAsia="es-GT"/>
              </w:rPr>
            </w:pPr>
            <w:r w:rsidRPr="00A36AFC">
              <w:rPr>
                <w:color w:val="000000"/>
                <w:sz w:val="22"/>
                <w:szCs w:val="22"/>
                <w:lang w:val="es-GT" w:eastAsia="es-GT"/>
              </w:rPr>
              <w:t xml:space="preserve">Estructura de la </w:t>
            </w:r>
            <w:r w:rsidR="00DF6BCB">
              <w:rPr>
                <w:color w:val="000000"/>
                <w:sz w:val="22"/>
                <w:szCs w:val="22"/>
                <w:lang w:val="es-GT" w:eastAsia="es-GT"/>
              </w:rPr>
              <w:t>D</w:t>
            </w:r>
            <w:r w:rsidRPr="00A36AFC">
              <w:rPr>
                <w:color w:val="000000"/>
                <w:sz w:val="22"/>
                <w:szCs w:val="22"/>
                <w:lang w:val="es-GT" w:eastAsia="es-GT"/>
              </w:rPr>
              <w:t xml:space="preserve">euda por </w:t>
            </w:r>
            <w:r w:rsidR="00DF6BCB">
              <w:rPr>
                <w:color w:val="000000"/>
                <w:sz w:val="22"/>
                <w:szCs w:val="22"/>
                <w:lang w:val="es-GT" w:eastAsia="es-GT"/>
              </w:rPr>
              <w:t>O</w:t>
            </w:r>
            <w:r w:rsidRPr="00A36AFC">
              <w:rPr>
                <w:color w:val="000000"/>
                <w:sz w:val="22"/>
                <w:szCs w:val="22"/>
                <w:lang w:val="es-GT" w:eastAsia="es-GT"/>
              </w:rPr>
              <w:t xml:space="preserve">rigen </w:t>
            </w:r>
          </w:p>
        </w:tc>
        <w:tc>
          <w:tcPr>
            <w:tcW w:w="1985" w:type="dxa"/>
            <w:tcBorders>
              <w:top w:val="nil"/>
              <w:left w:val="nil"/>
              <w:bottom w:val="nil"/>
              <w:right w:val="single" w:sz="8" w:space="0" w:color="auto"/>
            </w:tcBorders>
            <w:shd w:val="clear" w:color="000000" w:fill="FFFFFF"/>
            <w:noWrap/>
            <w:vAlign w:val="center"/>
            <w:hideMark/>
          </w:tcPr>
          <w:p w14:paraId="514FFEDE"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 </w:t>
            </w:r>
          </w:p>
        </w:tc>
        <w:tc>
          <w:tcPr>
            <w:tcW w:w="1701" w:type="dxa"/>
            <w:tcBorders>
              <w:top w:val="nil"/>
              <w:left w:val="nil"/>
              <w:bottom w:val="nil"/>
              <w:right w:val="single" w:sz="8" w:space="0" w:color="auto"/>
            </w:tcBorders>
            <w:shd w:val="clear" w:color="000000" w:fill="FFFFFF"/>
            <w:vAlign w:val="center"/>
            <w:hideMark/>
          </w:tcPr>
          <w:p w14:paraId="04F17AAC"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 </w:t>
            </w:r>
          </w:p>
        </w:tc>
        <w:tc>
          <w:tcPr>
            <w:tcW w:w="1701" w:type="dxa"/>
            <w:tcBorders>
              <w:top w:val="nil"/>
              <w:left w:val="single" w:sz="8" w:space="0" w:color="auto"/>
              <w:bottom w:val="nil"/>
              <w:right w:val="single" w:sz="8" w:space="0" w:color="auto"/>
            </w:tcBorders>
            <w:shd w:val="clear" w:color="000000" w:fill="FFFFFF"/>
            <w:noWrap/>
            <w:vAlign w:val="center"/>
            <w:hideMark/>
          </w:tcPr>
          <w:p w14:paraId="3EFBBACD"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 </w:t>
            </w:r>
          </w:p>
        </w:tc>
      </w:tr>
      <w:tr w:rsidR="00B545DE" w:rsidRPr="00A36AFC" w14:paraId="4D65AFB7" w14:textId="77777777" w:rsidTr="007F6027">
        <w:trPr>
          <w:trHeight w:val="300"/>
          <w:jc w:val="center"/>
        </w:trPr>
        <w:tc>
          <w:tcPr>
            <w:tcW w:w="3544" w:type="dxa"/>
            <w:tcBorders>
              <w:top w:val="nil"/>
              <w:left w:val="single" w:sz="8" w:space="0" w:color="auto"/>
              <w:bottom w:val="nil"/>
              <w:right w:val="single" w:sz="8" w:space="0" w:color="auto"/>
            </w:tcBorders>
            <w:shd w:val="clear" w:color="000000" w:fill="FFFFFF"/>
            <w:noWrap/>
            <w:vAlign w:val="center"/>
            <w:hideMark/>
          </w:tcPr>
          <w:p w14:paraId="04A99610" w14:textId="77777777" w:rsidR="00B545DE" w:rsidRPr="00A36AFC" w:rsidRDefault="00B545DE" w:rsidP="00B545DE">
            <w:pPr>
              <w:ind w:firstLineChars="200" w:firstLine="440"/>
              <w:rPr>
                <w:color w:val="000000"/>
                <w:sz w:val="22"/>
                <w:szCs w:val="22"/>
                <w:lang w:val="es-GT" w:eastAsia="es-GT"/>
              </w:rPr>
            </w:pPr>
            <w:r w:rsidRPr="00A36AFC">
              <w:rPr>
                <w:color w:val="000000"/>
                <w:sz w:val="22"/>
                <w:szCs w:val="22"/>
                <w:lang w:val="es-GT" w:eastAsia="es-GT"/>
              </w:rPr>
              <w:t xml:space="preserve">Interna </w:t>
            </w:r>
          </w:p>
        </w:tc>
        <w:tc>
          <w:tcPr>
            <w:tcW w:w="1985" w:type="dxa"/>
            <w:tcBorders>
              <w:top w:val="nil"/>
              <w:left w:val="nil"/>
              <w:bottom w:val="nil"/>
              <w:right w:val="single" w:sz="8" w:space="0" w:color="auto"/>
            </w:tcBorders>
            <w:shd w:val="clear" w:color="000000" w:fill="FFFFFF"/>
            <w:noWrap/>
            <w:vAlign w:val="center"/>
            <w:hideMark/>
          </w:tcPr>
          <w:p w14:paraId="78EEA8F8"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59.4</w:t>
            </w:r>
          </w:p>
        </w:tc>
        <w:tc>
          <w:tcPr>
            <w:tcW w:w="1701" w:type="dxa"/>
            <w:tcBorders>
              <w:top w:val="nil"/>
              <w:left w:val="nil"/>
              <w:bottom w:val="nil"/>
              <w:right w:val="single" w:sz="8" w:space="0" w:color="auto"/>
            </w:tcBorders>
            <w:shd w:val="clear" w:color="000000" w:fill="FFFFFF"/>
            <w:vAlign w:val="center"/>
            <w:hideMark/>
          </w:tcPr>
          <w:p w14:paraId="76D52508"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61.9</w:t>
            </w:r>
          </w:p>
        </w:tc>
        <w:tc>
          <w:tcPr>
            <w:tcW w:w="1701" w:type="dxa"/>
            <w:tcBorders>
              <w:top w:val="nil"/>
              <w:left w:val="single" w:sz="8" w:space="0" w:color="auto"/>
              <w:bottom w:val="nil"/>
              <w:right w:val="single" w:sz="8" w:space="0" w:color="auto"/>
            </w:tcBorders>
            <w:shd w:val="clear" w:color="000000" w:fill="FFFFFF"/>
            <w:noWrap/>
            <w:vAlign w:val="center"/>
            <w:hideMark/>
          </w:tcPr>
          <w:p w14:paraId="69FA9652"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58.3</w:t>
            </w:r>
          </w:p>
        </w:tc>
      </w:tr>
      <w:tr w:rsidR="00B545DE" w:rsidRPr="00A36AFC" w14:paraId="0EABF58B" w14:textId="77777777" w:rsidTr="007F6027">
        <w:trPr>
          <w:trHeight w:val="300"/>
          <w:jc w:val="center"/>
        </w:trPr>
        <w:tc>
          <w:tcPr>
            <w:tcW w:w="3544" w:type="dxa"/>
            <w:tcBorders>
              <w:top w:val="nil"/>
              <w:left w:val="single" w:sz="8" w:space="0" w:color="auto"/>
              <w:bottom w:val="nil"/>
              <w:right w:val="single" w:sz="8" w:space="0" w:color="auto"/>
            </w:tcBorders>
            <w:shd w:val="clear" w:color="000000" w:fill="FFFFFF"/>
            <w:noWrap/>
            <w:vAlign w:val="center"/>
            <w:hideMark/>
          </w:tcPr>
          <w:p w14:paraId="5112D6D9" w14:textId="77777777" w:rsidR="00B545DE" w:rsidRPr="00A36AFC" w:rsidRDefault="00B545DE" w:rsidP="00B545DE">
            <w:pPr>
              <w:ind w:firstLineChars="200" w:firstLine="440"/>
              <w:rPr>
                <w:color w:val="000000"/>
                <w:sz w:val="22"/>
                <w:szCs w:val="22"/>
                <w:lang w:val="es-GT" w:eastAsia="es-GT"/>
              </w:rPr>
            </w:pPr>
            <w:r w:rsidRPr="00A36AFC">
              <w:rPr>
                <w:color w:val="000000"/>
                <w:sz w:val="22"/>
                <w:szCs w:val="22"/>
                <w:lang w:val="es-GT" w:eastAsia="es-GT"/>
              </w:rPr>
              <w:t>Externa</w:t>
            </w:r>
          </w:p>
        </w:tc>
        <w:tc>
          <w:tcPr>
            <w:tcW w:w="1985" w:type="dxa"/>
            <w:tcBorders>
              <w:top w:val="nil"/>
              <w:left w:val="nil"/>
              <w:bottom w:val="nil"/>
              <w:right w:val="single" w:sz="8" w:space="0" w:color="auto"/>
            </w:tcBorders>
            <w:shd w:val="clear" w:color="000000" w:fill="FFFFFF"/>
            <w:noWrap/>
            <w:vAlign w:val="center"/>
            <w:hideMark/>
          </w:tcPr>
          <w:p w14:paraId="5AC914BA"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40.6</w:t>
            </w:r>
          </w:p>
        </w:tc>
        <w:tc>
          <w:tcPr>
            <w:tcW w:w="1701" w:type="dxa"/>
            <w:tcBorders>
              <w:top w:val="nil"/>
              <w:left w:val="nil"/>
              <w:bottom w:val="nil"/>
              <w:right w:val="single" w:sz="8" w:space="0" w:color="auto"/>
            </w:tcBorders>
            <w:shd w:val="clear" w:color="000000" w:fill="FFFFFF"/>
            <w:vAlign w:val="center"/>
            <w:hideMark/>
          </w:tcPr>
          <w:p w14:paraId="6F2D11DD"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38.1</w:t>
            </w:r>
          </w:p>
        </w:tc>
        <w:tc>
          <w:tcPr>
            <w:tcW w:w="1701" w:type="dxa"/>
            <w:tcBorders>
              <w:top w:val="nil"/>
              <w:left w:val="single" w:sz="8" w:space="0" w:color="auto"/>
              <w:bottom w:val="nil"/>
              <w:right w:val="single" w:sz="8" w:space="0" w:color="auto"/>
            </w:tcBorders>
            <w:shd w:val="clear" w:color="000000" w:fill="FFFFFF"/>
            <w:noWrap/>
            <w:vAlign w:val="center"/>
            <w:hideMark/>
          </w:tcPr>
          <w:p w14:paraId="2F133383"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41.7</w:t>
            </w:r>
          </w:p>
        </w:tc>
      </w:tr>
      <w:tr w:rsidR="00B545DE" w:rsidRPr="00A36AFC" w14:paraId="22B872D3" w14:textId="77777777" w:rsidTr="007F6027">
        <w:trPr>
          <w:trHeight w:val="300"/>
          <w:jc w:val="center"/>
        </w:trPr>
        <w:tc>
          <w:tcPr>
            <w:tcW w:w="3544" w:type="dxa"/>
            <w:tcBorders>
              <w:top w:val="nil"/>
              <w:left w:val="single" w:sz="8" w:space="0" w:color="auto"/>
              <w:bottom w:val="nil"/>
              <w:right w:val="single" w:sz="8" w:space="0" w:color="auto"/>
            </w:tcBorders>
            <w:shd w:val="clear" w:color="000000" w:fill="FFFFFF"/>
            <w:noWrap/>
            <w:vAlign w:val="center"/>
            <w:hideMark/>
          </w:tcPr>
          <w:p w14:paraId="75F79DE0" w14:textId="36B20CCC" w:rsidR="00B545DE" w:rsidRPr="00A36AFC" w:rsidRDefault="00B545DE" w:rsidP="00B545DE">
            <w:pPr>
              <w:rPr>
                <w:color w:val="000000"/>
                <w:sz w:val="22"/>
                <w:szCs w:val="22"/>
                <w:lang w:val="es-GT" w:eastAsia="es-GT"/>
              </w:rPr>
            </w:pPr>
            <w:r w:rsidRPr="00A36AFC">
              <w:rPr>
                <w:color w:val="000000"/>
                <w:sz w:val="22"/>
                <w:szCs w:val="22"/>
                <w:lang w:val="es-GT" w:eastAsia="es-GT"/>
              </w:rPr>
              <w:t xml:space="preserve">Estructura de la </w:t>
            </w:r>
            <w:r w:rsidR="00DF6BCB">
              <w:rPr>
                <w:color w:val="000000"/>
                <w:sz w:val="22"/>
                <w:szCs w:val="22"/>
                <w:lang w:val="es-GT" w:eastAsia="es-GT"/>
              </w:rPr>
              <w:t>D</w:t>
            </w:r>
            <w:r w:rsidRPr="00A36AFC">
              <w:rPr>
                <w:color w:val="000000"/>
                <w:sz w:val="22"/>
                <w:szCs w:val="22"/>
                <w:lang w:val="es-GT" w:eastAsia="es-GT"/>
              </w:rPr>
              <w:t xml:space="preserve">euda por </w:t>
            </w:r>
            <w:r w:rsidR="00DF6BCB">
              <w:rPr>
                <w:color w:val="000000"/>
                <w:sz w:val="22"/>
                <w:szCs w:val="22"/>
                <w:lang w:val="es-GT" w:eastAsia="es-GT"/>
              </w:rPr>
              <w:t>M</w:t>
            </w:r>
            <w:r w:rsidRPr="00A36AFC">
              <w:rPr>
                <w:color w:val="000000"/>
                <w:sz w:val="22"/>
                <w:szCs w:val="22"/>
                <w:lang w:val="es-GT" w:eastAsia="es-GT"/>
              </w:rPr>
              <w:t>oneda</w:t>
            </w:r>
          </w:p>
        </w:tc>
        <w:tc>
          <w:tcPr>
            <w:tcW w:w="1985" w:type="dxa"/>
            <w:tcBorders>
              <w:top w:val="nil"/>
              <w:left w:val="nil"/>
              <w:bottom w:val="nil"/>
              <w:right w:val="single" w:sz="8" w:space="0" w:color="auto"/>
            </w:tcBorders>
            <w:shd w:val="clear" w:color="000000" w:fill="FFFFFF"/>
            <w:noWrap/>
            <w:vAlign w:val="center"/>
            <w:hideMark/>
          </w:tcPr>
          <w:p w14:paraId="3770860C"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 </w:t>
            </w:r>
          </w:p>
        </w:tc>
        <w:tc>
          <w:tcPr>
            <w:tcW w:w="1701" w:type="dxa"/>
            <w:tcBorders>
              <w:top w:val="nil"/>
              <w:left w:val="nil"/>
              <w:bottom w:val="nil"/>
              <w:right w:val="single" w:sz="8" w:space="0" w:color="auto"/>
            </w:tcBorders>
            <w:shd w:val="clear" w:color="000000" w:fill="FFFFFF"/>
            <w:vAlign w:val="center"/>
            <w:hideMark/>
          </w:tcPr>
          <w:p w14:paraId="72D354F2"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 </w:t>
            </w:r>
          </w:p>
        </w:tc>
        <w:tc>
          <w:tcPr>
            <w:tcW w:w="1701" w:type="dxa"/>
            <w:tcBorders>
              <w:top w:val="nil"/>
              <w:left w:val="single" w:sz="8" w:space="0" w:color="auto"/>
              <w:bottom w:val="nil"/>
              <w:right w:val="single" w:sz="8" w:space="0" w:color="auto"/>
            </w:tcBorders>
            <w:shd w:val="clear" w:color="000000" w:fill="FFFFFF"/>
            <w:noWrap/>
            <w:vAlign w:val="center"/>
            <w:hideMark/>
          </w:tcPr>
          <w:p w14:paraId="306EB8E8"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 </w:t>
            </w:r>
          </w:p>
        </w:tc>
      </w:tr>
      <w:tr w:rsidR="00B545DE" w:rsidRPr="00A36AFC" w14:paraId="2F5E93D2" w14:textId="77777777" w:rsidTr="007F6027">
        <w:trPr>
          <w:trHeight w:val="300"/>
          <w:jc w:val="center"/>
        </w:trPr>
        <w:tc>
          <w:tcPr>
            <w:tcW w:w="3544" w:type="dxa"/>
            <w:tcBorders>
              <w:top w:val="nil"/>
              <w:left w:val="single" w:sz="8" w:space="0" w:color="auto"/>
              <w:bottom w:val="nil"/>
              <w:right w:val="single" w:sz="8" w:space="0" w:color="auto"/>
            </w:tcBorders>
            <w:shd w:val="clear" w:color="000000" w:fill="FFFFFF"/>
            <w:noWrap/>
            <w:vAlign w:val="center"/>
            <w:hideMark/>
          </w:tcPr>
          <w:p w14:paraId="1919DAA0" w14:textId="77777777" w:rsidR="00B545DE" w:rsidRPr="00A36AFC" w:rsidRDefault="00B545DE" w:rsidP="00B545DE">
            <w:pPr>
              <w:ind w:firstLineChars="200" w:firstLine="440"/>
              <w:rPr>
                <w:color w:val="000000"/>
                <w:sz w:val="22"/>
                <w:szCs w:val="22"/>
                <w:lang w:val="es-GT" w:eastAsia="es-GT"/>
              </w:rPr>
            </w:pPr>
            <w:r w:rsidRPr="00A36AFC">
              <w:rPr>
                <w:color w:val="000000"/>
                <w:sz w:val="22"/>
                <w:szCs w:val="22"/>
                <w:lang w:val="es-GT" w:eastAsia="es-GT"/>
              </w:rPr>
              <w:t xml:space="preserve">Quetzales </w:t>
            </w:r>
          </w:p>
        </w:tc>
        <w:tc>
          <w:tcPr>
            <w:tcW w:w="1985" w:type="dxa"/>
            <w:tcBorders>
              <w:top w:val="nil"/>
              <w:left w:val="nil"/>
              <w:bottom w:val="nil"/>
              <w:right w:val="single" w:sz="8" w:space="0" w:color="auto"/>
            </w:tcBorders>
            <w:shd w:val="clear" w:color="000000" w:fill="FFFFFF"/>
            <w:noWrap/>
            <w:vAlign w:val="center"/>
            <w:hideMark/>
          </w:tcPr>
          <w:p w14:paraId="0FE4FB07"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56.7</w:t>
            </w:r>
          </w:p>
        </w:tc>
        <w:tc>
          <w:tcPr>
            <w:tcW w:w="1701" w:type="dxa"/>
            <w:tcBorders>
              <w:top w:val="nil"/>
              <w:left w:val="nil"/>
              <w:bottom w:val="nil"/>
              <w:right w:val="single" w:sz="8" w:space="0" w:color="auto"/>
            </w:tcBorders>
            <w:shd w:val="clear" w:color="000000" w:fill="FFFFFF"/>
            <w:vAlign w:val="center"/>
            <w:hideMark/>
          </w:tcPr>
          <w:p w14:paraId="5E7EF948"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59.4</w:t>
            </w:r>
          </w:p>
        </w:tc>
        <w:tc>
          <w:tcPr>
            <w:tcW w:w="1701" w:type="dxa"/>
            <w:tcBorders>
              <w:top w:val="nil"/>
              <w:left w:val="single" w:sz="8" w:space="0" w:color="auto"/>
              <w:bottom w:val="nil"/>
              <w:right w:val="single" w:sz="8" w:space="0" w:color="auto"/>
            </w:tcBorders>
            <w:shd w:val="clear" w:color="000000" w:fill="FFFFFF"/>
            <w:noWrap/>
            <w:vAlign w:val="center"/>
            <w:hideMark/>
          </w:tcPr>
          <w:p w14:paraId="482E32C5"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55.7</w:t>
            </w:r>
          </w:p>
        </w:tc>
      </w:tr>
      <w:tr w:rsidR="00B545DE" w:rsidRPr="00A36AFC" w14:paraId="40FFDE48" w14:textId="77777777" w:rsidTr="007F6027">
        <w:trPr>
          <w:trHeight w:val="315"/>
          <w:jc w:val="center"/>
        </w:trPr>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14:paraId="5A59BA7A" w14:textId="77777777" w:rsidR="00B545DE" w:rsidRPr="00A36AFC" w:rsidRDefault="00B545DE" w:rsidP="00B545DE">
            <w:pPr>
              <w:ind w:firstLineChars="200" w:firstLine="440"/>
              <w:rPr>
                <w:color w:val="000000"/>
                <w:sz w:val="22"/>
                <w:szCs w:val="22"/>
                <w:lang w:val="es-GT" w:eastAsia="es-GT"/>
              </w:rPr>
            </w:pPr>
            <w:r w:rsidRPr="00A36AFC">
              <w:rPr>
                <w:color w:val="000000"/>
                <w:sz w:val="22"/>
                <w:szCs w:val="22"/>
                <w:lang w:val="es-GT" w:eastAsia="es-GT"/>
              </w:rPr>
              <w:t>Dólares</w:t>
            </w:r>
          </w:p>
        </w:tc>
        <w:tc>
          <w:tcPr>
            <w:tcW w:w="1985" w:type="dxa"/>
            <w:tcBorders>
              <w:top w:val="nil"/>
              <w:left w:val="nil"/>
              <w:bottom w:val="single" w:sz="8" w:space="0" w:color="auto"/>
              <w:right w:val="single" w:sz="8" w:space="0" w:color="auto"/>
            </w:tcBorders>
            <w:shd w:val="clear" w:color="000000" w:fill="FFFFFF"/>
            <w:noWrap/>
            <w:vAlign w:val="center"/>
            <w:hideMark/>
          </w:tcPr>
          <w:p w14:paraId="3F53B655"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43.3</w:t>
            </w:r>
          </w:p>
        </w:tc>
        <w:tc>
          <w:tcPr>
            <w:tcW w:w="1701" w:type="dxa"/>
            <w:tcBorders>
              <w:top w:val="nil"/>
              <w:left w:val="nil"/>
              <w:bottom w:val="single" w:sz="8" w:space="0" w:color="auto"/>
              <w:right w:val="single" w:sz="8" w:space="0" w:color="auto"/>
            </w:tcBorders>
            <w:shd w:val="clear" w:color="000000" w:fill="FFFFFF"/>
            <w:vAlign w:val="center"/>
            <w:hideMark/>
          </w:tcPr>
          <w:p w14:paraId="0986B6D2"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40.6</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14:paraId="102044E6" w14:textId="77777777" w:rsidR="00B545DE" w:rsidRPr="00A36AFC" w:rsidRDefault="00B545DE" w:rsidP="00B545DE">
            <w:pPr>
              <w:jc w:val="center"/>
              <w:rPr>
                <w:color w:val="000000"/>
                <w:sz w:val="22"/>
                <w:szCs w:val="22"/>
                <w:lang w:val="es-GT" w:eastAsia="es-GT"/>
              </w:rPr>
            </w:pPr>
            <w:r w:rsidRPr="00A36AFC">
              <w:rPr>
                <w:color w:val="000000"/>
                <w:sz w:val="22"/>
                <w:szCs w:val="22"/>
                <w:lang w:val="es-GT" w:eastAsia="es-GT"/>
              </w:rPr>
              <w:t>44.3</w:t>
            </w:r>
          </w:p>
        </w:tc>
      </w:tr>
    </w:tbl>
    <w:p w14:paraId="32FF48DF" w14:textId="230821F8" w:rsidR="00B545DE" w:rsidRPr="00DF6BCB" w:rsidRDefault="00DF6BCB" w:rsidP="00DF6BCB">
      <w:pPr>
        <w:autoSpaceDE w:val="0"/>
        <w:autoSpaceDN w:val="0"/>
        <w:adjustRightInd w:val="0"/>
        <w:jc w:val="both"/>
        <w:rPr>
          <w:sz w:val="18"/>
        </w:rPr>
      </w:pPr>
      <w:r>
        <w:rPr>
          <w:sz w:val="18"/>
        </w:rPr>
        <w:t xml:space="preserve"> </w:t>
      </w:r>
      <w:r w:rsidR="00B545DE" w:rsidRPr="00DF6BCB">
        <w:rPr>
          <w:sz w:val="18"/>
        </w:rPr>
        <w:t xml:space="preserve">Fuente: </w:t>
      </w:r>
      <w:r>
        <w:rPr>
          <w:sz w:val="18"/>
        </w:rPr>
        <w:t>Ministerio de Finanzas Públicas.</w:t>
      </w:r>
    </w:p>
    <w:p w14:paraId="069B6F41" w14:textId="77777777" w:rsidR="00B545DE" w:rsidRDefault="00B545DE" w:rsidP="00B545DE">
      <w:pPr>
        <w:autoSpaceDE w:val="0"/>
        <w:autoSpaceDN w:val="0"/>
        <w:adjustRightInd w:val="0"/>
        <w:jc w:val="both"/>
        <w:rPr>
          <w:sz w:val="16"/>
        </w:rPr>
      </w:pPr>
    </w:p>
    <w:p w14:paraId="1407B4BB" w14:textId="77777777" w:rsidR="00B545DE" w:rsidRDefault="00B545DE" w:rsidP="00B545DE">
      <w:pPr>
        <w:autoSpaceDE w:val="0"/>
        <w:autoSpaceDN w:val="0"/>
        <w:adjustRightInd w:val="0"/>
        <w:jc w:val="both"/>
        <w:rPr>
          <w:sz w:val="16"/>
        </w:rPr>
      </w:pPr>
    </w:p>
    <w:p w14:paraId="06AD328B" w14:textId="77777777" w:rsidR="00B545DE" w:rsidRDefault="00B545DE" w:rsidP="00B545DE">
      <w:pPr>
        <w:autoSpaceDE w:val="0"/>
        <w:autoSpaceDN w:val="0"/>
        <w:adjustRightInd w:val="0"/>
        <w:jc w:val="both"/>
        <w:rPr>
          <w:sz w:val="16"/>
        </w:rPr>
      </w:pPr>
    </w:p>
    <w:p w14:paraId="3D78B259" w14:textId="41559B2C" w:rsidR="00B545DE" w:rsidRPr="00AD03E4" w:rsidRDefault="00B545DE" w:rsidP="00AD03E4">
      <w:pPr>
        <w:pStyle w:val="Ttulo2"/>
        <w:numPr>
          <w:ilvl w:val="0"/>
          <w:numId w:val="6"/>
        </w:numPr>
        <w:ind w:left="426"/>
        <w:rPr>
          <w:rFonts w:ascii="Times New Roman" w:hAnsi="Times New Roman"/>
          <w:color w:val="auto"/>
          <w:sz w:val="24"/>
        </w:rPr>
      </w:pPr>
      <w:bookmarkStart w:id="79" w:name="_Toc142549360"/>
      <w:bookmarkStart w:id="80" w:name="_Toc142920568"/>
      <w:bookmarkEnd w:id="78"/>
      <w:r w:rsidRPr="00AD03E4">
        <w:rPr>
          <w:rFonts w:ascii="Times New Roman" w:hAnsi="Times New Roman"/>
          <w:color w:val="auto"/>
          <w:sz w:val="24"/>
        </w:rPr>
        <w:t>Operaciones Extrapresupuestarias</w:t>
      </w:r>
      <w:bookmarkEnd w:id="79"/>
      <w:bookmarkEnd w:id="80"/>
    </w:p>
    <w:p w14:paraId="5A5ECE7B" w14:textId="77777777" w:rsidR="00B545DE" w:rsidRDefault="00B545DE" w:rsidP="00B545DE">
      <w:pPr>
        <w:autoSpaceDE w:val="0"/>
        <w:autoSpaceDN w:val="0"/>
        <w:adjustRightInd w:val="0"/>
        <w:jc w:val="both"/>
        <w:rPr>
          <w:sz w:val="16"/>
        </w:rPr>
      </w:pPr>
    </w:p>
    <w:p w14:paraId="02242FD6" w14:textId="3B469867" w:rsidR="00B545DE" w:rsidRDefault="00B545DE" w:rsidP="00B545DE">
      <w:pPr>
        <w:autoSpaceDE w:val="0"/>
        <w:autoSpaceDN w:val="0"/>
        <w:adjustRightInd w:val="0"/>
        <w:jc w:val="both"/>
      </w:pPr>
      <w:r>
        <w:t>Se consideran operaciones extrapresupuestarias todas aquellas transacciones de ingresos y gastos que se realizan por entidades del gobierno general y que no están contenidas en el documento del Presupuesto General de Ingresos y Egresos del Estado</w:t>
      </w:r>
      <w:r w:rsidR="00905DDD">
        <w:t>. E</w:t>
      </w:r>
      <w:r>
        <w:t>n este apartado se revisará el comportamiento que tienen dos grupos de entidades extrapresupuestarias al 30 de junio de 2023.</w:t>
      </w:r>
    </w:p>
    <w:p w14:paraId="414BCE7A" w14:textId="77777777" w:rsidR="00B545DE" w:rsidRDefault="00B545DE" w:rsidP="00B545DE">
      <w:pPr>
        <w:autoSpaceDE w:val="0"/>
        <w:autoSpaceDN w:val="0"/>
        <w:adjustRightInd w:val="0"/>
        <w:jc w:val="both"/>
      </w:pPr>
    </w:p>
    <w:p w14:paraId="143CFED5" w14:textId="0266BF04" w:rsidR="00B545DE" w:rsidRDefault="00B545DE" w:rsidP="00B545DE">
      <w:pPr>
        <w:autoSpaceDE w:val="0"/>
        <w:autoSpaceDN w:val="0"/>
        <w:adjustRightInd w:val="0"/>
        <w:jc w:val="both"/>
      </w:pPr>
      <w:r>
        <w:t>El primer grupo son las entidades descentralizadas y autónomas no empresariales, la</w:t>
      </w:r>
      <w:r w:rsidR="00905DDD">
        <w:t>s</w:t>
      </w:r>
      <w:r>
        <w:t xml:space="preserve"> cuales están </w:t>
      </w:r>
      <w:r w:rsidRPr="009B4A48">
        <w:t>conformadas por 79 entidades</w:t>
      </w:r>
      <w:r w:rsidR="00905DDD">
        <w:t>,</w:t>
      </w:r>
      <w:r w:rsidRPr="009B4A48">
        <w:t xml:space="preserve"> y el segundo grupo corresponde a los gobiernos locales o municipalidades que están integradas por 340 municipalidades</w:t>
      </w:r>
      <w:r>
        <w:t>.</w:t>
      </w:r>
    </w:p>
    <w:p w14:paraId="0308FA10" w14:textId="77777777" w:rsidR="00B545DE" w:rsidRDefault="00B545DE" w:rsidP="00B545DE">
      <w:pPr>
        <w:autoSpaceDE w:val="0"/>
        <w:autoSpaceDN w:val="0"/>
        <w:adjustRightInd w:val="0"/>
        <w:jc w:val="both"/>
      </w:pPr>
    </w:p>
    <w:p w14:paraId="0A6DF2A3" w14:textId="141A2772" w:rsidR="00B545DE" w:rsidRDefault="00B545DE" w:rsidP="00B545DE">
      <w:pPr>
        <w:autoSpaceDE w:val="0"/>
        <w:autoSpaceDN w:val="0"/>
        <w:adjustRightInd w:val="0"/>
        <w:jc w:val="both"/>
      </w:pPr>
      <w:r>
        <w:t xml:space="preserve">En el caso de las entidades descentralizadas y autónomas no empresariales, </w:t>
      </w:r>
      <w:r w:rsidR="00905DDD">
        <w:t>é</w:t>
      </w:r>
      <w:r>
        <w:t>stas muestran al 30 de junio de 2023, por el lado de los ingresos, un nivel de Q</w:t>
      </w:r>
      <w:r w:rsidR="00905DDD">
        <w:t>.</w:t>
      </w:r>
      <w:r>
        <w:t>18,197.8 millones, representando el 49.4% de lo previsto en el presupuesto agregado de estas entidades. Destaca en este caso, los ingresos por contribuciones a la seguridad social que reportan un porcentaje de ejecución de</w:t>
      </w:r>
      <w:r w:rsidR="00922231">
        <w:t>l</w:t>
      </w:r>
      <w:r>
        <w:t xml:space="preserve"> 55.1% por arriba del promedio institucional de ingresos (49.4%), esto se atribuye principalmente a las cuotas laboral y patronal que recibe el Instituto Guatemalteco de Seguridad Social </w:t>
      </w:r>
      <w:r w:rsidR="00922231">
        <w:t>(</w:t>
      </w:r>
      <w:r>
        <w:t>IGSS</w:t>
      </w:r>
      <w:r w:rsidR="00922231">
        <w:t>)</w:t>
      </w:r>
      <w:r>
        <w:t xml:space="preserve"> para sus programas de IVS y EMA. Asimismo, se observa </w:t>
      </w:r>
      <w:r w:rsidR="00922231">
        <w:t xml:space="preserve">un </w:t>
      </w:r>
      <w:r>
        <w:t>porcentaje de ejecución por arriba del 50</w:t>
      </w:r>
      <w:r w:rsidR="00922231">
        <w:t>.0</w:t>
      </w:r>
      <w:r>
        <w:t>% en los ingresos tributarios, no tributarios y la venta de bienes y servicios de no mercado. Las transferencias corrientes que si bien muestran un grado de ejecución de 43.6% contienen principalmente los aportes que el gobierno realiza para la operación de estas entidades extrapresupuestarias. Por el lado del gasto, el dinamismo que se observa es menor</w:t>
      </w:r>
      <w:r w:rsidR="00922231">
        <w:t>;</w:t>
      </w:r>
      <w:r>
        <w:t xml:space="preserve"> al 30 de junio</w:t>
      </w:r>
      <w:r w:rsidR="00922231">
        <w:t xml:space="preserve"> de 2023</w:t>
      </w:r>
      <w:r>
        <w:t xml:space="preserve"> muestran una ejecución de Q</w:t>
      </w:r>
      <w:r w:rsidR="00922231">
        <w:t>.</w:t>
      </w:r>
      <w:r>
        <w:t>14,706.2 millones, y el grado de ejecución es de 37.6% con respecto al presupuesto vigente</w:t>
      </w:r>
      <w:r w:rsidR="00922231">
        <w:t>. E</w:t>
      </w:r>
      <w:r>
        <w:t>l principal gasto que muestra mayor ejecución son las prestaciones de la seguridad social que corresponden al pago de pensiones y jubilaciones que realiza principalmente el IGSS. En lo que respecta a uno de los principales gastos que realizan estas entidades son los relacionados al consumo</w:t>
      </w:r>
      <w:r w:rsidR="00922231">
        <w:t>,</w:t>
      </w:r>
      <w:r>
        <w:t xml:space="preserve"> en donde destacan el pago de remuneraciones y bienes y servicios, </w:t>
      </w:r>
      <w:r w:rsidR="00922231">
        <w:t>que</w:t>
      </w:r>
      <w:r>
        <w:t xml:space="preserve"> apenas muestra un grado de ejecución de 38.2%</w:t>
      </w:r>
      <w:r w:rsidR="007555FF">
        <w:t>;</w:t>
      </w:r>
      <w:r>
        <w:t xml:space="preserve"> dicho nivel es el que en buena medida incide en el comportamiento global de la ejecución del gasto de estas entidades descentralizadas y autónomas.</w:t>
      </w:r>
    </w:p>
    <w:p w14:paraId="3701FAE2" w14:textId="77777777" w:rsidR="00B545DE" w:rsidRDefault="00B545DE" w:rsidP="00B545DE">
      <w:pPr>
        <w:autoSpaceDE w:val="0"/>
        <w:autoSpaceDN w:val="0"/>
        <w:adjustRightInd w:val="0"/>
        <w:jc w:val="both"/>
      </w:pPr>
    </w:p>
    <w:p w14:paraId="62028C41" w14:textId="2017F409" w:rsidR="00B545DE" w:rsidRDefault="00B545DE" w:rsidP="00B545DE">
      <w:pPr>
        <w:autoSpaceDE w:val="0"/>
        <w:autoSpaceDN w:val="0"/>
        <w:adjustRightInd w:val="0"/>
        <w:jc w:val="both"/>
      </w:pPr>
      <w:r>
        <w:t>Derivado de lo anterior, se observa al 30 de junio</w:t>
      </w:r>
      <w:r w:rsidR="007555FF">
        <w:t xml:space="preserve"> de 2023</w:t>
      </w:r>
      <w:r>
        <w:t xml:space="preserve"> un superávit fiscal de Q</w:t>
      </w:r>
      <w:r w:rsidR="007555FF">
        <w:t>.</w:t>
      </w:r>
      <w:r>
        <w:t>3,491.6 millones, en contraste con el déficit previsto para el cierre del año en el presupuesto agregado de estas entidades el cual se sitúa en Q</w:t>
      </w:r>
      <w:r w:rsidR="007555FF">
        <w:t>.</w:t>
      </w:r>
      <w:r>
        <w:t>2,318.4 millones.</w:t>
      </w:r>
    </w:p>
    <w:p w14:paraId="16CB7434" w14:textId="77777777" w:rsidR="00B545DE" w:rsidRDefault="00B545DE" w:rsidP="00B545DE">
      <w:pPr>
        <w:autoSpaceDE w:val="0"/>
        <w:autoSpaceDN w:val="0"/>
        <w:adjustRightInd w:val="0"/>
        <w:jc w:val="both"/>
      </w:pPr>
    </w:p>
    <w:tbl>
      <w:tblPr>
        <w:tblW w:w="9072" w:type="dxa"/>
        <w:jc w:val="center"/>
        <w:tblCellMar>
          <w:left w:w="70" w:type="dxa"/>
          <w:right w:w="70" w:type="dxa"/>
        </w:tblCellMar>
        <w:tblLook w:val="04A0" w:firstRow="1" w:lastRow="0" w:firstColumn="1" w:lastColumn="0" w:noHBand="0" w:noVBand="1"/>
      </w:tblPr>
      <w:tblGrid>
        <w:gridCol w:w="5245"/>
        <w:gridCol w:w="1418"/>
        <w:gridCol w:w="1417"/>
        <w:gridCol w:w="992"/>
      </w:tblGrid>
      <w:tr w:rsidR="00B545DE" w:rsidRPr="00D04BF9" w14:paraId="73F03EE4" w14:textId="77777777" w:rsidTr="007555FF">
        <w:trPr>
          <w:trHeight w:val="210"/>
          <w:jc w:val="center"/>
        </w:trPr>
        <w:tc>
          <w:tcPr>
            <w:tcW w:w="9072" w:type="dxa"/>
            <w:gridSpan w:val="4"/>
            <w:tcBorders>
              <w:top w:val="nil"/>
              <w:left w:val="nil"/>
              <w:bottom w:val="nil"/>
              <w:right w:val="nil"/>
            </w:tcBorders>
            <w:shd w:val="clear" w:color="auto" w:fill="auto"/>
            <w:vAlign w:val="bottom"/>
            <w:hideMark/>
          </w:tcPr>
          <w:p w14:paraId="1635B986" w14:textId="4B4B4E26" w:rsidR="00B545DE" w:rsidRPr="000C5754" w:rsidRDefault="00BC0150" w:rsidP="00B545DE">
            <w:pPr>
              <w:jc w:val="center"/>
              <w:rPr>
                <w:b/>
                <w:bCs/>
                <w:color w:val="000000"/>
                <w:lang w:eastAsia="es-GT"/>
              </w:rPr>
            </w:pPr>
            <w:r>
              <w:rPr>
                <w:b/>
                <w:bCs/>
              </w:rPr>
              <w:t>Cuadro 26</w:t>
            </w:r>
            <w:r w:rsidR="00B545DE" w:rsidRPr="00327B03">
              <w:rPr>
                <w:b/>
                <w:bCs/>
              </w:rPr>
              <w:t>.</w:t>
            </w:r>
            <w:r w:rsidR="00B545DE">
              <w:t xml:space="preserve">  </w:t>
            </w:r>
            <w:r w:rsidR="00B545DE" w:rsidRPr="000C5754">
              <w:rPr>
                <w:b/>
                <w:bCs/>
                <w:color w:val="000000"/>
                <w:lang w:eastAsia="es-GT"/>
              </w:rPr>
              <w:t xml:space="preserve">Situación </w:t>
            </w:r>
            <w:r w:rsidR="007555FF">
              <w:rPr>
                <w:b/>
                <w:bCs/>
                <w:color w:val="000000"/>
                <w:lang w:eastAsia="es-GT"/>
              </w:rPr>
              <w:t>F</w:t>
            </w:r>
            <w:r w:rsidR="00B545DE" w:rsidRPr="000C5754">
              <w:rPr>
                <w:b/>
                <w:bCs/>
                <w:color w:val="000000"/>
                <w:lang w:eastAsia="es-GT"/>
              </w:rPr>
              <w:t xml:space="preserve">inanciera </w:t>
            </w:r>
            <w:r w:rsidR="007555FF">
              <w:rPr>
                <w:b/>
                <w:bCs/>
                <w:color w:val="000000"/>
                <w:lang w:eastAsia="es-GT"/>
              </w:rPr>
              <w:t>A</w:t>
            </w:r>
            <w:r w:rsidR="00B545DE" w:rsidRPr="000C5754">
              <w:rPr>
                <w:b/>
                <w:bCs/>
                <w:color w:val="000000"/>
                <w:lang w:eastAsia="es-GT"/>
              </w:rPr>
              <w:t>gregada</w:t>
            </w:r>
          </w:p>
          <w:p w14:paraId="261AF9DC" w14:textId="5A9B016D" w:rsidR="00B545DE" w:rsidRPr="00D04BF9" w:rsidRDefault="00B545DE" w:rsidP="00B545DE">
            <w:pPr>
              <w:jc w:val="center"/>
              <w:rPr>
                <w:b/>
                <w:bCs/>
                <w:color w:val="000000"/>
                <w:sz w:val="32"/>
                <w:szCs w:val="32"/>
                <w:lang w:eastAsia="es-GT"/>
              </w:rPr>
            </w:pPr>
            <w:r w:rsidRPr="000C5754">
              <w:rPr>
                <w:b/>
                <w:bCs/>
                <w:color w:val="000000"/>
                <w:lang w:eastAsia="es-GT"/>
              </w:rPr>
              <w:t>de las Entidades Descentralizadas y Autónomas</w:t>
            </w:r>
            <w:bookmarkStart w:id="81" w:name="_GoBack"/>
            <w:bookmarkEnd w:id="81"/>
          </w:p>
        </w:tc>
      </w:tr>
      <w:tr w:rsidR="00B545DE" w:rsidRPr="00D04BF9" w14:paraId="2155A489" w14:textId="77777777" w:rsidTr="007555FF">
        <w:trPr>
          <w:trHeight w:val="96"/>
          <w:jc w:val="center"/>
        </w:trPr>
        <w:tc>
          <w:tcPr>
            <w:tcW w:w="9072" w:type="dxa"/>
            <w:gridSpan w:val="4"/>
            <w:tcBorders>
              <w:top w:val="nil"/>
              <w:left w:val="nil"/>
              <w:bottom w:val="nil"/>
              <w:right w:val="nil"/>
            </w:tcBorders>
            <w:shd w:val="clear" w:color="auto" w:fill="auto"/>
            <w:noWrap/>
            <w:vAlign w:val="bottom"/>
            <w:hideMark/>
          </w:tcPr>
          <w:p w14:paraId="62A9A617" w14:textId="77777777" w:rsidR="00B545DE" w:rsidRPr="007555FF" w:rsidRDefault="00B545DE" w:rsidP="00B545DE">
            <w:pPr>
              <w:jc w:val="center"/>
              <w:rPr>
                <w:b/>
                <w:color w:val="000000"/>
                <w:szCs w:val="22"/>
                <w:lang w:eastAsia="es-GT"/>
              </w:rPr>
            </w:pPr>
            <w:r w:rsidRPr="007555FF">
              <w:rPr>
                <w:b/>
                <w:color w:val="000000"/>
                <w:szCs w:val="22"/>
                <w:lang w:eastAsia="es-GT"/>
              </w:rPr>
              <w:t>Cifras a junio de 2023</w:t>
            </w:r>
          </w:p>
        </w:tc>
      </w:tr>
      <w:tr w:rsidR="00B545DE" w:rsidRPr="00D04BF9" w14:paraId="2C249D0B" w14:textId="77777777" w:rsidTr="007555FF">
        <w:trPr>
          <w:trHeight w:val="65"/>
          <w:jc w:val="center"/>
        </w:trPr>
        <w:tc>
          <w:tcPr>
            <w:tcW w:w="9072" w:type="dxa"/>
            <w:gridSpan w:val="4"/>
            <w:tcBorders>
              <w:top w:val="nil"/>
              <w:left w:val="nil"/>
              <w:bottom w:val="nil"/>
              <w:right w:val="nil"/>
            </w:tcBorders>
            <w:shd w:val="clear" w:color="auto" w:fill="auto"/>
            <w:noWrap/>
            <w:vAlign w:val="bottom"/>
            <w:hideMark/>
          </w:tcPr>
          <w:p w14:paraId="6D95EFFD" w14:textId="3458502D" w:rsidR="00B545DE" w:rsidRPr="007555FF" w:rsidRDefault="007555FF" w:rsidP="00B545DE">
            <w:pPr>
              <w:jc w:val="center"/>
              <w:rPr>
                <w:b/>
                <w:color w:val="000000"/>
                <w:szCs w:val="20"/>
                <w:lang w:eastAsia="es-GT"/>
              </w:rPr>
            </w:pPr>
            <w:r>
              <w:rPr>
                <w:b/>
                <w:color w:val="000000"/>
                <w:szCs w:val="22"/>
                <w:lang w:eastAsia="es-GT"/>
              </w:rPr>
              <w:t>(</w:t>
            </w:r>
            <w:r w:rsidR="00B545DE" w:rsidRPr="007555FF">
              <w:rPr>
                <w:b/>
                <w:color w:val="000000"/>
                <w:szCs w:val="22"/>
                <w:lang w:eastAsia="es-GT"/>
              </w:rPr>
              <w:t xml:space="preserve">En </w:t>
            </w:r>
            <w:r>
              <w:rPr>
                <w:b/>
                <w:color w:val="000000"/>
                <w:szCs w:val="22"/>
                <w:lang w:eastAsia="es-GT"/>
              </w:rPr>
              <w:t>M</w:t>
            </w:r>
            <w:r w:rsidR="00B545DE" w:rsidRPr="007555FF">
              <w:rPr>
                <w:b/>
                <w:color w:val="000000"/>
                <w:szCs w:val="22"/>
                <w:lang w:eastAsia="es-GT"/>
              </w:rPr>
              <w:t>illones de Quetzales</w:t>
            </w:r>
            <w:r>
              <w:rPr>
                <w:b/>
                <w:color w:val="000000"/>
                <w:szCs w:val="22"/>
                <w:lang w:eastAsia="es-GT"/>
              </w:rPr>
              <w:t>)</w:t>
            </w:r>
          </w:p>
        </w:tc>
      </w:tr>
      <w:tr w:rsidR="007555FF" w:rsidRPr="007555FF" w14:paraId="75726094" w14:textId="77777777" w:rsidTr="007555FF">
        <w:trPr>
          <w:trHeight w:val="471"/>
          <w:jc w:val="center"/>
        </w:trPr>
        <w:tc>
          <w:tcPr>
            <w:tcW w:w="5245" w:type="dxa"/>
            <w:tcBorders>
              <w:top w:val="single" w:sz="8" w:space="0" w:color="auto"/>
              <w:left w:val="single" w:sz="8" w:space="0" w:color="auto"/>
              <w:bottom w:val="nil"/>
              <w:right w:val="nil"/>
            </w:tcBorders>
            <w:shd w:val="clear" w:color="auto" w:fill="00B0F0"/>
            <w:noWrap/>
            <w:vAlign w:val="center"/>
            <w:hideMark/>
          </w:tcPr>
          <w:p w14:paraId="32D710E1" w14:textId="77777777" w:rsidR="00B545DE" w:rsidRPr="007555FF" w:rsidRDefault="00B545DE" w:rsidP="00B545DE">
            <w:pPr>
              <w:jc w:val="center"/>
              <w:rPr>
                <w:b/>
                <w:bCs/>
                <w:lang w:eastAsia="es-GT"/>
              </w:rPr>
            </w:pPr>
            <w:r w:rsidRPr="007555FF">
              <w:rPr>
                <w:b/>
                <w:bCs/>
                <w:lang w:eastAsia="es-GT"/>
              </w:rPr>
              <w:t>Concepto</w:t>
            </w:r>
          </w:p>
        </w:tc>
        <w:tc>
          <w:tcPr>
            <w:tcW w:w="1418" w:type="dxa"/>
            <w:tcBorders>
              <w:top w:val="single" w:sz="8" w:space="0" w:color="auto"/>
              <w:left w:val="single" w:sz="8" w:space="0" w:color="auto"/>
              <w:bottom w:val="nil"/>
              <w:right w:val="nil"/>
            </w:tcBorders>
            <w:shd w:val="clear" w:color="auto" w:fill="00B0F0"/>
            <w:noWrap/>
            <w:vAlign w:val="center"/>
            <w:hideMark/>
          </w:tcPr>
          <w:p w14:paraId="7FAF48D9" w14:textId="77777777" w:rsidR="00B545DE" w:rsidRPr="007555FF" w:rsidRDefault="00B545DE" w:rsidP="00B545DE">
            <w:pPr>
              <w:jc w:val="center"/>
              <w:rPr>
                <w:b/>
                <w:bCs/>
                <w:lang w:eastAsia="es-GT"/>
              </w:rPr>
            </w:pPr>
            <w:r w:rsidRPr="007555FF">
              <w:rPr>
                <w:b/>
                <w:bCs/>
                <w:lang w:eastAsia="es-GT"/>
              </w:rPr>
              <w:t>Vigente</w:t>
            </w:r>
          </w:p>
        </w:tc>
        <w:tc>
          <w:tcPr>
            <w:tcW w:w="1417" w:type="dxa"/>
            <w:tcBorders>
              <w:top w:val="single" w:sz="8" w:space="0" w:color="auto"/>
              <w:left w:val="nil"/>
              <w:bottom w:val="nil"/>
              <w:right w:val="nil"/>
            </w:tcBorders>
            <w:shd w:val="clear" w:color="auto" w:fill="00B0F0"/>
            <w:noWrap/>
            <w:vAlign w:val="center"/>
            <w:hideMark/>
          </w:tcPr>
          <w:p w14:paraId="028AA71E" w14:textId="77777777" w:rsidR="00B545DE" w:rsidRPr="007555FF" w:rsidRDefault="00B545DE" w:rsidP="00B545DE">
            <w:pPr>
              <w:jc w:val="center"/>
              <w:rPr>
                <w:b/>
                <w:bCs/>
                <w:lang w:eastAsia="es-GT"/>
              </w:rPr>
            </w:pPr>
            <w:r w:rsidRPr="007555FF">
              <w:rPr>
                <w:b/>
                <w:bCs/>
                <w:lang w:eastAsia="es-GT"/>
              </w:rPr>
              <w:t>Devengado</w:t>
            </w:r>
          </w:p>
        </w:tc>
        <w:tc>
          <w:tcPr>
            <w:tcW w:w="992" w:type="dxa"/>
            <w:tcBorders>
              <w:top w:val="single" w:sz="8" w:space="0" w:color="auto"/>
              <w:left w:val="nil"/>
              <w:bottom w:val="nil"/>
              <w:right w:val="single" w:sz="8" w:space="0" w:color="auto"/>
            </w:tcBorders>
            <w:shd w:val="clear" w:color="auto" w:fill="00B0F0"/>
            <w:noWrap/>
            <w:vAlign w:val="center"/>
            <w:hideMark/>
          </w:tcPr>
          <w:p w14:paraId="1C39EE29" w14:textId="06B158F0" w:rsidR="00B545DE" w:rsidRPr="007555FF" w:rsidRDefault="007555FF" w:rsidP="00B545DE">
            <w:pPr>
              <w:jc w:val="center"/>
              <w:rPr>
                <w:b/>
                <w:bCs/>
                <w:lang w:eastAsia="es-GT"/>
              </w:rPr>
            </w:pPr>
            <w:r>
              <w:rPr>
                <w:b/>
                <w:bCs/>
                <w:lang w:eastAsia="es-GT"/>
              </w:rPr>
              <w:t>%</w:t>
            </w:r>
          </w:p>
        </w:tc>
      </w:tr>
      <w:tr w:rsidR="00B545DE" w:rsidRPr="00D04BF9" w14:paraId="1947CF3F" w14:textId="77777777" w:rsidTr="007555FF">
        <w:trPr>
          <w:trHeight w:val="69"/>
          <w:jc w:val="center"/>
        </w:trPr>
        <w:tc>
          <w:tcPr>
            <w:tcW w:w="5245" w:type="dxa"/>
            <w:tcBorders>
              <w:top w:val="nil"/>
              <w:left w:val="single" w:sz="8" w:space="0" w:color="auto"/>
              <w:bottom w:val="single" w:sz="8" w:space="0" w:color="44B3E1"/>
              <w:right w:val="nil"/>
            </w:tcBorders>
            <w:shd w:val="clear" w:color="auto" w:fill="auto"/>
            <w:noWrap/>
            <w:vAlign w:val="center"/>
            <w:hideMark/>
          </w:tcPr>
          <w:p w14:paraId="3FEFFBC3" w14:textId="77777777" w:rsidR="00B545DE" w:rsidRPr="00D04BF9" w:rsidRDefault="00B545DE" w:rsidP="00B545DE">
            <w:pPr>
              <w:rPr>
                <w:b/>
                <w:bCs/>
                <w:color w:val="000000"/>
                <w:sz w:val="20"/>
                <w:szCs w:val="20"/>
                <w:lang w:eastAsia="es-GT"/>
              </w:rPr>
            </w:pPr>
            <w:r w:rsidRPr="00D04BF9">
              <w:rPr>
                <w:b/>
                <w:bCs/>
                <w:color w:val="000000"/>
                <w:sz w:val="20"/>
                <w:szCs w:val="20"/>
                <w:lang w:eastAsia="es-GT"/>
              </w:rPr>
              <w:t>Ingresos</w:t>
            </w:r>
          </w:p>
        </w:tc>
        <w:tc>
          <w:tcPr>
            <w:tcW w:w="1418" w:type="dxa"/>
            <w:tcBorders>
              <w:top w:val="nil"/>
              <w:left w:val="single" w:sz="8" w:space="0" w:color="auto"/>
              <w:bottom w:val="single" w:sz="8" w:space="0" w:color="44B3E1"/>
              <w:right w:val="nil"/>
            </w:tcBorders>
            <w:shd w:val="clear" w:color="auto" w:fill="auto"/>
            <w:noWrap/>
            <w:vAlign w:val="center"/>
            <w:hideMark/>
          </w:tcPr>
          <w:p w14:paraId="749A3430"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36,803.7</w:t>
            </w:r>
          </w:p>
        </w:tc>
        <w:tc>
          <w:tcPr>
            <w:tcW w:w="1417" w:type="dxa"/>
            <w:tcBorders>
              <w:top w:val="nil"/>
              <w:left w:val="nil"/>
              <w:bottom w:val="single" w:sz="8" w:space="0" w:color="44B3E1"/>
              <w:right w:val="nil"/>
            </w:tcBorders>
            <w:shd w:val="clear" w:color="auto" w:fill="auto"/>
            <w:noWrap/>
            <w:vAlign w:val="center"/>
            <w:hideMark/>
          </w:tcPr>
          <w:p w14:paraId="5AD11929"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18,197.8</w:t>
            </w:r>
          </w:p>
        </w:tc>
        <w:tc>
          <w:tcPr>
            <w:tcW w:w="992" w:type="dxa"/>
            <w:tcBorders>
              <w:top w:val="nil"/>
              <w:left w:val="nil"/>
              <w:bottom w:val="single" w:sz="8" w:space="0" w:color="44B3E1"/>
              <w:right w:val="single" w:sz="8" w:space="0" w:color="auto"/>
            </w:tcBorders>
            <w:shd w:val="clear" w:color="auto" w:fill="auto"/>
            <w:noWrap/>
            <w:vAlign w:val="center"/>
            <w:hideMark/>
          </w:tcPr>
          <w:p w14:paraId="22BF2053"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49.4%</w:t>
            </w:r>
          </w:p>
        </w:tc>
      </w:tr>
      <w:tr w:rsidR="00B545DE" w:rsidRPr="00D04BF9" w14:paraId="26CECF8E"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72E6551D" w14:textId="69D3BE26" w:rsidR="00B545DE" w:rsidRPr="00D04BF9" w:rsidRDefault="00B545DE" w:rsidP="00B545DE">
            <w:pPr>
              <w:ind w:firstLineChars="100" w:firstLine="201"/>
              <w:rPr>
                <w:b/>
                <w:bCs/>
                <w:color w:val="000000"/>
                <w:sz w:val="20"/>
                <w:szCs w:val="20"/>
                <w:lang w:eastAsia="es-GT"/>
              </w:rPr>
            </w:pPr>
            <w:r w:rsidRPr="00D04BF9">
              <w:rPr>
                <w:b/>
                <w:bCs/>
                <w:color w:val="000000"/>
                <w:sz w:val="20"/>
                <w:szCs w:val="20"/>
                <w:lang w:eastAsia="es-GT"/>
              </w:rPr>
              <w:t xml:space="preserve">Ingresos </w:t>
            </w:r>
            <w:r w:rsidR="007555FF">
              <w:rPr>
                <w:b/>
                <w:bCs/>
                <w:color w:val="000000"/>
                <w:sz w:val="20"/>
                <w:szCs w:val="20"/>
                <w:lang w:eastAsia="es-GT"/>
              </w:rPr>
              <w:t>C</w:t>
            </w:r>
            <w:r w:rsidRPr="00D04BF9">
              <w:rPr>
                <w:b/>
                <w:bCs/>
                <w:color w:val="000000"/>
                <w:sz w:val="20"/>
                <w:szCs w:val="20"/>
                <w:lang w:eastAsia="es-GT"/>
              </w:rPr>
              <w:t>orrientes</w:t>
            </w:r>
          </w:p>
        </w:tc>
        <w:tc>
          <w:tcPr>
            <w:tcW w:w="1418" w:type="dxa"/>
            <w:tcBorders>
              <w:top w:val="nil"/>
              <w:left w:val="single" w:sz="8" w:space="0" w:color="auto"/>
              <w:bottom w:val="nil"/>
              <w:right w:val="nil"/>
            </w:tcBorders>
            <w:shd w:val="clear" w:color="auto" w:fill="auto"/>
            <w:noWrap/>
            <w:vAlign w:val="center"/>
            <w:hideMark/>
          </w:tcPr>
          <w:p w14:paraId="095C2057"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35,837.7</w:t>
            </w:r>
          </w:p>
        </w:tc>
        <w:tc>
          <w:tcPr>
            <w:tcW w:w="1417" w:type="dxa"/>
            <w:tcBorders>
              <w:top w:val="nil"/>
              <w:left w:val="nil"/>
              <w:bottom w:val="nil"/>
              <w:right w:val="nil"/>
            </w:tcBorders>
            <w:shd w:val="clear" w:color="auto" w:fill="auto"/>
            <w:noWrap/>
            <w:vAlign w:val="center"/>
            <w:hideMark/>
          </w:tcPr>
          <w:p w14:paraId="2E51652D"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18,019.6</w:t>
            </w:r>
          </w:p>
        </w:tc>
        <w:tc>
          <w:tcPr>
            <w:tcW w:w="992" w:type="dxa"/>
            <w:tcBorders>
              <w:top w:val="nil"/>
              <w:left w:val="nil"/>
              <w:bottom w:val="nil"/>
              <w:right w:val="single" w:sz="8" w:space="0" w:color="auto"/>
            </w:tcBorders>
            <w:shd w:val="clear" w:color="auto" w:fill="auto"/>
            <w:noWrap/>
            <w:vAlign w:val="center"/>
            <w:hideMark/>
          </w:tcPr>
          <w:p w14:paraId="03A33256"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50.3%</w:t>
            </w:r>
          </w:p>
        </w:tc>
      </w:tr>
      <w:tr w:rsidR="00B545DE" w:rsidRPr="00D04BF9" w14:paraId="54733ED3"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66FD4AE8" w14:textId="7AAAB97F"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Contribuciones a la </w:t>
            </w:r>
            <w:r w:rsidR="007555FF">
              <w:rPr>
                <w:color w:val="000000"/>
                <w:sz w:val="20"/>
                <w:szCs w:val="20"/>
                <w:lang w:eastAsia="es-GT"/>
              </w:rPr>
              <w:t>S</w:t>
            </w:r>
            <w:r w:rsidRPr="00D04BF9">
              <w:rPr>
                <w:color w:val="000000"/>
                <w:sz w:val="20"/>
                <w:szCs w:val="20"/>
                <w:lang w:eastAsia="es-GT"/>
              </w:rPr>
              <w:t xml:space="preserve">eguridad </w:t>
            </w:r>
            <w:r w:rsidR="007555FF">
              <w:rPr>
                <w:color w:val="000000"/>
                <w:sz w:val="20"/>
                <w:szCs w:val="20"/>
                <w:lang w:eastAsia="es-GT"/>
              </w:rPr>
              <w:t>S</w:t>
            </w:r>
            <w:r w:rsidRPr="00D04BF9">
              <w:rPr>
                <w:color w:val="000000"/>
                <w:sz w:val="20"/>
                <w:szCs w:val="20"/>
                <w:lang w:eastAsia="es-GT"/>
              </w:rPr>
              <w:t>ocial</w:t>
            </w:r>
          </w:p>
        </w:tc>
        <w:tc>
          <w:tcPr>
            <w:tcW w:w="1418" w:type="dxa"/>
            <w:tcBorders>
              <w:top w:val="nil"/>
              <w:left w:val="single" w:sz="8" w:space="0" w:color="auto"/>
              <w:bottom w:val="nil"/>
              <w:right w:val="nil"/>
            </w:tcBorders>
            <w:shd w:val="clear" w:color="auto" w:fill="auto"/>
            <w:noWrap/>
            <w:vAlign w:val="center"/>
            <w:hideMark/>
          </w:tcPr>
          <w:p w14:paraId="1E2F9BB2" w14:textId="77777777" w:rsidR="00B545DE" w:rsidRPr="00D04BF9" w:rsidRDefault="00B545DE" w:rsidP="00B545DE">
            <w:pPr>
              <w:jc w:val="right"/>
              <w:rPr>
                <w:color w:val="000000"/>
                <w:sz w:val="18"/>
                <w:szCs w:val="18"/>
                <w:lang w:eastAsia="es-GT"/>
              </w:rPr>
            </w:pPr>
            <w:r w:rsidRPr="0006756C">
              <w:rPr>
                <w:color w:val="000000"/>
                <w:sz w:val="18"/>
                <w:szCs w:val="18"/>
                <w:lang w:eastAsia="es-GT"/>
              </w:rPr>
              <w:t>13,173.1</w:t>
            </w:r>
          </w:p>
        </w:tc>
        <w:tc>
          <w:tcPr>
            <w:tcW w:w="1417" w:type="dxa"/>
            <w:tcBorders>
              <w:top w:val="nil"/>
              <w:left w:val="nil"/>
              <w:bottom w:val="nil"/>
              <w:right w:val="nil"/>
            </w:tcBorders>
            <w:shd w:val="clear" w:color="auto" w:fill="auto"/>
            <w:noWrap/>
            <w:vAlign w:val="center"/>
            <w:hideMark/>
          </w:tcPr>
          <w:p w14:paraId="2374C758" w14:textId="77777777" w:rsidR="00B545DE" w:rsidRPr="00D04BF9" w:rsidRDefault="00B545DE" w:rsidP="00B545DE">
            <w:pPr>
              <w:jc w:val="right"/>
              <w:rPr>
                <w:color w:val="000000"/>
                <w:sz w:val="18"/>
                <w:szCs w:val="18"/>
                <w:lang w:eastAsia="es-GT"/>
              </w:rPr>
            </w:pPr>
            <w:r w:rsidRPr="0006756C">
              <w:rPr>
                <w:color w:val="000000"/>
                <w:sz w:val="18"/>
                <w:szCs w:val="18"/>
                <w:lang w:eastAsia="es-GT"/>
              </w:rPr>
              <w:t>7,258.9</w:t>
            </w:r>
          </w:p>
        </w:tc>
        <w:tc>
          <w:tcPr>
            <w:tcW w:w="992" w:type="dxa"/>
            <w:tcBorders>
              <w:top w:val="nil"/>
              <w:left w:val="nil"/>
              <w:bottom w:val="nil"/>
              <w:right w:val="single" w:sz="8" w:space="0" w:color="auto"/>
            </w:tcBorders>
            <w:shd w:val="clear" w:color="auto" w:fill="auto"/>
            <w:noWrap/>
            <w:vAlign w:val="center"/>
            <w:hideMark/>
          </w:tcPr>
          <w:p w14:paraId="52103FFA" w14:textId="77777777" w:rsidR="00B545DE" w:rsidRPr="00D04BF9" w:rsidRDefault="00B545DE" w:rsidP="00B545DE">
            <w:pPr>
              <w:jc w:val="center"/>
              <w:rPr>
                <w:color w:val="000000"/>
                <w:sz w:val="18"/>
                <w:szCs w:val="18"/>
                <w:lang w:eastAsia="es-GT"/>
              </w:rPr>
            </w:pPr>
            <w:r w:rsidRPr="0006756C">
              <w:rPr>
                <w:color w:val="000000"/>
                <w:sz w:val="18"/>
                <w:szCs w:val="18"/>
                <w:lang w:eastAsia="es-GT"/>
              </w:rPr>
              <w:t>55.1%</w:t>
            </w:r>
          </w:p>
        </w:tc>
      </w:tr>
      <w:tr w:rsidR="00B545DE" w:rsidRPr="00D04BF9" w14:paraId="4F55D585"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643DF8CC" w14:textId="19D4B59D"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Ingresos de </w:t>
            </w:r>
            <w:r w:rsidR="007555FF">
              <w:rPr>
                <w:color w:val="000000"/>
                <w:sz w:val="20"/>
                <w:szCs w:val="20"/>
                <w:lang w:eastAsia="es-GT"/>
              </w:rPr>
              <w:t>O</w:t>
            </w:r>
            <w:r w:rsidRPr="00D04BF9">
              <w:rPr>
                <w:color w:val="000000"/>
                <w:sz w:val="20"/>
                <w:szCs w:val="20"/>
                <w:lang w:eastAsia="es-GT"/>
              </w:rPr>
              <w:t>peración</w:t>
            </w:r>
          </w:p>
        </w:tc>
        <w:tc>
          <w:tcPr>
            <w:tcW w:w="1418" w:type="dxa"/>
            <w:tcBorders>
              <w:top w:val="nil"/>
              <w:left w:val="single" w:sz="8" w:space="0" w:color="auto"/>
              <w:bottom w:val="nil"/>
              <w:right w:val="nil"/>
            </w:tcBorders>
            <w:shd w:val="clear" w:color="auto" w:fill="auto"/>
            <w:noWrap/>
            <w:vAlign w:val="center"/>
            <w:hideMark/>
          </w:tcPr>
          <w:p w14:paraId="387E8346" w14:textId="77777777" w:rsidR="00B545DE" w:rsidRPr="00D04BF9" w:rsidRDefault="00B545DE" w:rsidP="00B545DE">
            <w:pPr>
              <w:jc w:val="right"/>
              <w:rPr>
                <w:color w:val="000000"/>
                <w:sz w:val="18"/>
                <w:szCs w:val="18"/>
                <w:lang w:eastAsia="es-GT"/>
              </w:rPr>
            </w:pPr>
            <w:r w:rsidRPr="0006756C">
              <w:rPr>
                <w:color w:val="000000"/>
                <w:sz w:val="18"/>
                <w:szCs w:val="18"/>
                <w:lang w:eastAsia="es-GT"/>
              </w:rPr>
              <w:t>4.1</w:t>
            </w:r>
          </w:p>
        </w:tc>
        <w:tc>
          <w:tcPr>
            <w:tcW w:w="1417" w:type="dxa"/>
            <w:tcBorders>
              <w:top w:val="nil"/>
              <w:left w:val="nil"/>
              <w:bottom w:val="nil"/>
              <w:right w:val="nil"/>
            </w:tcBorders>
            <w:shd w:val="clear" w:color="auto" w:fill="auto"/>
            <w:noWrap/>
            <w:vAlign w:val="center"/>
            <w:hideMark/>
          </w:tcPr>
          <w:p w14:paraId="687EF41C" w14:textId="77777777" w:rsidR="00B545DE" w:rsidRPr="00D04BF9" w:rsidRDefault="00B545DE" w:rsidP="00B545DE">
            <w:pPr>
              <w:jc w:val="right"/>
              <w:rPr>
                <w:color w:val="000000"/>
                <w:sz w:val="18"/>
                <w:szCs w:val="18"/>
                <w:lang w:eastAsia="es-GT"/>
              </w:rPr>
            </w:pPr>
            <w:r w:rsidRPr="0006756C">
              <w:rPr>
                <w:color w:val="000000"/>
                <w:sz w:val="18"/>
                <w:szCs w:val="18"/>
                <w:lang w:eastAsia="es-GT"/>
              </w:rPr>
              <w:t>1.9</w:t>
            </w:r>
          </w:p>
        </w:tc>
        <w:tc>
          <w:tcPr>
            <w:tcW w:w="992" w:type="dxa"/>
            <w:tcBorders>
              <w:top w:val="nil"/>
              <w:left w:val="nil"/>
              <w:bottom w:val="nil"/>
              <w:right w:val="single" w:sz="8" w:space="0" w:color="auto"/>
            </w:tcBorders>
            <w:shd w:val="clear" w:color="auto" w:fill="auto"/>
            <w:noWrap/>
            <w:vAlign w:val="center"/>
            <w:hideMark/>
          </w:tcPr>
          <w:p w14:paraId="6967D4A6" w14:textId="77777777" w:rsidR="00B545DE" w:rsidRPr="00D04BF9" w:rsidRDefault="00B545DE" w:rsidP="00B545DE">
            <w:pPr>
              <w:jc w:val="center"/>
              <w:rPr>
                <w:color w:val="000000"/>
                <w:sz w:val="18"/>
                <w:szCs w:val="18"/>
                <w:lang w:eastAsia="es-GT"/>
              </w:rPr>
            </w:pPr>
            <w:r w:rsidRPr="0006756C">
              <w:rPr>
                <w:color w:val="000000"/>
                <w:sz w:val="18"/>
                <w:szCs w:val="18"/>
                <w:lang w:eastAsia="es-GT"/>
              </w:rPr>
              <w:t>45.2%</w:t>
            </w:r>
          </w:p>
        </w:tc>
      </w:tr>
      <w:tr w:rsidR="00B545DE" w:rsidRPr="00D04BF9" w14:paraId="2627B412"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2AED3AC4" w14:textId="34189E4F"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Ingresos no </w:t>
            </w:r>
            <w:r w:rsidR="007555FF">
              <w:rPr>
                <w:color w:val="000000"/>
                <w:sz w:val="20"/>
                <w:szCs w:val="20"/>
                <w:lang w:eastAsia="es-GT"/>
              </w:rPr>
              <w:t>T</w:t>
            </w:r>
            <w:r w:rsidRPr="00D04BF9">
              <w:rPr>
                <w:color w:val="000000"/>
                <w:sz w:val="20"/>
                <w:szCs w:val="20"/>
                <w:lang w:eastAsia="es-GT"/>
              </w:rPr>
              <w:t>ributarios</w:t>
            </w:r>
          </w:p>
        </w:tc>
        <w:tc>
          <w:tcPr>
            <w:tcW w:w="1418" w:type="dxa"/>
            <w:tcBorders>
              <w:top w:val="nil"/>
              <w:left w:val="single" w:sz="8" w:space="0" w:color="auto"/>
              <w:bottom w:val="nil"/>
              <w:right w:val="nil"/>
            </w:tcBorders>
            <w:shd w:val="clear" w:color="auto" w:fill="auto"/>
            <w:noWrap/>
            <w:vAlign w:val="center"/>
            <w:hideMark/>
          </w:tcPr>
          <w:p w14:paraId="69F436CF" w14:textId="77777777" w:rsidR="00B545DE" w:rsidRPr="00D04BF9" w:rsidRDefault="00B545DE" w:rsidP="00B545DE">
            <w:pPr>
              <w:jc w:val="right"/>
              <w:rPr>
                <w:color w:val="000000"/>
                <w:sz w:val="18"/>
                <w:szCs w:val="18"/>
                <w:lang w:eastAsia="es-GT"/>
              </w:rPr>
            </w:pPr>
            <w:r w:rsidRPr="0006756C">
              <w:rPr>
                <w:color w:val="000000"/>
                <w:sz w:val="18"/>
                <w:szCs w:val="18"/>
                <w:lang w:eastAsia="es-GT"/>
              </w:rPr>
              <w:t>2,276.3</w:t>
            </w:r>
          </w:p>
        </w:tc>
        <w:tc>
          <w:tcPr>
            <w:tcW w:w="1417" w:type="dxa"/>
            <w:tcBorders>
              <w:top w:val="nil"/>
              <w:left w:val="nil"/>
              <w:bottom w:val="nil"/>
              <w:right w:val="nil"/>
            </w:tcBorders>
            <w:shd w:val="clear" w:color="auto" w:fill="auto"/>
            <w:noWrap/>
            <w:vAlign w:val="center"/>
            <w:hideMark/>
          </w:tcPr>
          <w:p w14:paraId="58E79996" w14:textId="77777777" w:rsidR="00B545DE" w:rsidRPr="00D04BF9" w:rsidRDefault="00B545DE" w:rsidP="00B545DE">
            <w:pPr>
              <w:jc w:val="right"/>
              <w:rPr>
                <w:color w:val="000000"/>
                <w:sz w:val="18"/>
                <w:szCs w:val="18"/>
                <w:lang w:eastAsia="es-GT"/>
              </w:rPr>
            </w:pPr>
            <w:r w:rsidRPr="0006756C">
              <w:rPr>
                <w:color w:val="000000"/>
                <w:sz w:val="18"/>
                <w:szCs w:val="18"/>
                <w:lang w:eastAsia="es-GT"/>
              </w:rPr>
              <w:t>1,318.3</w:t>
            </w:r>
          </w:p>
        </w:tc>
        <w:tc>
          <w:tcPr>
            <w:tcW w:w="992" w:type="dxa"/>
            <w:tcBorders>
              <w:top w:val="nil"/>
              <w:left w:val="nil"/>
              <w:bottom w:val="nil"/>
              <w:right w:val="single" w:sz="8" w:space="0" w:color="auto"/>
            </w:tcBorders>
            <w:shd w:val="clear" w:color="auto" w:fill="auto"/>
            <w:noWrap/>
            <w:vAlign w:val="center"/>
            <w:hideMark/>
          </w:tcPr>
          <w:p w14:paraId="47FBE908" w14:textId="77777777" w:rsidR="00B545DE" w:rsidRPr="00D04BF9" w:rsidRDefault="00B545DE" w:rsidP="00B545DE">
            <w:pPr>
              <w:jc w:val="center"/>
              <w:rPr>
                <w:color w:val="000000"/>
                <w:sz w:val="18"/>
                <w:szCs w:val="18"/>
                <w:lang w:eastAsia="es-GT"/>
              </w:rPr>
            </w:pPr>
            <w:r w:rsidRPr="0006756C">
              <w:rPr>
                <w:color w:val="000000"/>
                <w:sz w:val="18"/>
                <w:szCs w:val="18"/>
                <w:lang w:eastAsia="es-GT"/>
              </w:rPr>
              <w:t>57.9%</w:t>
            </w:r>
          </w:p>
        </w:tc>
      </w:tr>
      <w:tr w:rsidR="00B545DE" w:rsidRPr="00D04BF9" w14:paraId="69D7E113"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5C33DA0C" w14:textId="12DD41B0"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Ingresos </w:t>
            </w:r>
            <w:r w:rsidR="007555FF">
              <w:rPr>
                <w:color w:val="000000"/>
                <w:sz w:val="20"/>
                <w:szCs w:val="20"/>
                <w:lang w:eastAsia="es-GT"/>
              </w:rPr>
              <w:t>T</w:t>
            </w:r>
            <w:r w:rsidRPr="00D04BF9">
              <w:rPr>
                <w:color w:val="000000"/>
                <w:sz w:val="20"/>
                <w:szCs w:val="20"/>
                <w:lang w:eastAsia="es-GT"/>
              </w:rPr>
              <w:t>ributarios</w:t>
            </w:r>
          </w:p>
        </w:tc>
        <w:tc>
          <w:tcPr>
            <w:tcW w:w="1418" w:type="dxa"/>
            <w:tcBorders>
              <w:top w:val="nil"/>
              <w:left w:val="single" w:sz="8" w:space="0" w:color="auto"/>
              <w:bottom w:val="nil"/>
              <w:right w:val="nil"/>
            </w:tcBorders>
            <w:shd w:val="clear" w:color="auto" w:fill="auto"/>
            <w:noWrap/>
            <w:vAlign w:val="center"/>
            <w:hideMark/>
          </w:tcPr>
          <w:p w14:paraId="4C40F173" w14:textId="77777777" w:rsidR="00B545DE" w:rsidRPr="00D04BF9" w:rsidRDefault="00B545DE" w:rsidP="00B545DE">
            <w:pPr>
              <w:jc w:val="right"/>
              <w:rPr>
                <w:color w:val="000000"/>
                <w:sz w:val="18"/>
                <w:szCs w:val="18"/>
                <w:lang w:eastAsia="es-GT"/>
              </w:rPr>
            </w:pPr>
            <w:r w:rsidRPr="0006756C">
              <w:rPr>
                <w:color w:val="000000"/>
                <w:sz w:val="18"/>
                <w:szCs w:val="18"/>
                <w:lang w:eastAsia="es-GT"/>
              </w:rPr>
              <w:t>131.8</w:t>
            </w:r>
          </w:p>
        </w:tc>
        <w:tc>
          <w:tcPr>
            <w:tcW w:w="1417" w:type="dxa"/>
            <w:tcBorders>
              <w:top w:val="nil"/>
              <w:left w:val="nil"/>
              <w:bottom w:val="nil"/>
              <w:right w:val="nil"/>
            </w:tcBorders>
            <w:shd w:val="clear" w:color="auto" w:fill="auto"/>
            <w:noWrap/>
            <w:vAlign w:val="center"/>
            <w:hideMark/>
          </w:tcPr>
          <w:p w14:paraId="727BA29D" w14:textId="77777777" w:rsidR="00B545DE" w:rsidRPr="00D04BF9" w:rsidRDefault="00B545DE" w:rsidP="00B545DE">
            <w:pPr>
              <w:jc w:val="right"/>
              <w:rPr>
                <w:color w:val="000000"/>
                <w:sz w:val="18"/>
                <w:szCs w:val="18"/>
                <w:lang w:eastAsia="es-GT"/>
              </w:rPr>
            </w:pPr>
            <w:r w:rsidRPr="0006756C">
              <w:rPr>
                <w:color w:val="000000"/>
                <w:sz w:val="18"/>
                <w:szCs w:val="18"/>
                <w:lang w:eastAsia="es-GT"/>
              </w:rPr>
              <w:t>95.8</w:t>
            </w:r>
          </w:p>
        </w:tc>
        <w:tc>
          <w:tcPr>
            <w:tcW w:w="992" w:type="dxa"/>
            <w:tcBorders>
              <w:top w:val="nil"/>
              <w:left w:val="nil"/>
              <w:bottom w:val="nil"/>
              <w:right w:val="single" w:sz="8" w:space="0" w:color="auto"/>
            </w:tcBorders>
            <w:shd w:val="clear" w:color="auto" w:fill="auto"/>
            <w:noWrap/>
            <w:vAlign w:val="center"/>
            <w:hideMark/>
          </w:tcPr>
          <w:p w14:paraId="0C1A5913" w14:textId="77777777" w:rsidR="00B545DE" w:rsidRPr="00D04BF9" w:rsidRDefault="00B545DE" w:rsidP="00B545DE">
            <w:pPr>
              <w:jc w:val="center"/>
              <w:rPr>
                <w:color w:val="000000"/>
                <w:sz w:val="18"/>
                <w:szCs w:val="18"/>
                <w:lang w:eastAsia="es-GT"/>
              </w:rPr>
            </w:pPr>
            <w:r w:rsidRPr="0006756C">
              <w:rPr>
                <w:color w:val="000000"/>
                <w:sz w:val="18"/>
                <w:szCs w:val="18"/>
                <w:lang w:eastAsia="es-GT"/>
              </w:rPr>
              <w:t>72.7%</w:t>
            </w:r>
          </w:p>
        </w:tc>
      </w:tr>
      <w:tr w:rsidR="00B545DE" w:rsidRPr="00D04BF9" w14:paraId="130FCC2F"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19E2986E" w14:textId="6E0C1636"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Renta de la </w:t>
            </w:r>
            <w:r w:rsidR="007555FF">
              <w:rPr>
                <w:color w:val="000000"/>
                <w:sz w:val="20"/>
                <w:szCs w:val="20"/>
                <w:lang w:eastAsia="es-GT"/>
              </w:rPr>
              <w:t>P</w:t>
            </w:r>
            <w:r w:rsidRPr="00D04BF9">
              <w:rPr>
                <w:color w:val="000000"/>
                <w:sz w:val="20"/>
                <w:szCs w:val="20"/>
                <w:lang w:eastAsia="es-GT"/>
              </w:rPr>
              <w:t>ropiedad</w:t>
            </w:r>
          </w:p>
        </w:tc>
        <w:tc>
          <w:tcPr>
            <w:tcW w:w="1418" w:type="dxa"/>
            <w:tcBorders>
              <w:top w:val="nil"/>
              <w:left w:val="single" w:sz="8" w:space="0" w:color="auto"/>
              <w:bottom w:val="nil"/>
              <w:right w:val="nil"/>
            </w:tcBorders>
            <w:shd w:val="clear" w:color="auto" w:fill="auto"/>
            <w:noWrap/>
            <w:vAlign w:val="center"/>
            <w:hideMark/>
          </w:tcPr>
          <w:p w14:paraId="24FE7779" w14:textId="77777777" w:rsidR="00B545DE" w:rsidRPr="00D04BF9" w:rsidRDefault="00B545DE" w:rsidP="00B545DE">
            <w:pPr>
              <w:jc w:val="right"/>
              <w:rPr>
                <w:color w:val="000000"/>
                <w:sz w:val="18"/>
                <w:szCs w:val="18"/>
                <w:lang w:eastAsia="es-GT"/>
              </w:rPr>
            </w:pPr>
            <w:r w:rsidRPr="0006756C">
              <w:rPr>
                <w:color w:val="000000"/>
                <w:sz w:val="18"/>
                <w:szCs w:val="18"/>
                <w:lang w:eastAsia="es-GT"/>
              </w:rPr>
              <w:t>3,406.8</w:t>
            </w:r>
          </w:p>
        </w:tc>
        <w:tc>
          <w:tcPr>
            <w:tcW w:w="1417" w:type="dxa"/>
            <w:tcBorders>
              <w:top w:val="nil"/>
              <w:left w:val="nil"/>
              <w:bottom w:val="nil"/>
              <w:right w:val="nil"/>
            </w:tcBorders>
            <w:shd w:val="clear" w:color="auto" w:fill="auto"/>
            <w:noWrap/>
            <w:vAlign w:val="center"/>
            <w:hideMark/>
          </w:tcPr>
          <w:p w14:paraId="513A29AF" w14:textId="77777777" w:rsidR="00B545DE" w:rsidRPr="00D04BF9" w:rsidRDefault="00B545DE" w:rsidP="00B545DE">
            <w:pPr>
              <w:jc w:val="right"/>
              <w:rPr>
                <w:color w:val="000000"/>
                <w:sz w:val="18"/>
                <w:szCs w:val="18"/>
                <w:lang w:eastAsia="es-GT"/>
              </w:rPr>
            </w:pPr>
            <w:r w:rsidRPr="0006756C">
              <w:rPr>
                <w:color w:val="000000"/>
                <w:sz w:val="18"/>
                <w:szCs w:val="18"/>
                <w:lang w:eastAsia="es-GT"/>
              </w:rPr>
              <w:t>1,687.0</w:t>
            </w:r>
          </w:p>
        </w:tc>
        <w:tc>
          <w:tcPr>
            <w:tcW w:w="992" w:type="dxa"/>
            <w:tcBorders>
              <w:top w:val="nil"/>
              <w:left w:val="nil"/>
              <w:bottom w:val="nil"/>
              <w:right w:val="single" w:sz="8" w:space="0" w:color="auto"/>
            </w:tcBorders>
            <w:shd w:val="clear" w:color="auto" w:fill="auto"/>
            <w:noWrap/>
            <w:vAlign w:val="center"/>
            <w:hideMark/>
          </w:tcPr>
          <w:p w14:paraId="3F5DF86A" w14:textId="77777777" w:rsidR="00B545DE" w:rsidRPr="00D04BF9" w:rsidRDefault="00B545DE" w:rsidP="00B545DE">
            <w:pPr>
              <w:jc w:val="center"/>
              <w:rPr>
                <w:color w:val="000000"/>
                <w:sz w:val="18"/>
                <w:szCs w:val="18"/>
                <w:lang w:eastAsia="es-GT"/>
              </w:rPr>
            </w:pPr>
            <w:r w:rsidRPr="0006756C">
              <w:rPr>
                <w:color w:val="000000"/>
                <w:sz w:val="18"/>
                <w:szCs w:val="18"/>
                <w:lang w:eastAsia="es-GT"/>
              </w:rPr>
              <w:t>49.5%</w:t>
            </w:r>
          </w:p>
        </w:tc>
      </w:tr>
      <w:tr w:rsidR="00B545DE" w:rsidRPr="00D04BF9" w14:paraId="3CE86A99"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6018DA19" w14:textId="4D7453A5"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Transferencias </w:t>
            </w:r>
            <w:r w:rsidR="007555FF">
              <w:rPr>
                <w:color w:val="000000"/>
                <w:sz w:val="20"/>
                <w:szCs w:val="20"/>
                <w:lang w:eastAsia="es-GT"/>
              </w:rPr>
              <w:t>C</w:t>
            </w:r>
            <w:r w:rsidRPr="00D04BF9">
              <w:rPr>
                <w:color w:val="000000"/>
                <w:sz w:val="20"/>
                <w:szCs w:val="20"/>
                <w:lang w:eastAsia="es-GT"/>
              </w:rPr>
              <w:t>orrientes</w:t>
            </w:r>
          </w:p>
        </w:tc>
        <w:tc>
          <w:tcPr>
            <w:tcW w:w="1418" w:type="dxa"/>
            <w:tcBorders>
              <w:top w:val="nil"/>
              <w:left w:val="single" w:sz="8" w:space="0" w:color="auto"/>
              <w:bottom w:val="nil"/>
              <w:right w:val="nil"/>
            </w:tcBorders>
            <w:shd w:val="clear" w:color="auto" w:fill="auto"/>
            <w:noWrap/>
            <w:vAlign w:val="center"/>
            <w:hideMark/>
          </w:tcPr>
          <w:p w14:paraId="3473E5AC" w14:textId="77777777" w:rsidR="00B545DE" w:rsidRPr="00D04BF9" w:rsidRDefault="00B545DE" w:rsidP="00B545DE">
            <w:pPr>
              <w:jc w:val="right"/>
              <w:rPr>
                <w:color w:val="000000"/>
                <w:sz w:val="18"/>
                <w:szCs w:val="18"/>
                <w:lang w:eastAsia="es-GT"/>
              </w:rPr>
            </w:pPr>
            <w:r w:rsidRPr="0006756C">
              <w:rPr>
                <w:color w:val="000000"/>
                <w:sz w:val="18"/>
                <w:szCs w:val="18"/>
                <w:lang w:eastAsia="es-GT"/>
              </w:rPr>
              <w:t>13,686.7</w:t>
            </w:r>
          </w:p>
        </w:tc>
        <w:tc>
          <w:tcPr>
            <w:tcW w:w="1417" w:type="dxa"/>
            <w:tcBorders>
              <w:top w:val="nil"/>
              <w:left w:val="nil"/>
              <w:bottom w:val="nil"/>
              <w:right w:val="nil"/>
            </w:tcBorders>
            <w:shd w:val="clear" w:color="auto" w:fill="auto"/>
            <w:noWrap/>
            <w:vAlign w:val="center"/>
            <w:hideMark/>
          </w:tcPr>
          <w:p w14:paraId="5D3EC33C" w14:textId="77777777" w:rsidR="00B545DE" w:rsidRPr="00D04BF9" w:rsidRDefault="00B545DE" w:rsidP="00B545DE">
            <w:pPr>
              <w:jc w:val="right"/>
              <w:rPr>
                <w:color w:val="000000"/>
                <w:sz w:val="18"/>
                <w:szCs w:val="18"/>
                <w:lang w:eastAsia="es-GT"/>
              </w:rPr>
            </w:pPr>
            <w:r w:rsidRPr="0006756C">
              <w:rPr>
                <w:color w:val="000000"/>
                <w:sz w:val="18"/>
                <w:szCs w:val="18"/>
                <w:lang w:eastAsia="es-GT"/>
              </w:rPr>
              <w:t>5,970.3</w:t>
            </w:r>
          </w:p>
        </w:tc>
        <w:tc>
          <w:tcPr>
            <w:tcW w:w="992" w:type="dxa"/>
            <w:tcBorders>
              <w:top w:val="nil"/>
              <w:left w:val="nil"/>
              <w:bottom w:val="nil"/>
              <w:right w:val="single" w:sz="8" w:space="0" w:color="auto"/>
            </w:tcBorders>
            <w:shd w:val="clear" w:color="auto" w:fill="auto"/>
            <w:noWrap/>
            <w:vAlign w:val="center"/>
            <w:hideMark/>
          </w:tcPr>
          <w:p w14:paraId="4BD4C723" w14:textId="77777777" w:rsidR="00B545DE" w:rsidRPr="00D04BF9" w:rsidRDefault="00B545DE" w:rsidP="00B545DE">
            <w:pPr>
              <w:jc w:val="center"/>
              <w:rPr>
                <w:color w:val="000000"/>
                <w:sz w:val="18"/>
                <w:szCs w:val="18"/>
                <w:lang w:eastAsia="es-GT"/>
              </w:rPr>
            </w:pPr>
            <w:r w:rsidRPr="0006756C">
              <w:rPr>
                <w:color w:val="000000"/>
                <w:sz w:val="18"/>
                <w:szCs w:val="18"/>
                <w:lang w:eastAsia="es-GT"/>
              </w:rPr>
              <w:t>43.6%</w:t>
            </w:r>
          </w:p>
        </w:tc>
      </w:tr>
      <w:tr w:rsidR="00B545DE" w:rsidRPr="00D04BF9" w14:paraId="37ACF8AC"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3B4E441A" w14:textId="4E930B04"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Venta de </w:t>
            </w:r>
            <w:r w:rsidR="007555FF">
              <w:rPr>
                <w:color w:val="000000"/>
                <w:sz w:val="20"/>
                <w:szCs w:val="20"/>
                <w:lang w:eastAsia="es-GT"/>
              </w:rPr>
              <w:t>B</w:t>
            </w:r>
            <w:r w:rsidRPr="00D04BF9">
              <w:rPr>
                <w:color w:val="000000"/>
                <w:sz w:val="20"/>
                <w:szCs w:val="20"/>
                <w:lang w:eastAsia="es-GT"/>
              </w:rPr>
              <w:t xml:space="preserve">ienes y </w:t>
            </w:r>
            <w:r w:rsidR="007555FF">
              <w:rPr>
                <w:color w:val="000000"/>
                <w:sz w:val="20"/>
                <w:szCs w:val="20"/>
                <w:lang w:eastAsia="es-GT"/>
              </w:rPr>
              <w:t>S</w:t>
            </w:r>
            <w:r w:rsidRPr="00D04BF9">
              <w:rPr>
                <w:color w:val="000000"/>
                <w:sz w:val="20"/>
                <w:szCs w:val="20"/>
                <w:lang w:eastAsia="es-GT"/>
              </w:rPr>
              <w:t xml:space="preserve">ervicios de la </w:t>
            </w:r>
            <w:r w:rsidR="007555FF">
              <w:rPr>
                <w:color w:val="000000"/>
                <w:sz w:val="20"/>
                <w:szCs w:val="20"/>
                <w:lang w:eastAsia="es-GT"/>
              </w:rPr>
              <w:t>A</w:t>
            </w:r>
            <w:r w:rsidRPr="00D04BF9">
              <w:rPr>
                <w:color w:val="000000"/>
                <w:sz w:val="20"/>
                <w:szCs w:val="20"/>
                <w:lang w:eastAsia="es-GT"/>
              </w:rPr>
              <w:t xml:space="preserve">dministración </w:t>
            </w:r>
            <w:r w:rsidR="007555FF">
              <w:rPr>
                <w:color w:val="000000"/>
                <w:sz w:val="20"/>
                <w:szCs w:val="20"/>
                <w:lang w:eastAsia="es-GT"/>
              </w:rPr>
              <w:t>P</w:t>
            </w:r>
            <w:r w:rsidRPr="00D04BF9">
              <w:rPr>
                <w:color w:val="000000"/>
                <w:sz w:val="20"/>
                <w:szCs w:val="20"/>
                <w:lang w:eastAsia="es-GT"/>
              </w:rPr>
              <w:t>ública</w:t>
            </w:r>
          </w:p>
        </w:tc>
        <w:tc>
          <w:tcPr>
            <w:tcW w:w="1418" w:type="dxa"/>
            <w:tcBorders>
              <w:top w:val="nil"/>
              <w:left w:val="single" w:sz="8" w:space="0" w:color="auto"/>
              <w:bottom w:val="nil"/>
              <w:right w:val="nil"/>
            </w:tcBorders>
            <w:shd w:val="clear" w:color="auto" w:fill="auto"/>
            <w:noWrap/>
            <w:vAlign w:val="center"/>
            <w:hideMark/>
          </w:tcPr>
          <w:p w14:paraId="44976F17" w14:textId="77777777" w:rsidR="00B545DE" w:rsidRPr="00D04BF9" w:rsidRDefault="00B545DE" w:rsidP="00B545DE">
            <w:pPr>
              <w:jc w:val="right"/>
              <w:rPr>
                <w:color w:val="000000"/>
                <w:sz w:val="18"/>
                <w:szCs w:val="18"/>
                <w:lang w:eastAsia="es-GT"/>
              </w:rPr>
            </w:pPr>
            <w:r w:rsidRPr="0006756C">
              <w:rPr>
                <w:color w:val="000000"/>
                <w:sz w:val="18"/>
                <w:szCs w:val="18"/>
                <w:lang w:eastAsia="es-GT"/>
              </w:rPr>
              <w:t>3,158.9</w:t>
            </w:r>
          </w:p>
        </w:tc>
        <w:tc>
          <w:tcPr>
            <w:tcW w:w="1417" w:type="dxa"/>
            <w:tcBorders>
              <w:top w:val="nil"/>
              <w:left w:val="nil"/>
              <w:bottom w:val="nil"/>
              <w:right w:val="nil"/>
            </w:tcBorders>
            <w:shd w:val="clear" w:color="auto" w:fill="auto"/>
            <w:noWrap/>
            <w:vAlign w:val="center"/>
            <w:hideMark/>
          </w:tcPr>
          <w:p w14:paraId="008D9070" w14:textId="77777777" w:rsidR="00B545DE" w:rsidRPr="00D04BF9" w:rsidRDefault="00B545DE" w:rsidP="00B545DE">
            <w:pPr>
              <w:jc w:val="right"/>
              <w:rPr>
                <w:color w:val="000000"/>
                <w:sz w:val="18"/>
                <w:szCs w:val="18"/>
                <w:lang w:eastAsia="es-GT"/>
              </w:rPr>
            </w:pPr>
            <w:r w:rsidRPr="0006756C">
              <w:rPr>
                <w:color w:val="000000"/>
                <w:sz w:val="18"/>
                <w:szCs w:val="18"/>
                <w:lang w:eastAsia="es-GT"/>
              </w:rPr>
              <w:t>1,687.4</w:t>
            </w:r>
          </w:p>
        </w:tc>
        <w:tc>
          <w:tcPr>
            <w:tcW w:w="992" w:type="dxa"/>
            <w:tcBorders>
              <w:top w:val="nil"/>
              <w:left w:val="nil"/>
              <w:bottom w:val="nil"/>
              <w:right w:val="single" w:sz="8" w:space="0" w:color="auto"/>
            </w:tcBorders>
            <w:shd w:val="clear" w:color="auto" w:fill="auto"/>
            <w:noWrap/>
            <w:vAlign w:val="center"/>
            <w:hideMark/>
          </w:tcPr>
          <w:p w14:paraId="51EACC50" w14:textId="77777777" w:rsidR="00B545DE" w:rsidRPr="00D04BF9" w:rsidRDefault="00B545DE" w:rsidP="00B545DE">
            <w:pPr>
              <w:jc w:val="center"/>
              <w:rPr>
                <w:color w:val="000000"/>
                <w:sz w:val="18"/>
                <w:szCs w:val="18"/>
                <w:lang w:eastAsia="es-GT"/>
              </w:rPr>
            </w:pPr>
            <w:r w:rsidRPr="0006756C">
              <w:rPr>
                <w:color w:val="000000"/>
                <w:sz w:val="18"/>
                <w:szCs w:val="18"/>
                <w:lang w:eastAsia="es-GT"/>
              </w:rPr>
              <w:t>53.4%</w:t>
            </w:r>
          </w:p>
        </w:tc>
      </w:tr>
      <w:tr w:rsidR="00B545DE" w:rsidRPr="00D04BF9" w14:paraId="6B31C868"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01CCBB1A" w14:textId="6365FB81" w:rsidR="00B545DE" w:rsidRPr="00D04BF9" w:rsidRDefault="00B545DE" w:rsidP="00B545DE">
            <w:pPr>
              <w:ind w:firstLineChars="100" w:firstLine="201"/>
              <w:rPr>
                <w:b/>
                <w:bCs/>
                <w:color w:val="000000"/>
                <w:sz w:val="20"/>
                <w:szCs w:val="20"/>
                <w:lang w:eastAsia="es-GT"/>
              </w:rPr>
            </w:pPr>
            <w:r w:rsidRPr="00D04BF9">
              <w:rPr>
                <w:b/>
                <w:bCs/>
                <w:color w:val="000000"/>
                <w:sz w:val="20"/>
                <w:szCs w:val="20"/>
                <w:lang w:eastAsia="es-GT"/>
              </w:rPr>
              <w:t xml:space="preserve">Recursos de </w:t>
            </w:r>
            <w:r w:rsidR="007555FF">
              <w:rPr>
                <w:b/>
                <w:bCs/>
                <w:color w:val="000000"/>
                <w:sz w:val="20"/>
                <w:szCs w:val="20"/>
                <w:lang w:eastAsia="es-GT"/>
              </w:rPr>
              <w:t>C</w:t>
            </w:r>
            <w:r w:rsidRPr="00D04BF9">
              <w:rPr>
                <w:b/>
                <w:bCs/>
                <w:color w:val="000000"/>
                <w:sz w:val="20"/>
                <w:szCs w:val="20"/>
                <w:lang w:eastAsia="es-GT"/>
              </w:rPr>
              <w:t>apital</w:t>
            </w:r>
          </w:p>
        </w:tc>
        <w:tc>
          <w:tcPr>
            <w:tcW w:w="1418" w:type="dxa"/>
            <w:tcBorders>
              <w:top w:val="nil"/>
              <w:left w:val="single" w:sz="8" w:space="0" w:color="auto"/>
              <w:bottom w:val="nil"/>
              <w:right w:val="nil"/>
            </w:tcBorders>
            <w:shd w:val="clear" w:color="auto" w:fill="auto"/>
            <w:noWrap/>
            <w:vAlign w:val="center"/>
            <w:hideMark/>
          </w:tcPr>
          <w:p w14:paraId="2632750B"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966.0</w:t>
            </w:r>
          </w:p>
        </w:tc>
        <w:tc>
          <w:tcPr>
            <w:tcW w:w="1417" w:type="dxa"/>
            <w:tcBorders>
              <w:top w:val="nil"/>
              <w:left w:val="nil"/>
              <w:bottom w:val="nil"/>
              <w:right w:val="nil"/>
            </w:tcBorders>
            <w:shd w:val="clear" w:color="auto" w:fill="auto"/>
            <w:noWrap/>
            <w:vAlign w:val="center"/>
            <w:hideMark/>
          </w:tcPr>
          <w:p w14:paraId="78C0DAFF"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178.3</w:t>
            </w:r>
          </w:p>
        </w:tc>
        <w:tc>
          <w:tcPr>
            <w:tcW w:w="992" w:type="dxa"/>
            <w:tcBorders>
              <w:top w:val="nil"/>
              <w:left w:val="nil"/>
              <w:bottom w:val="nil"/>
              <w:right w:val="single" w:sz="8" w:space="0" w:color="auto"/>
            </w:tcBorders>
            <w:shd w:val="clear" w:color="auto" w:fill="auto"/>
            <w:noWrap/>
            <w:vAlign w:val="center"/>
            <w:hideMark/>
          </w:tcPr>
          <w:p w14:paraId="199E5BBB"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18.5%</w:t>
            </w:r>
          </w:p>
        </w:tc>
      </w:tr>
      <w:tr w:rsidR="00B545DE" w:rsidRPr="00D04BF9" w14:paraId="7EDCA4A7"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6FE235D0" w14:textId="6C5C3EB6"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Disminución de la </w:t>
            </w:r>
            <w:r w:rsidR="007555FF">
              <w:rPr>
                <w:color w:val="000000"/>
                <w:sz w:val="20"/>
                <w:szCs w:val="20"/>
                <w:lang w:eastAsia="es-GT"/>
              </w:rPr>
              <w:t>I</w:t>
            </w:r>
            <w:r w:rsidRPr="00D04BF9">
              <w:rPr>
                <w:color w:val="000000"/>
                <w:sz w:val="20"/>
                <w:szCs w:val="20"/>
                <w:lang w:eastAsia="es-GT"/>
              </w:rPr>
              <w:t xml:space="preserve">nversión </w:t>
            </w:r>
            <w:r w:rsidR="007555FF">
              <w:rPr>
                <w:color w:val="000000"/>
                <w:sz w:val="20"/>
                <w:szCs w:val="20"/>
                <w:lang w:eastAsia="es-GT"/>
              </w:rPr>
              <w:t>F</w:t>
            </w:r>
            <w:r w:rsidRPr="00D04BF9">
              <w:rPr>
                <w:color w:val="000000"/>
                <w:sz w:val="20"/>
                <w:szCs w:val="20"/>
                <w:lang w:eastAsia="es-GT"/>
              </w:rPr>
              <w:t>inanciera</w:t>
            </w:r>
          </w:p>
        </w:tc>
        <w:tc>
          <w:tcPr>
            <w:tcW w:w="1418" w:type="dxa"/>
            <w:tcBorders>
              <w:top w:val="nil"/>
              <w:left w:val="single" w:sz="8" w:space="0" w:color="auto"/>
              <w:bottom w:val="nil"/>
              <w:right w:val="nil"/>
            </w:tcBorders>
            <w:shd w:val="clear" w:color="auto" w:fill="auto"/>
            <w:noWrap/>
            <w:vAlign w:val="center"/>
            <w:hideMark/>
          </w:tcPr>
          <w:p w14:paraId="54376C77" w14:textId="77777777" w:rsidR="00B545DE" w:rsidRPr="00D04BF9" w:rsidRDefault="00B545DE" w:rsidP="00B545DE">
            <w:pPr>
              <w:jc w:val="right"/>
              <w:rPr>
                <w:color w:val="000000"/>
                <w:sz w:val="18"/>
                <w:szCs w:val="18"/>
                <w:lang w:eastAsia="es-GT"/>
              </w:rPr>
            </w:pPr>
            <w:r w:rsidRPr="0006756C">
              <w:rPr>
                <w:color w:val="000000"/>
                <w:sz w:val="18"/>
                <w:szCs w:val="18"/>
                <w:lang w:eastAsia="es-GT"/>
              </w:rPr>
              <w:t>268.0</w:t>
            </w:r>
          </w:p>
        </w:tc>
        <w:tc>
          <w:tcPr>
            <w:tcW w:w="1417" w:type="dxa"/>
            <w:tcBorders>
              <w:top w:val="nil"/>
              <w:left w:val="nil"/>
              <w:bottom w:val="nil"/>
              <w:right w:val="nil"/>
            </w:tcBorders>
            <w:shd w:val="clear" w:color="auto" w:fill="auto"/>
            <w:noWrap/>
            <w:vAlign w:val="center"/>
            <w:hideMark/>
          </w:tcPr>
          <w:p w14:paraId="6D48ED77" w14:textId="77777777" w:rsidR="00B545DE" w:rsidRPr="00D04BF9" w:rsidRDefault="00B545DE" w:rsidP="00B545DE">
            <w:pPr>
              <w:jc w:val="right"/>
              <w:rPr>
                <w:color w:val="000000"/>
                <w:sz w:val="18"/>
                <w:szCs w:val="18"/>
                <w:lang w:eastAsia="es-GT"/>
              </w:rPr>
            </w:pPr>
            <w:r w:rsidRPr="0006756C">
              <w:rPr>
                <w:color w:val="000000"/>
                <w:sz w:val="18"/>
                <w:szCs w:val="18"/>
                <w:lang w:eastAsia="es-GT"/>
              </w:rPr>
              <w:t>121.1</w:t>
            </w:r>
          </w:p>
        </w:tc>
        <w:tc>
          <w:tcPr>
            <w:tcW w:w="992" w:type="dxa"/>
            <w:tcBorders>
              <w:top w:val="nil"/>
              <w:left w:val="nil"/>
              <w:bottom w:val="nil"/>
              <w:right w:val="single" w:sz="8" w:space="0" w:color="auto"/>
            </w:tcBorders>
            <w:shd w:val="clear" w:color="auto" w:fill="auto"/>
            <w:noWrap/>
            <w:vAlign w:val="center"/>
            <w:hideMark/>
          </w:tcPr>
          <w:p w14:paraId="21CADF13" w14:textId="77777777" w:rsidR="00B545DE" w:rsidRPr="00D04BF9" w:rsidRDefault="00B545DE" w:rsidP="00B545DE">
            <w:pPr>
              <w:jc w:val="center"/>
              <w:rPr>
                <w:color w:val="000000"/>
                <w:sz w:val="18"/>
                <w:szCs w:val="18"/>
                <w:lang w:eastAsia="es-GT"/>
              </w:rPr>
            </w:pPr>
            <w:r w:rsidRPr="0006756C">
              <w:rPr>
                <w:color w:val="000000"/>
                <w:sz w:val="18"/>
                <w:szCs w:val="18"/>
                <w:lang w:eastAsia="es-GT"/>
              </w:rPr>
              <w:t>45.2%</w:t>
            </w:r>
          </w:p>
        </w:tc>
      </w:tr>
      <w:tr w:rsidR="00B545DE" w:rsidRPr="00D04BF9" w14:paraId="241A1168"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71A5A92E" w14:textId="6373B5FB"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Transferencias de </w:t>
            </w:r>
            <w:r w:rsidR="007555FF">
              <w:rPr>
                <w:color w:val="000000"/>
                <w:sz w:val="20"/>
                <w:szCs w:val="20"/>
                <w:lang w:eastAsia="es-GT"/>
              </w:rPr>
              <w:t>C</w:t>
            </w:r>
            <w:r w:rsidRPr="00D04BF9">
              <w:rPr>
                <w:color w:val="000000"/>
                <w:sz w:val="20"/>
                <w:szCs w:val="20"/>
                <w:lang w:eastAsia="es-GT"/>
              </w:rPr>
              <w:t>apital</w:t>
            </w:r>
          </w:p>
        </w:tc>
        <w:tc>
          <w:tcPr>
            <w:tcW w:w="1418" w:type="dxa"/>
            <w:tcBorders>
              <w:top w:val="nil"/>
              <w:left w:val="single" w:sz="8" w:space="0" w:color="auto"/>
              <w:bottom w:val="nil"/>
              <w:right w:val="nil"/>
            </w:tcBorders>
            <w:shd w:val="clear" w:color="auto" w:fill="auto"/>
            <w:noWrap/>
            <w:vAlign w:val="center"/>
            <w:hideMark/>
          </w:tcPr>
          <w:p w14:paraId="7B583621" w14:textId="77777777" w:rsidR="00B545DE" w:rsidRPr="00D04BF9" w:rsidRDefault="00B545DE" w:rsidP="00B545DE">
            <w:pPr>
              <w:jc w:val="right"/>
              <w:rPr>
                <w:color w:val="000000"/>
                <w:sz w:val="18"/>
                <w:szCs w:val="18"/>
                <w:lang w:eastAsia="es-GT"/>
              </w:rPr>
            </w:pPr>
            <w:r w:rsidRPr="0006756C">
              <w:rPr>
                <w:color w:val="000000"/>
                <w:sz w:val="18"/>
                <w:szCs w:val="18"/>
                <w:lang w:eastAsia="es-GT"/>
              </w:rPr>
              <w:t>698.0</w:t>
            </w:r>
          </w:p>
        </w:tc>
        <w:tc>
          <w:tcPr>
            <w:tcW w:w="1417" w:type="dxa"/>
            <w:tcBorders>
              <w:top w:val="nil"/>
              <w:left w:val="nil"/>
              <w:bottom w:val="nil"/>
              <w:right w:val="nil"/>
            </w:tcBorders>
            <w:shd w:val="clear" w:color="auto" w:fill="auto"/>
            <w:noWrap/>
            <w:vAlign w:val="center"/>
            <w:hideMark/>
          </w:tcPr>
          <w:p w14:paraId="022189E7" w14:textId="77777777" w:rsidR="00B545DE" w:rsidRPr="00D04BF9" w:rsidRDefault="00B545DE" w:rsidP="00B545DE">
            <w:pPr>
              <w:jc w:val="right"/>
              <w:rPr>
                <w:color w:val="000000"/>
                <w:sz w:val="18"/>
                <w:szCs w:val="18"/>
                <w:lang w:eastAsia="es-GT"/>
              </w:rPr>
            </w:pPr>
            <w:r w:rsidRPr="0006756C">
              <w:rPr>
                <w:color w:val="000000"/>
                <w:sz w:val="18"/>
                <w:szCs w:val="18"/>
                <w:lang w:eastAsia="es-GT"/>
              </w:rPr>
              <w:t>57.2</w:t>
            </w:r>
          </w:p>
        </w:tc>
        <w:tc>
          <w:tcPr>
            <w:tcW w:w="992" w:type="dxa"/>
            <w:tcBorders>
              <w:top w:val="nil"/>
              <w:left w:val="nil"/>
              <w:bottom w:val="nil"/>
              <w:right w:val="single" w:sz="8" w:space="0" w:color="auto"/>
            </w:tcBorders>
            <w:shd w:val="clear" w:color="auto" w:fill="auto"/>
            <w:noWrap/>
            <w:vAlign w:val="center"/>
            <w:hideMark/>
          </w:tcPr>
          <w:p w14:paraId="5BB40469" w14:textId="77777777" w:rsidR="00B545DE" w:rsidRPr="00D04BF9" w:rsidRDefault="00B545DE" w:rsidP="00B545DE">
            <w:pPr>
              <w:jc w:val="center"/>
              <w:rPr>
                <w:color w:val="000000"/>
                <w:sz w:val="18"/>
                <w:szCs w:val="18"/>
                <w:lang w:eastAsia="es-GT"/>
              </w:rPr>
            </w:pPr>
            <w:r w:rsidRPr="0006756C">
              <w:rPr>
                <w:color w:val="000000"/>
                <w:sz w:val="18"/>
                <w:szCs w:val="18"/>
                <w:lang w:eastAsia="es-GT"/>
              </w:rPr>
              <w:t>8.2%</w:t>
            </w:r>
          </w:p>
        </w:tc>
      </w:tr>
      <w:tr w:rsidR="00B545DE" w:rsidRPr="00D04BF9" w14:paraId="20882924" w14:textId="77777777" w:rsidTr="007555FF">
        <w:trPr>
          <w:trHeight w:val="69"/>
          <w:jc w:val="center"/>
        </w:trPr>
        <w:tc>
          <w:tcPr>
            <w:tcW w:w="5245" w:type="dxa"/>
            <w:tcBorders>
              <w:top w:val="nil"/>
              <w:left w:val="single" w:sz="8" w:space="0" w:color="auto"/>
              <w:bottom w:val="single" w:sz="8" w:space="0" w:color="44B3E1"/>
              <w:right w:val="nil"/>
            </w:tcBorders>
            <w:shd w:val="clear" w:color="auto" w:fill="auto"/>
            <w:noWrap/>
            <w:vAlign w:val="center"/>
            <w:hideMark/>
          </w:tcPr>
          <w:p w14:paraId="171A846C" w14:textId="77777777" w:rsidR="00B545DE" w:rsidRPr="00D04BF9" w:rsidRDefault="00B545DE" w:rsidP="00B545DE">
            <w:pPr>
              <w:rPr>
                <w:b/>
                <w:bCs/>
                <w:color w:val="000000"/>
                <w:sz w:val="20"/>
                <w:szCs w:val="20"/>
                <w:lang w:eastAsia="es-GT"/>
              </w:rPr>
            </w:pPr>
            <w:r w:rsidRPr="00D04BF9">
              <w:rPr>
                <w:b/>
                <w:bCs/>
                <w:color w:val="000000"/>
                <w:sz w:val="20"/>
                <w:szCs w:val="20"/>
                <w:lang w:eastAsia="es-GT"/>
              </w:rPr>
              <w:t>Gastos</w:t>
            </w:r>
          </w:p>
        </w:tc>
        <w:tc>
          <w:tcPr>
            <w:tcW w:w="1418" w:type="dxa"/>
            <w:tcBorders>
              <w:top w:val="nil"/>
              <w:left w:val="single" w:sz="8" w:space="0" w:color="auto"/>
              <w:bottom w:val="single" w:sz="8" w:space="0" w:color="44B3E1"/>
              <w:right w:val="nil"/>
            </w:tcBorders>
            <w:shd w:val="clear" w:color="auto" w:fill="auto"/>
            <w:noWrap/>
            <w:vAlign w:val="center"/>
            <w:hideMark/>
          </w:tcPr>
          <w:p w14:paraId="6F56DB34"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39,122.1</w:t>
            </w:r>
          </w:p>
        </w:tc>
        <w:tc>
          <w:tcPr>
            <w:tcW w:w="1417" w:type="dxa"/>
            <w:tcBorders>
              <w:top w:val="nil"/>
              <w:left w:val="nil"/>
              <w:bottom w:val="single" w:sz="8" w:space="0" w:color="44B3E1"/>
              <w:right w:val="nil"/>
            </w:tcBorders>
            <w:shd w:val="clear" w:color="auto" w:fill="auto"/>
            <w:noWrap/>
            <w:vAlign w:val="center"/>
            <w:hideMark/>
          </w:tcPr>
          <w:p w14:paraId="72244E07"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14,706.2</w:t>
            </w:r>
          </w:p>
        </w:tc>
        <w:tc>
          <w:tcPr>
            <w:tcW w:w="992" w:type="dxa"/>
            <w:tcBorders>
              <w:top w:val="nil"/>
              <w:left w:val="nil"/>
              <w:bottom w:val="single" w:sz="8" w:space="0" w:color="44B3E1"/>
              <w:right w:val="single" w:sz="8" w:space="0" w:color="auto"/>
            </w:tcBorders>
            <w:shd w:val="clear" w:color="auto" w:fill="auto"/>
            <w:noWrap/>
            <w:vAlign w:val="center"/>
            <w:hideMark/>
          </w:tcPr>
          <w:p w14:paraId="75D2515C"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37.6%</w:t>
            </w:r>
          </w:p>
        </w:tc>
      </w:tr>
      <w:tr w:rsidR="00B545DE" w:rsidRPr="00D04BF9" w14:paraId="630DD356"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229F0127" w14:textId="0C977587" w:rsidR="00B545DE" w:rsidRPr="00D04BF9" w:rsidRDefault="00B545DE" w:rsidP="00B545DE">
            <w:pPr>
              <w:ind w:firstLineChars="100" w:firstLine="201"/>
              <w:rPr>
                <w:b/>
                <w:bCs/>
                <w:color w:val="000000"/>
                <w:sz w:val="20"/>
                <w:szCs w:val="20"/>
                <w:lang w:eastAsia="es-GT"/>
              </w:rPr>
            </w:pPr>
            <w:r w:rsidRPr="00D04BF9">
              <w:rPr>
                <w:b/>
                <w:bCs/>
                <w:color w:val="000000"/>
                <w:sz w:val="20"/>
                <w:szCs w:val="20"/>
                <w:lang w:eastAsia="es-GT"/>
              </w:rPr>
              <w:t xml:space="preserve">Gastos </w:t>
            </w:r>
            <w:r w:rsidR="007555FF">
              <w:rPr>
                <w:b/>
                <w:bCs/>
                <w:color w:val="000000"/>
                <w:sz w:val="20"/>
                <w:szCs w:val="20"/>
                <w:lang w:eastAsia="es-GT"/>
              </w:rPr>
              <w:t>C</w:t>
            </w:r>
            <w:r w:rsidRPr="00D04BF9">
              <w:rPr>
                <w:b/>
                <w:bCs/>
                <w:color w:val="000000"/>
                <w:sz w:val="20"/>
                <w:szCs w:val="20"/>
                <w:lang w:eastAsia="es-GT"/>
              </w:rPr>
              <w:t>orrientes</w:t>
            </w:r>
          </w:p>
        </w:tc>
        <w:tc>
          <w:tcPr>
            <w:tcW w:w="1418" w:type="dxa"/>
            <w:tcBorders>
              <w:top w:val="nil"/>
              <w:left w:val="single" w:sz="8" w:space="0" w:color="auto"/>
              <w:bottom w:val="nil"/>
              <w:right w:val="nil"/>
            </w:tcBorders>
            <w:shd w:val="clear" w:color="auto" w:fill="auto"/>
            <w:noWrap/>
            <w:vAlign w:val="center"/>
            <w:hideMark/>
          </w:tcPr>
          <w:p w14:paraId="48FBFC0D"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36,520.7</w:t>
            </w:r>
          </w:p>
        </w:tc>
        <w:tc>
          <w:tcPr>
            <w:tcW w:w="1417" w:type="dxa"/>
            <w:tcBorders>
              <w:top w:val="nil"/>
              <w:left w:val="nil"/>
              <w:bottom w:val="nil"/>
              <w:right w:val="nil"/>
            </w:tcBorders>
            <w:shd w:val="clear" w:color="auto" w:fill="auto"/>
            <w:noWrap/>
            <w:vAlign w:val="center"/>
            <w:hideMark/>
          </w:tcPr>
          <w:p w14:paraId="0601521F"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14,206.2</w:t>
            </w:r>
          </w:p>
        </w:tc>
        <w:tc>
          <w:tcPr>
            <w:tcW w:w="992" w:type="dxa"/>
            <w:tcBorders>
              <w:top w:val="nil"/>
              <w:left w:val="nil"/>
              <w:bottom w:val="nil"/>
              <w:right w:val="single" w:sz="8" w:space="0" w:color="auto"/>
            </w:tcBorders>
            <w:shd w:val="clear" w:color="auto" w:fill="auto"/>
            <w:noWrap/>
            <w:vAlign w:val="center"/>
            <w:hideMark/>
          </w:tcPr>
          <w:p w14:paraId="7BB8291A"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38.9%</w:t>
            </w:r>
          </w:p>
        </w:tc>
      </w:tr>
      <w:tr w:rsidR="00B545DE" w:rsidRPr="00D04BF9" w14:paraId="69BDA133"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2471850D" w14:textId="5BD34F2A"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Gastos de </w:t>
            </w:r>
            <w:r w:rsidR="007555FF">
              <w:rPr>
                <w:color w:val="000000"/>
                <w:sz w:val="20"/>
                <w:szCs w:val="20"/>
                <w:lang w:eastAsia="es-GT"/>
              </w:rPr>
              <w:t>C</w:t>
            </w:r>
            <w:r w:rsidRPr="00D04BF9">
              <w:rPr>
                <w:color w:val="000000"/>
                <w:sz w:val="20"/>
                <w:szCs w:val="20"/>
                <w:lang w:eastAsia="es-GT"/>
              </w:rPr>
              <w:t>onsumo</w:t>
            </w:r>
          </w:p>
        </w:tc>
        <w:tc>
          <w:tcPr>
            <w:tcW w:w="1418" w:type="dxa"/>
            <w:tcBorders>
              <w:top w:val="nil"/>
              <w:left w:val="single" w:sz="8" w:space="0" w:color="auto"/>
              <w:bottom w:val="nil"/>
              <w:right w:val="nil"/>
            </w:tcBorders>
            <w:shd w:val="clear" w:color="auto" w:fill="auto"/>
            <w:noWrap/>
            <w:vAlign w:val="center"/>
            <w:hideMark/>
          </w:tcPr>
          <w:p w14:paraId="320A1266" w14:textId="77777777" w:rsidR="00B545DE" w:rsidRPr="00D04BF9" w:rsidRDefault="00B545DE" w:rsidP="00B545DE">
            <w:pPr>
              <w:jc w:val="right"/>
              <w:rPr>
                <w:color w:val="000000"/>
                <w:sz w:val="18"/>
                <w:szCs w:val="18"/>
                <w:lang w:eastAsia="es-GT"/>
              </w:rPr>
            </w:pPr>
            <w:r w:rsidRPr="0006756C">
              <w:rPr>
                <w:color w:val="000000"/>
                <w:sz w:val="18"/>
                <w:szCs w:val="18"/>
                <w:lang w:eastAsia="es-GT"/>
              </w:rPr>
              <w:t>28,658.1</w:t>
            </w:r>
          </w:p>
        </w:tc>
        <w:tc>
          <w:tcPr>
            <w:tcW w:w="1417" w:type="dxa"/>
            <w:tcBorders>
              <w:top w:val="nil"/>
              <w:left w:val="nil"/>
              <w:bottom w:val="nil"/>
              <w:right w:val="nil"/>
            </w:tcBorders>
            <w:shd w:val="clear" w:color="auto" w:fill="auto"/>
            <w:noWrap/>
            <w:vAlign w:val="center"/>
            <w:hideMark/>
          </w:tcPr>
          <w:p w14:paraId="4770A241" w14:textId="77777777" w:rsidR="00B545DE" w:rsidRPr="00D04BF9" w:rsidRDefault="00B545DE" w:rsidP="00B545DE">
            <w:pPr>
              <w:jc w:val="right"/>
              <w:rPr>
                <w:color w:val="000000"/>
                <w:sz w:val="18"/>
                <w:szCs w:val="18"/>
                <w:lang w:eastAsia="es-GT"/>
              </w:rPr>
            </w:pPr>
            <w:r w:rsidRPr="0006756C">
              <w:rPr>
                <w:color w:val="000000"/>
                <w:sz w:val="18"/>
                <w:szCs w:val="18"/>
                <w:lang w:eastAsia="es-GT"/>
              </w:rPr>
              <w:t>10,953.3</w:t>
            </w:r>
          </w:p>
        </w:tc>
        <w:tc>
          <w:tcPr>
            <w:tcW w:w="992" w:type="dxa"/>
            <w:tcBorders>
              <w:top w:val="nil"/>
              <w:left w:val="nil"/>
              <w:bottom w:val="nil"/>
              <w:right w:val="single" w:sz="8" w:space="0" w:color="auto"/>
            </w:tcBorders>
            <w:shd w:val="clear" w:color="auto" w:fill="auto"/>
            <w:noWrap/>
            <w:vAlign w:val="center"/>
            <w:hideMark/>
          </w:tcPr>
          <w:p w14:paraId="470D713A" w14:textId="77777777" w:rsidR="00B545DE" w:rsidRPr="00D04BF9" w:rsidRDefault="00B545DE" w:rsidP="00B545DE">
            <w:pPr>
              <w:jc w:val="center"/>
              <w:rPr>
                <w:color w:val="000000"/>
                <w:sz w:val="18"/>
                <w:szCs w:val="18"/>
                <w:lang w:eastAsia="es-GT"/>
              </w:rPr>
            </w:pPr>
            <w:r w:rsidRPr="0006756C">
              <w:rPr>
                <w:color w:val="000000"/>
                <w:sz w:val="18"/>
                <w:szCs w:val="18"/>
                <w:lang w:eastAsia="es-GT"/>
              </w:rPr>
              <w:t>38.2%</w:t>
            </w:r>
          </w:p>
        </w:tc>
      </w:tr>
      <w:tr w:rsidR="00B545DE" w:rsidRPr="00D04BF9" w14:paraId="78571C1B"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2ADE0748" w14:textId="76E94437"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Prestaciones de la </w:t>
            </w:r>
            <w:r w:rsidR="007555FF">
              <w:rPr>
                <w:color w:val="000000"/>
                <w:sz w:val="20"/>
                <w:szCs w:val="20"/>
                <w:lang w:eastAsia="es-GT"/>
              </w:rPr>
              <w:t>S</w:t>
            </w:r>
            <w:r w:rsidRPr="00D04BF9">
              <w:rPr>
                <w:color w:val="000000"/>
                <w:sz w:val="20"/>
                <w:szCs w:val="20"/>
                <w:lang w:eastAsia="es-GT"/>
              </w:rPr>
              <w:t xml:space="preserve">eguridad </w:t>
            </w:r>
            <w:r w:rsidR="007555FF">
              <w:rPr>
                <w:color w:val="000000"/>
                <w:sz w:val="20"/>
                <w:szCs w:val="20"/>
                <w:lang w:eastAsia="es-GT"/>
              </w:rPr>
              <w:t>S</w:t>
            </w:r>
            <w:r w:rsidRPr="00D04BF9">
              <w:rPr>
                <w:color w:val="000000"/>
                <w:sz w:val="20"/>
                <w:szCs w:val="20"/>
                <w:lang w:eastAsia="es-GT"/>
              </w:rPr>
              <w:t>ocial</w:t>
            </w:r>
          </w:p>
        </w:tc>
        <w:tc>
          <w:tcPr>
            <w:tcW w:w="1418" w:type="dxa"/>
            <w:tcBorders>
              <w:top w:val="nil"/>
              <w:left w:val="single" w:sz="8" w:space="0" w:color="auto"/>
              <w:bottom w:val="nil"/>
              <w:right w:val="nil"/>
            </w:tcBorders>
            <w:shd w:val="clear" w:color="auto" w:fill="auto"/>
            <w:noWrap/>
            <w:vAlign w:val="center"/>
            <w:hideMark/>
          </w:tcPr>
          <w:p w14:paraId="22CA2242" w14:textId="77777777" w:rsidR="00B545DE" w:rsidRPr="00D04BF9" w:rsidRDefault="00B545DE" w:rsidP="00B545DE">
            <w:pPr>
              <w:jc w:val="right"/>
              <w:rPr>
                <w:color w:val="000000"/>
                <w:sz w:val="18"/>
                <w:szCs w:val="18"/>
                <w:lang w:eastAsia="es-GT"/>
              </w:rPr>
            </w:pPr>
            <w:r w:rsidRPr="0006756C">
              <w:rPr>
                <w:color w:val="000000"/>
                <w:sz w:val="18"/>
                <w:szCs w:val="18"/>
                <w:lang w:eastAsia="es-GT"/>
              </w:rPr>
              <w:t>6,687.7</w:t>
            </w:r>
          </w:p>
        </w:tc>
        <w:tc>
          <w:tcPr>
            <w:tcW w:w="1417" w:type="dxa"/>
            <w:tcBorders>
              <w:top w:val="nil"/>
              <w:left w:val="nil"/>
              <w:bottom w:val="nil"/>
              <w:right w:val="nil"/>
            </w:tcBorders>
            <w:shd w:val="clear" w:color="auto" w:fill="auto"/>
            <w:noWrap/>
            <w:vAlign w:val="center"/>
            <w:hideMark/>
          </w:tcPr>
          <w:p w14:paraId="3F91144B" w14:textId="77777777" w:rsidR="00B545DE" w:rsidRPr="00D04BF9" w:rsidRDefault="00B545DE" w:rsidP="00B545DE">
            <w:pPr>
              <w:jc w:val="right"/>
              <w:rPr>
                <w:color w:val="000000"/>
                <w:sz w:val="18"/>
                <w:szCs w:val="18"/>
                <w:lang w:eastAsia="es-GT"/>
              </w:rPr>
            </w:pPr>
            <w:r w:rsidRPr="0006756C">
              <w:rPr>
                <w:color w:val="000000"/>
                <w:sz w:val="18"/>
                <w:szCs w:val="18"/>
                <w:lang w:eastAsia="es-GT"/>
              </w:rPr>
              <w:t>2,834.4</w:t>
            </w:r>
          </w:p>
        </w:tc>
        <w:tc>
          <w:tcPr>
            <w:tcW w:w="992" w:type="dxa"/>
            <w:tcBorders>
              <w:top w:val="nil"/>
              <w:left w:val="nil"/>
              <w:bottom w:val="nil"/>
              <w:right w:val="single" w:sz="8" w:space="0" w:color="auto"/>
            </w:tcBorders>
            <w:shd w:val="clear" w:color="auto" w:fill="auto"/>
            <w:noWrap/>
            <w:vAlign w:val="center"/>
            <w:hideMark/>
          </w:tcPr>
          <w:p w14:paraId="3BC464AD" w14:textId="77777777" w:rsidR="00B545DE" w:rsidRPr="00D04BF9" w:rsidRDefault="00B545DE" w:rsidP="00B545DE">
            <w:pPr>
              <w:jc w:val="center"/>
              <w:rPr>
                <w:color w:val="000000"/>
                <w:sz w:val="18"/>
                <w:szCs w:val="18"/>
                <w:lang w:eastAsia="es-GT"/>
              </w:rPr>
            </w:pPr>
            <w:r w:rsidRPr="0006756C">
              <w:rPr>
                <w:color w:val="000000"/>
                <w:sz w:val="18"/>
                <w:szCs w:val="18"/>
                <w:lang w:eastAsia="es-GT"/>
              </w:rPr>
              <w:t>42.4%</w:t>
            </w:r>
          </w:p>
        </w:tc>
      </w:tr>
      <w:tr w:rsidR="00B545DE" w:rsidRPr="00D04BF9" w14:paraId="741C315D"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40DE4127" w14:textId="67AD7A2A"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Rentas de la </w:t>
            </w:r>
            <w:r w:rsidR="007555FF">
              <w:rPr>
                <w:color w:val="000000"/>
                <w:sz w:val="20"/>
                <w:szCs w:val="20"/>
                <w:lang w:eastAsia="es-GT"/>
              </w:rPr>
              <w:t>P</w:t>
            </w:r>
            <w:r w:rsidRPr="00D04BF9">
              <w:rPr>
                <w:color w:val="000000"/>
                <w:sz w:val="20"/>
                <w:szCs w:val="20"/>
                <w:lang w:eastAsia="es-GT"/>
              </w:rPr>
              <w:t>ropiedad</w:t>
            </w:r>
          </w:p>
        </w:tc>
        <w:tc>
          <w:tcPr>
            <w:tcW w:w="1418" w:type="dxa"/>
            <w:tcBorders>
              <w:top w:val="nil"/>
              <w:left w:val="single" w:sz="8" w:space="0" w:color="auto"/>
              <w:bottom w:val="nil"/>
              <w:right w:val="nil"/>
            </w:tcBorders>
            <w:shd w:val="clear" w:color="auto" w:fill="auto"/>
            <w:noWrap/>
            <w:vAlign w:val="center"/>
            <w:hideMark/>
          </w:tcPr>
          <w:p w14:paraId="29764D10" w14:textId="77777777" w:rsidR="00B545DE" w:rsidRPr="00D04BF9" w:rsidRDefault="00B545DE" w:rsidP="00B545DE">
            <w:pPr>
              <w:jc w:val="right"/>
              <w:rPr>
                <w:color w:val="000000"/>
                <w:sz w:val="18"/>
                <w:szCs w:val="18"/>
                <w:lang w:eastAsia="es-GT"/>
              </w:rPr>
            </w:pPr>
            <w:r w:rsidRPr="0006756C">
              <w:rPr>
                <w:color w:val="000000"/>
                <w:sz w:val="18"/>
                <w:szCs w:val="18"/>
                <w:lang w:eastAsia="es-GT"/>
              </w:rPr>
              <w:t>252.0</w:t>
            </w:r>
          </w:p>
        </w:tc>
        <w:tc>
          <w:tcPr>
            <w:tcW w:w="1417" w:type="dxa"/>
            <w:tcBorders>
              <w:top w:val="nil"/>
              <w:left w:val="nil"/>
              <w:bottom w:val="nil"/>
              <w:right w:val="nil"/>
            </w:tcBorders>
            <w:shd w:val="clear" w:color="auto" w:fill="auto"/>
            <w:noWrap/>
            <w:vAlign w:val="center"/>
            <w:hideMark/>
          </w:tcPr>
          <w:p w14:paraId="3A7714C3" w14:textId="77777777" w:rsidR="00B545DE" w:rsidRPr="00D04BF9" w:rsidRDefault="00B545DE" w:rsidP="00B545DE">
            <w:pPr>
              <w:jc w:val="right"/>
              <w:rPr>
                <w:color w:val="000000"/>
                <w:sz w:val="18"/>
                <w:szCs w:val="18"/>
                <w:lang w:eastAsia="es-GT"/>
              </w:rPr>
            </w:pPr>
            <w:r w:rsidRPr="0006756C">
              <w:rPr>
                <w:color w:val="000000"/>
                <w:sz w:val="18"/>
                <w:szCs w:val="18"/>
                <w:lang w:eastAsia="es-GT"/>
              </w:rPr>
              <w:t>47.6</w:t>
            </w:r>
          </w:p>
        </w:tc>
        <w:tc>
          <w:tcPr>
            <w:tcW w:w="992" w:type="dxa"/>
            <w:tcBorders>
              <w:top w:val="nil"/>
              <w:left w:val="nil"/>
              <w:bottom w:val="nil"/>
              <w:right w:val="single" w:sz="8" w:space="0" w:color="auto"/>
            </w:tcBorders>
            <w:shd w:val="clear" w:color="auto" w:fill="auto"/>
            <w:noWrap/>
            <w:vAlign w:val="center"/>
            <w:hideMark/>
          </w:tcPr>
          <w:p w14:paraId="05644E4A" w14:textId="77777777" w:rsidR="00B545DE" w:rsidRPr="00D04BF9" w:rsidRDefault="00B545DE" w:rsidP="00B545DE">
            <w:pPr>
              <w:jc w:val="center"/>
              <w:rPr>
                <w:color w:val="000000"/>
                <w:sz w:val="18"/>
                <w:szCs w:val="18"/>
                <w:lang w:eastAsia="es-GT"/>
              </w:rPr>
            </w:pPr>
            <w:r w:rsidRPr="0006756C">
              <w:rPr>
                <w:color w:val="000000"/>
                <w:sz w:val="18"/>
                <w:szCs w:val="18"/>
                <w:lang w:eastAsia="es-GT"/>
              </w:rPr>
              <w:t>18.9%</w:t>
            </w:r>
          </w:p>
        </w:tc>
      </w:tr>
      <w:tr w:rsidR="00B545DE" w:rsidRPr="00D04BF9" w14:paraId="01F467FB"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789EBDBC" w14:textId="4ADAB3F5"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Transferencias </w:t>
            </w:r>
            <w:r w:rsidR="007555FF">
              <w:rPr>
                <w:color w:val="000000"/>
                <w:sz w:val="20"/>
                <w:szCs w:val="20"/>
                <w:lang w:eastAsia="es-GT"/>
              </w:rPr>
              <w:t>C</w:t>
            </w:r>
            <w:r w:rsidRPr="00D04BF9">
              <w:rPr>
                <w:color w:val="000000"/>
                <w:sz w:val="20"/>
                <w:szCs w:val="20"/>
                <w:lang w:eastAsia="es-GT"/>
              </w:rPr>
              <w:t>orrientes</w:t>
            </w:r>
          </w:p>
        </w:tc>
        <w:tc>
          <w:tcPr>
            <w:tcW w:w="1418" w:type="dxa"/>
            <w:tcBorders>
              <w:top w:val="nil"/>
              <w:left w:val="single" w:sz="8" w:space="0" w:color="auto"/>
              <w:bottom w:val="nil"/>
              <w:right w:val="nil"/>
            </w:tcBorders>
            <w:shd w:val="clear" w:color="auto" w:fill="auto"/>
            <w:noWrap/>
            <w:vAlign w:val="center"/>
            <w:hideMark/>
          </w:tcPr>
          <w:p w14:paraId="7CE1C65C" w14:textId="77777777" w:rsidR="00B545DE" w:rsidRPr="00D04BF9" w:rsidRDefault="00B545DE" w:rsidP="00B545DE">
            <w:pPr>
              <w:jc w:val="right"/>
              <w:rPr>
                <w:color w:val="000000"/>
                <w:sz w:val="18"/>
                <w:szCs w:val="18"/>
                <w:lang w:eastAsia="es-GT"/>
              </w:rPr>
            </w:pPr>
            <w:r w:rsidRPr="0006756C">
              <w:rPr>
                <w:color w:val="000000"/>
                <w:sz w:val="18"/>
                <w:szCs w:val="18"/>
                <w:lang w:eastAsia="es-GT"/>
              </w:rPr>
              <w:t>922.8</w:t>
            </w:r>
          </w:p>
        </w:tc>
        <w:tc>
          <w:tcPr>
            <w:tcW w:w="1417" w:type="dxa"/>
            <w:tcBorders>
              <w:top w:val="nil"/>
              <w:left w:val="nil"/>
              <w:bottom w:val="nil"/>
              <w:right w:val="nil"/>
            </w:tcBorders>
            <w:shd w:val="clear" w:color="auto" w:fill="auto"/>
            <w:noWrap/>
            <w:vAlign w:val="center"/>
            <w:hideMark/>
          </w:tcPr>
          <w:p w14:paraId="7C83BB5E" w14:textId="77777777" w:rsidR="00B545DE" w:rsidRPr="00D04BF9" w:rsidRDefault="00B545DE" w:rsidP="00B545DE">
            <w:pPr>
              <w:jc w:val="right"/>
              <w:rPr>
                <w:color w:val="000000"/>
                <w:sz w:val="18"/>
                <w:szCs w:val="18"/>
                <w:lang w:eastAsia="es-GT"/>
              </w:rPr>
            </w:pPr>
            <w:r w:rsidRPr="0006756C">
              <w:rPr>
                <w:color w:val="000000"/>
                <w:sz w:val="18"/>
                <w:szCs w:val="18"/>
                <w:lang w:eastAsia="es-GT"/>
              </w:rPr>
              <w:t>370.9</w:t>
            </w:r>
          </w:p>
        </w:tc>
        <w:tc>
          <w:tcPr>
            <w:tcW w:w="992" w:type="dxa"/>
            <w:tcBorders>
              <w:top w:val="nil"/>
              <w:left w:val="nil"/>
              <w:bottom w:val="nil"/>
              <w:right w:val="single" w:sz="8" w:space="0" w:color="auto"/>
            </w:tcBorders>
            <w:shd w:val="clear" w:color="auto" w:fill="auto"/>
            <w:noWrap/>
            <w:vAlign w:val="center"/>
            <w:hideMark/>
          </w:tcPr>
          <w:p w14:paraId="64B80067" w14:textId="77777777" w:rsidR="00B545DE" w:rsidRPr="00D04BF9" w:rsidRDefault="00B545DE" w:rsidP="00B545DE">
            <w:pPr>
              <w:jc w:val="center"/>
              <w:rPr>
                <w:color w:val="000000"/>
                <w:sz w:val="18"/>
                <w:szCs w:val="18"/>
                <w:lang w:eastAsia="es-GT"/>
              </w:rPr>
            </w:pPr>
            <w:r w:rsidRPr="0006756C">
              <w:rPr>
                <w:color w:val="000000"/>
                <w:sz w:val="18"/>
                <w:szCs w:val="18"/>
                <w:lang w:eastAsia="es-GT"/>
              </w:rPr>
              <w:t>40.2%</w:t>
            </w:r>
          </w:p>
        </w:tc>
      </w:tr>
      <w:tr w:rsidR="00B545DE" w:rsidRPr="00D04BF9" w14:paraId="5164632E"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1845C5A1" w14:textId="21B3BC66" w:rsidR="00B545DE" w:rsidRPr="00D04BF9" w:rsidRDefault="00B545DE" w:rsidP="00B545DE">
            <w:pPr>
              <w:ind w:firstLineChars="100" w:firstLine="201"/>
              <w:rPr>
                <w:b/>
                <w:bCs/>
                <w:color w:val="000000"/>
                <w:sz w:val="20"/>
                <w:szCs w:val="20"/>
                <w:lang w:eastAsia="es-GT"/>
              </w:rPr>
            </w:pPr>
            <w:r w:rsidRPr="00D04BF9">
              <w:rPr>
                <w:b/>
                <w:bCs/>
                <w:color w:val="000000"/>
                <w:sz w:val="20"/>
                <w:szCs w:val="20"/>
                <w:lang w:eastAsia="es-GT"/>
              </w:rPr>
              <w:t xml:space="preserve">Gastos de </w:t>
            </w:r>
            <w:r w:rsidR="007555FF">
              <w:rPr>
                <w:b/>
                <w:bCs/>
                <w:color w:val="000000"/>
                <w:sz w:val="20"/>
                <w:szCs w:val="20"/>
                <w:lang w:eastAsia="es-GT"/>
              </w:rPr>
              <w:t>C</w:t>
            </w:r>
            <w:r w:rsidRPr="00D04BF9">
              <w:rPr>
                <w:b/>
                <w:bCs/>
                <w:color w:val="000000"/>
                <w:sz w:val="20"/>
                <w:szCs w:val="20"/>
                <w:lang w:eastAsia="es-GT"/>
              </w:rPr>
              <w:t>apital</w:t>
            </w:r>
          </w:p>
        </w:tc>
        <w:tc>
          <w:tcPr>
            <w:tcW w:w="1418" w:type="dxa"/>
            <w:tcBorders>
              <w:top w:val="nil"/>
              <w:left w:val="single" w:sz="8" w:space="0" w:color="auto"/>
              <w:bottom w:val="nil"/>
              <w:right w:val="nil"/>
            </w:tcBorders>
            <w:shd w:val="clear" w:color="auto" w:fill="auto"/>
            <w:noWrap/>
            <w:vAlign w:val="center"/>
            <w:hideMark/>
          </w:tcPr>
          <w:p w14:paraId="47BB62DE"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2,601.4</w:t>
            </w:r>
          </w:p>
        </w:tc>
        <w:tc>
          <w:tcPr>
            <w:tcW w:w="1417" w:type="dxa"/>
            <w:tcBorders>
              <w:top w:val="nil"/>
              <w:left w:val="nil"/>
              <w:bottom w:val="nil"/>
              <w:right w:val="nil"/>
            </w:tcBorders>
            <w:shd w:val="clear" w:color="auto" w:fill="auto"/>
            <w:noWrap/>
            <w:vAlign w:val="center"/>
            <w:hideMark/>
          </w:tcPr>
          <w:p w14:paraId="7ACCC406"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500.0</w:t>
            </w:r>
          </w:p>
        </w:tc>
        <w:tc>
          <w:tcPr>
            <w:tcW w:w="992" w:type="dxa"/>
            <w:tcBorders>
              <w:top w:val="nil"/>
              <w:left w:val="nil"/>
              <w:bottom w:val="nil"/>
              <w:right w:val="single" w:sz="8" w:space="0" w:color="auto"/>
            </w:tcBorders>
            <w:shd w:val="clear" w:color="auto" w:fill="auto"/>
            <w:noWrap/>
            <w:vAlign w:val="center"/>
            <w:hideMark/>
          </w:tcPr>
          <w:p w14:paraId="1C89112B"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19.2%</w:t>
            </w:r>
          </w:p>
        </w:tc>
      </w:tr>
      <w:tr w:rsidR="00B545DE" w:rsidRPr="00D04BF9" w14:paraId="0497E8D2"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133DBD45" w14:textId="0BE2A9F0"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Inversión </w:t>
            </w:r>
            <w:r w:rsidR="007555FF">
              <w:rPr>
                <w:color w:val="000000"/>
                <w:sz w:val="20"/>
                <w:szCs w:val="20"/>
                <w:lang w:eastAsia="es-GT"/>
              </w:rPr>
              <w:t>F</w:t>
            </w:r>
            <w:r w:rsidRPr="00D04BF9">
              <w:rPr>
                <w:color w:val="000000"/>
                <w:sz w:val="20"/>
                <w:szCs w:val="20"/>
                <w:lang w:eastAsia="es-GT"/>
              </w:rPr>
              <w:t>inanciera</w:t>
            </w:r>
          </w:p>
        </w:tc>
        <w:tc>
          <w:tcPr>
            <w:tcW w:w="1418" w:type="dxa"/>
            <w:tcBorders>
              <w:top w:val="nil"/>
              <w:left w:val="single" w:sz="8" w:space="0" w:color="auto"/>
              <w:bottom w:val="nil"/>
              <w:right w:val="nil"/>
            </w:tcBorders>
            <w:shd w:val="clear" w:color="auto" w:fill="auto"/>
            <w:noWrap/>
            <w:vAlign w:val="center"/>
            <w:hideMark/>
          </w:tcPr>
          <w:p w14:paraId="4292C693" w14:textId="77777777" w:rsidR="00B545DE" w:rsidRPr="00D04BF9" w:rsidRDefault="00B545DE" w:rsidP="00B545DE">
            <w:pPr>
              <w:jc w:val="right"/>
              <w:rPr>
                <w:color w:val="000000"/>
                <w:sz w:val="18"/>
                <w:szCs w:val="18"/>
                <w:lang w:eastAsia="es-GT"/>
              </w:rPr>
            </w:pPr>
            <w:r w:rsidRPr="0006756C">
              <w:rPr>
                <w:color w:val="000000"/>
                <w:sz w:val="18"/>
                <w:szCs w:val="18"/>
                <w:lang w:eastAsia="es-GT"/>
              </w:rPr>
              <w:t>30.7</w:t>
            </w:r>
          </w:p>
        </w:tc>
        <w:tc>
          <w:tcPr>
            <w:tcW w:w="1417" w:type="dxa"/>
            <w:tcBorders>
              <w:top w:val="nil"/>
              <w:left w:val="nil"/>
              <w:bottom w:val="nil"/>
              <w:right w:val="nil"/>
            </w:tcBorders>
            <w:shd w:val="clear" w:color="auto" w:fill="auto"/>
            <w:noWrap/>
            <w:vAlign w:val="center"/>
            <w:hideMark/>
          </w:tcPr>
          <w:p w14:paraId="13D8CC52" w14:textId="77777777" w:rsidR="00B545DE" w:rsidRPr="00D04BF9" w:rsidRDefault="00B545DE" w:rsidP="00B545DE">
            <w:pPr>
              <w:jc w:val="right"/>
              <w:rPr>
                <w:color w:val="000000"/>
                <w:sz w:val="18"/>
                <w:szCs w:val="18"/>
                <w:lang w:eastAsia="es-GT"/>
              </w:rPr>
            </w:pPr>
            <w:r w:rsidRPr="0006756C">
              <w:rPr>
                <w:color w:val="000000"/>
                <w:sz w:val="18"/>
                <w:szCs w:val="18"/>
                <w:lang w:eastAsia="es-GT"/>
              </w:rPr>
              <w:t>18.9</w:t>
            </w:r>
          </w:p>
        </w:tc>
        <w:tc>
          <w:tcPr>
            <w:tcW w:w="992" w:type="dxa"/>
            <w:tcBorders>
              <w:top w:val="nil"/>
              <w:left w:val="nil"/>
              <w:bottom w:val="nil"/>
              <w:right w:val="single" w:sz="8" w:space="0" w:color="auto"/>
            </w:tcBorders>
            <w:shd w:val="clear" w:color="auto" w:fill="auto"/>
            <w:noWrap/>
            <w:vAlign w:val="center"/>
            <w:hideMark/>
          </w:tcPr>
          <w:p w14:paraId="7F23343C" w14:textId="77777777" w:rsidR="00B545DE" w:rsidRPr="00D04BF9" w:rsidRDefault="00B545DE" w:rsidP="00B545DE">
            <w:pPr>
              <w:jc w:val="center"/>
              <w:rPr>
                <w:color w:val="000000"/>
                <w:sz w:val="18"/>
                <w:szCs w:val="18"/>
                <w:lang w:eastAsia="es-GT"/>
              </w:rPr>
            </w:pPr>
            <w:r w:rsidRPr="0006756C">
              <w:rPr>
                <w:color w:val="000000"/>
                <w:sz w:val="18"/>
                <w:szCs w:val="18"/>
                <w:lang w:eastAsia="es-GT"/>
              </w:rPr>
              <w:t>61.5%</w:t>
            </w:r>
          </w:p>
        </w:tc>
      </w:tr>
      <w:tr w:rsidR="00B545DE" w:rsidRPr="00D04BF9" w14:paraId="0D8BA63B"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52CB800D" w14:textId="27414B6F"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Inversión </w:t>
            </w:r>
            <w:r w:rsidR="007555FF">
              <w:rPr>
                <w:color w:val="000000"/>
                <w:sz w:val="20"/>
                <w:szCs w:val="20"/>
                <w:lang w:eastAsia="es-GT"/>
              </w:rPr>
              <w:t>R</w:t>
            </w:r>
            <w:r w:rsidRPr="00D04BF9">
              <w:rPr>
                <w:color w:val="000000"/>
                <w:sz w:val="20"/>
                <w:szCs w:val="20"/>
                <w:lang w:eastAsia="es-GT"/>
              </w:rPr>
              <w:t xml:space="preserve">eal </w:t>
            </w:r>
            <w:r w:rsidR="007555FF">
              <w:rPr>
                <w:color w:val="000000"/>
                <w:sz w:val="20"/>
                <w:szCs w:val="20"/>
                <w:lang w:eastAsia="es-GT"/>
              </w:rPr>
              <w:t>D</w:t>
            </w:r>
            <w:r w:rsidRPr="00D04BF9">
              <w:rPr>
                <w:color w:val="000000"/>
                <w:sz w:val="20"/>
                <w:szCs w:val="20"/>
                <w:lang w:eastAsia="es-GT"/>
              </w:rPr>
              <w:t>irecta</w:t>
            </w:r>
          </w:p>
        </w:tc>
        <w:tc>
          <w:tcPr>
            <w:tcW w:w="1418" w:type="dxa"/>
            <w:tcBorders>
              <w:top w:val="nil"/>
              <w:left w:val="single" w:sz="8" w:space="0" w:color="auto"/>
              <w:bottom w:val="nil"/>
              <w:right w:val="nil"/>
            </w:tcBorders>
            <w:shd w:val="clear" w:color="auto" w:fill="auto"/>
            <w:noWrap/>
            <w:vAlign w:val="center"/>
            <w:hideMark/>
          </w:tcPr>
          <w:p w14:paraId="63FC62AA" w14:textId="77777777" w:rsidR="00B545DE" w:rsidRPr="00D04BF9" w:rsidRDefault="00B545DE" w:rsidP="00B545DE">
            <w:pPr>
              <w:jc w:val="right"/>
              <w:rPr>
                <w:color w:val="000000"/>
                <w:sz w:val="18"/>
                <w:szCs w:val="18"/>
                <w:lang w:eastAsia="es-GT"/>
              </w:rPr>
            </w:pPr>
            <w:r w:rsidRPr="0006756C">
              <w:rPr>
                <w:color w:val="000000"/>
                <w:sz w:val="18"/>
                <w:szCs w:val="18"/>
                <w:lang w:eastAsia="es-GT"/>
              </w:rPr>
              <w:t>2,549.4</w:t>
            </w:r>
          </w:p>
        </w:tc>
        <w:tc>
          <w:tcPr>
            <w:tcW w:w="1417" w:type="dxa"/>
            <w:tcBorders>
              <w:top w:val="nil"/>
              <w:left w:val="nil"/>
              <w:bottom w:val="nil"/>
              <w:right w:val="nil"/>
            </w:tcBorders>
            <w:shd w:val="clear" w:color="auto" w:fill="auto"/>
            <w:noWrap/>
            <w:vAlign w:val="center"/>
            <w:hideMark/>
          </w:tcPr>
          <w:p w14:paraId="6461FBD5" w14:textId="77777777" w:rsidR="00B545DE" w:rsidRPr="00D04BF9" w:rsidRDefault="00B545DE" w:rsidP="00B545DE">
            <w:pPr>
              <w:jc w:val="right"/>
              <w:rPr>
                <w:color w:val="000000"/>
                <w:sz w:val="18"/>
                <w:szCs w:val="18"/>
                <w:lang w:eastAsia="es-GT"/>
              </w:rPr>
            </w:pPr>
            <w:r w:rsidRPr="0006756C">
              <w:rPr>
                <w:color w:val="000000"/>
                <w:sz w:val="18"/>
                <w:szCs w:val="18"/>
                <w:lang w:eastAsia="es-GT"/>
              </w:rPr>
              <w:t>475.0</w:t>
            </w:r>
          </w:p>
        </w:tc>
        <w:tc>
          <w:tcPr>
            <w:tcW w:w="992" w:type="dxa"/>
            <w:tcBorders>
              <w:top w:val="nil"/>
              <w:left w:val="nil"/>
              <w:bottom w:val="nil"/>
              <w:right w:val="single" w:sz="8" w:space="0" w:color="auto"/>
            </w:tcBorders>
            <w:shd w:val="clear" w:color="auto" w:fill="auto"/>
            <w:noWrap/>
            <w:vAlign w:val="center"/>
            <w:hideMark/>
          </w:tcPr>
          <w:p w14:paraId="1E06FFAF" w14:textId="77777777" w:rsidR="00B545DE" w:rsidRPr="00D04BF9" w:rsidRDefault="00B545DE" w:rsidP="00B545DE">
            <w:pPr>
              <w:jc w:val="center"/>
              <w:rPr>
                <w:color w:val="000000"/>
                <w:sz w:val="18"/>
                <w:szCs w:val="18"/>
                <w:lang w:eastAsia="es-GT"/>
              </w:rPr>
            </w:pPr>
            <w:r w:rsidRPr="0006756C">
              <w:rPr>
                <w:color w:val="000000"/>
                <w:sz w:val="18"/>
                <w:szCs w:val="18"/>
                <w:lang w:eastAsia="es-GT"/>
              </w:rPr>
              <w:t>18.6%</w:t>
            </w:r>
          </w:p>
        </w:tc>
      </w:tr>
      <w:tr w:rsidR="00B545DE" w:rsidRPr="00D04BF9" w14:paraId="516D3958"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4174EE1D" w14:textId="505E313B"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Transferencias de </w:t>
            </w:r>
            <w:r w:rsidR="007555FF">
              <w:rPr>
                <w:color w:val="000000"/>
                <w:sz w:val="20"/>
                <w:szCs w:val="20"/>
                <w:lang w:eastAsia="es-GT"/>
              </w:rPr>
              <w:t>C</w:t>
            </w:r>
            <w:r w:rsidRPr="00D04BF9">
              <w:rPr>
                <w:color w:val="000000"/>
                <w:sz w:val="20"/>
                <w:szCs w:val="20"/>
                <w:lang w:eastAsia="es-GT"/>
              </w:rPr>
              <w:t>apital</w:t>
            </w:r>
          </w:p>
        </w:tc>
        <w:tc>
          <w:tcPr>
            <w:tcW w:w="1418" w:type="dxa"/>
            <w:tcBorders>
              <w:top w:val="nil"/>
              <w:left w:val="single" w:sz="8" w:space="0" w:color="auto"/>
              <w:bottom w:val="nil"/>
              <w:right w:val="nil"/>
            </w:tcBorders>
            <w:shd w:val="clear" w:color="auto" w:fill="auto"/>
            <w:noWrap/>
            <w:vAlign w:val="center"/>
            <w:hideMark/>
          </w:tcPr>
          <w:p w14:paraId="3DDFAFB8" w14:textId="77777777" w:rsidR="00B545DE" w:rsidRPr="00D04BF9" w:rsidRDefault="00B545DE" w:rsidP="00B545DE">
            <w:pPr>
              <w:jc w:val="right"/>
              <w:rPr>
                <w:color w:val="000000"/>
                <w:sz w:val="18"/>
                <w:szCs w:val="18"/>
                <w:lang w:eastAsia="es-GT"/>
              </w:rPr>
            </w:pPr>
            <w:r w:rsidRPr="0006756C">
              <w:rPr>
                <w:color w:val="000000"/>
                <w:sz w:val="18"/>
                <w:szCs w:val="18"/>
                <w:lang w:eastAsia="es-GT"/>
              </w:rPr>
              <w:t>21.3</w:t>
            </w:r>
          </w:p>
        </w:tc>
        <w:tc>
          <w:tcPr>
            <w:tcW w:w="1417" w:type="dxa"/>
            <w:tcBorders>
              <w:top w:val="nil"/>
              <w:left w:val="nil"/>
              <w:bottom w:val="nil"/>
              <w:right w:val="nil"/>
            </w:tcBorders>
            <w:shd w:val="clear" w:color="auto" w:fill="auto"/>
            <w:noWrap/>
            <w:vAlign w:val="center"/>
            <w:hideMark/>
          </w:tcPr>
          <w:p w14:paraId="4964EFDF" w14:textId="77777777" w:rsidR="00B545DE" w:rsidRPr="00D04BF9" w:rsidRDefault="00B545DE" w:rsidP="00B545DE">
            <w:pPr>
              <w:jc w:val="right"/>
              <w:rPr>
                <w:color w:val="000000"/>
                <w:sz w:val="18"/>
                <w:szCs w:val="18"/>
                <w:lang w:eastAsia="es-GT"/>
              </w:rPr>
            </w:pPr>
            <w:r w:rsidRPr="0006756C">
              <w:rPr>
                <w:color w:val="000000"/>
                <w:sz w:val="18"/>
                <w:szCs w:val="18"/>
                <w:lang w:eastAsia="es-GT"/>
              </w:rPr>
              <w:t>6.1</w:t>
            </w:r>
          </w:p>
        </w:tc>
        <w:tc>
          <w:tcPr>
            <w:tcW w:w="992" w:type="dxa"/>
            <w:tcBorders>
              <w:top w:val="nil"/>
              <w:left w:val="nil"/>
              <w:bottom w:val="nil"/>
              <w:right w:val="single" w:sz="8" w:space="0" w:color="auto"/>
            </w:tcBorders>
            <w:shd w:val="clear" w:color="auto" w:fill="auto"/>
            <w:noWrap/>
            <w:vAlign w:val="center"/>
            <w:hideMark/>
          </w:tcPr>
          <w:p w14:paraId="40532989" w14:textId="77777777" w:rsidR="00B545DE" w:rsidRPr="00D04BF9" w:rsidRDefault="00B545DE" w:rsidP="00B545DE">
            <w:pPr>
              <w:jc w:val="center"/>
              <w:rPr>
                <w:color w:val="000000"/>
                <w:sz w:val="18"/>
                <w:szCs w:val="18"/>
                <w:lang w:eastAsia="es-GT"/>
              </w:rPr>
            </w:pPr>
            <w:r w:rsidRPr="0006756C">
              <w:rPr>
                <w:color w:val="000000"/>
                <w:sz w:val="18"/>
                <w:szCs w:val="18"/>
                <w:lang w:eastAsia="es-GT"/>
              </w:rPr>
              <w:t>28.7%</w:t>
            </w:r>
          </w:p>
        </w:tc>
      </w:tr>
      <w:tr w:rsidR="00B545DE" w:rsidRPr="00D04BF9" w14:paraId="0AB780DC" w14:textId="77777777" w:rsidTr="007555FF">
        <w:trPr>
          <w:trHeight w:val="69"/>
          <w:jc w:val="center"/>
        </w:trPr>
        <w:tc>
          <w:tcPr>
            <w:tcW w:w="5245" w:type="dxa"/>
            <w:tcBorders>
              <w:top w:val="nil"/>
              <w:left w:val="single" w:sz="8" w:space="0" w:color="auto"/>
              <w:bottom w:val="single" w:sz="8" w:space="0" w:color="44B3E1"/>
              <w:right w:val="nil"/>
            </w:tcBorders>
            <w:shd w:val="clear" w:color="000000" w:fill="D0D0D0"/>
            <w:noWrap/>
            <w:vAlign w:val="center"/>
            <w:hideMark/>
          </w:tcPr>
          <w:p w14:paraId="663DD73B" w14:textId="51E9FE3D" w:rsidR="00B545DE" w:rsidRPr="00D04BF9" w:rsidRDefault="00B545DE" w:rsidP="00B545DE">
            <w:pPr>
              <w:rPr>
                <w:b/>
                <w:bCs/>
                <w:color w:val="000000"/>
                <w:sz w:val="20"/>
                <w:szCs w:val="20"/>
                <w:lang w:eastAsia="es-GT"/>
              </w:rPr>
            </w:pPr>
            <w:r w:rsidRPr="00D04BF9">
              <w:rPr>
                <w:b/>
                <w:bCs/>
                <w:color w:val="000000"/>
                <w:sz w:val="20"/>
                <w:szCs w:val="20"/>
                <w:lang w:eastAsia="es-GT"/>
              </w:rPr>
              <w:t xml:space="preserve">Resultado </w:t>
            </w:r>
            <w:r w:rsidR="007555FF">
              <w:rPr>
                <w:b/>
                <w:bCs/>
                <w:color w:val="000000"/>
                <w:sz w:val="20"/>
                <w:szCs w:val="20"/>
                <w:lang w:eastAsia="es-GT"/>
              </w:rPr>
              <w:t>P</w:t>
            </w:r>
            <w:r>
              <w:rPr>
                <w:b/>
                <w:bCs/>
                <w:color w:val="000000"/>
                <w:sz w:val="20"/>
                <w:szCs w:val="20"/>
                <w:lang w:eastAsia="es-GT"/>
              </w:rPr>
              <w:t>resupuesta</w:t>
            </w:r>
            <w:r w:rsidR="007555FF">
              <w:rPr>
                <w:b/>
                <w:bCs/>
                <w:color w:val="000000"/>
                <w:sz w:val="20"/>
                <w:szCs w:val="20"/>
                <w:lang w:eastAsia="es-GT"/>
              </w:rPr>
              <w:t>rio</w:t>
            </w:r>
          </w:p>
        </w:tc>
        <w:tc>
          <w:tcPr>
            <w:tcW w:w="1418" w:type="dxa"/>
            <w:tcBorders>
              <w:top w:val="nil"/>
              <w:left w:val="single" w:sz="8" w:space="0" w:color="auto"/>
              <w:bottom w:val="single" w:sz="4" w:space="0" w:color="44B3E1"/>
              <w:right w:val="nil"/>
            </w:tcBorders>
            <w:shd w:val="clear" w:color="000000" w:fill="D0D0D0"/>
            <w:noWrap/>
            <w:vAlign w:val="center"/>
            <w:hideMark/>
          </w:tcPr>
          <w:p w14:paraId="6D76F2B5"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-2,318.4</w:t>
            </w:r>
          </w:p>
        </w:tc>
        <w:tc>
          <w:tcPr>
            <w:tcW w:w="1417" w:type="dxa"/>
            <w:tcBorders>
              <w:top w:val="nil"/>
              <w:left w:val="nil"/>
              <w:bottom w:val="single" w:sz="4" w:space="0" w:color="44B3E1"/>
              <w:right w:val="nil"/>
            </w:tcBorders>
            <w:shd w:val="clear" w:color="000000" w:fill="D0D0D0"/>
            <w:noWrap/>
            <w:vAlign w:val="center"/>
            <w:hideMark/>
          </w:tcPr>
          <w:p w14:paraId="074A08C3"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3,491.6</w:t>
            </w:r>
          </w:p>
        </w:tc>
        <w:tc>
          <w:tcPr>
            <w:tcW w:w="992" w:type="dxa"/>
            <w:tcBorders>
              <w:top w:val="nil"/>
              <w:left w:val="nil"/>
              <w:bottom w:val="single" w:sz="4" w:space="0" w:color="44B3E1"/>
              <w:right w:val="single" w:sz="8" w:space="0" w:color="auto"/>
            </w:tcBorders>
            <w:shd w:val="clear" w:color="000000" w:fill="D0D0D0"/>
            <w:noWrap/>
            <w:vAlign w:val="center"/>
            <w:hideMark/>
          </w:tcPr>
          <w:p w14:paraId="3E3ECFD2"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-150.6%</w:t>
            </w:r>
          </w:p>
        </w:tc>
      </w:tr>
      <w:tr w:rsidR="00B545DE" w:rsidRPr="00D04BF9" w14:paraId="4DAF8B0A" w14:textId="77777777" w:rsidTr="007555FF">
        <w:trPr>
          <w:trHeight w:val="69"/>
          <w:jc w:val="center"/>
        </w:trPr>
        <w:tc>
          <w:tcPr>
            <w:tcW w:w="5245" w:type="dxa"/>
            <w:tcBorders>
              <w:top w:val="nil"/>
              <w:left w:val="single" w:sz="8" w:space="0" w:color="auto"/>
              <w:bottom w:val="single" w:sz="8" w:space="0" w:color="44B3E1"/>
              <w:right w:val="nil"/>
            </w:tcBorders>
            <w:shd w:val="clear" w:color="auto" w:fill="auto"/>
            <w:noWrap/>
            <w:vAlign w:val="center"/>
            <w:hideMark/>
          </w:tcPr>
          <w:p w14:paraId="3CD73C08" w14:textId="77777777" w:rsidR="00B545DE" w:rsidRPr="00D04BF9" w:rsidRDefault="00B545DE" w:rsidP="00B545DE">
            <w:pPr>
              <w:rPr>
                <w:b/>
                <w:bCs/>
                <w:color w:val="000000"/>
                <w:sz w:val="20"/>
                <w:szCs w:val="20"/>
                <w:lang w:eastAsia="es-GT"/>
              </w:rPr>
            </w:pPr>
            <w:r w:rsidRPr="00D04BF9">
              <w:rPr>
                <w:b/>
                <w:bCs/>
                <w:color w:val="000000"/>
                <w:sz w:val="20"/>
                <w:szCs w:val="20"/>
                <w:lang w:eastAsia="es-GT"/>
              </w:rPr>
              <w:t>Financiamiento</w:t>
            </w:r>
          </w:p>
        </w:tc>
        <w:tc>
          <w:tcPr>
            <w:tcW w:w="1418" w:type="dxa"/>
            <w:tcBorders>
              <w:top w:val="nil"/>
              <w:left w:val="single" w:sz="8" w:space="0" w:color="auto"/>
              <w:bottom w:val="single" w:sz="8" w:space="0" w:color="44B3E1"/>
              <w:right w:val="nil"/>
            </w:tcBorders>
            <w:shd w:val="clear" w:color="auto" w:fill="auto"/>
            <w:noWrap/>
            <w:vAlign w:val="center"/>
            <w:hideMark/>
          </w:tcPr>
          <w:p w14:paraId="2826DD05"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2,318.4</w:t>
            </w:r>
          </w:p>
        </w:tc>
        <w:tc>
          <w:tcPr>
            <w:tcW w:w="1417" w:type="dxa"/>
            <w:tcBorders>
              <w:top w:val="nil"/>
              <w:left w:val="nil"/>
              <w:bottom w:val="single" w:sz="8" w:space="0" w:color="44B3E1"/>
              <w:right w:val="nil"/>
            </w:tcBorders>
            <w:shd w:val="clear" w:color="auto" w:fill="auto"/>
            <w:noWrap/>
            <w:vAlign w:val="center"/>
            <w:hideMark/>
          </w:tcPr>
          <w:p w14:paraId="75F9C1AF"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-3,491.6</w:t>
            </w:r>
          </w:p>
        </w:tc>
        <w:tc>
          <w:tcPr>
            <w:tcW w:w="992" w:type="dxa"/>
            <w:tcBorders>
              <w:top w:val="nil"/>
              <w:left w:val="nil"/>
              <w:bottom w:val="single" w:sz="8" w:space="0" w:color="44B3E1"/>
              <w:right w:val="single" w:sz="8" w:space="0" w:color="auto"/>
            </w:tcBorders>
            <w:shd w:val="clear" w:color="auto" w:fill="auto"/>
            <w:noWrap/>
            <w:vAlign w:val="center"/>
            <w:hideMark/>
          </w:tcPr>
          <w:p w14:paraId="0988519C"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-150.6%</w:t>
            </w:r>
          </w:p>
        </w:tc>
      </w:tr>
      <w:tr w:rsidR="00B545DE" w:rsidRPr="00D04BF9" w14:paraId="6E3CECD5"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6275CF67" w14:textId="49C5BC9E" w:rsidR="00B545DE" w:rsidRPr="00D04BF9" w:rsidRDefault="00B545DE" w:rsidP="00B545DE">
            <w:pPr>
              <w:ind w:firstLineChars="100" w:firstLine="201"/>
              <w:rPr>
                <w:b/>
                <w:bCs/>
                <w:color w:val="000000"/>
                <w:sz w:val="20"/>
                <w:szCs w:val="20"/>
                <w:lang w:eastAsia="es-GT"/>
              </w:rPr>
            </w:pPr>
            <w:r w:rsidRPr="00D04BF9">
              <w:rPr>
                <w:b/>
                <w:bCs/>
                <w:color w:val="000000"/>
                <w:sz w:val="20"/>
                <w:szCs w:val="20"/>
                <w:lang w:eastAsia="es-GT"/>
              </w:rPr>
              <w:t xml:space="preserve">Inversiones </w:t>
            </w:r>
            <w:r w:rsidR="007555FF">
              <w:rPr>
                <w:b/>
                <w:bCs/>
                <w:color w:val="000000"/>
                <w:sz w:val="20"/>
                <w:szCs w:val="20"/>
                <w:lang w:eastAsia="es-GT"/>
              </w:rPr>
              <w:t>F</w:t>
            </w:r>
            <w:r w:rsidRPr="00D04BF9">
              <w:rPr>
                <w:b/>
                <w:bCs/>
                <w:color w:val="000000"/>
                <w:sz w:val="20"/>
                <w:szCs w:val="20"/>
                <w:lang w:eastAsia="es-GT"/>
              </w:rPr>
              <w:t>inancieras</w:t>
            </w:r>
          </w:p>
        </w:tc>
        <w:tc>
          <w:tcPr>
            <w:tcW w:w="1418" w:type="dxa"/>
            <w:tcBorders>
              <w:top w:val="nil"/>
              <w:left w:val="single" w:sz="8" w:space="0" w:color="auto"/>
              <w:bottom w:val="nil"/>
              <w:right w:val="nil"/>
            </w:tcBorders>
            <w:shd w:val="clear" w:color="auto" w:fill="auto"/>
            <w:noWrap/>
            <w:vAlign w:val="center"/>
            <w:hideMark/>
          </w:tcPr>
          <w:p w14:paraId="5CA29B47"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-76.8</w:t>
            </w:r>
          </w:p>
        </w:tc>
        <w:tc>
          <w:tcPr>
            <w:tcW w:w="1417" w:type="dxa"/>
            <w:tcBorders>
              <w:top w:val="nil"/>
              <w:left w:val="nil"/>
              <w:bottom w:val="nil"/>
              <w:right w:val="nil"/>
            </w:tcBorders>
            <w:shd w:val="clear" w:color="auto" w:fill="auto"/>
            <w:noWrap/>
            <w:vAlign w:val="center"/>
            <w:hideMark/>
          </w:tcPr>
          <w:p w14:paraId="652BCC1B"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-17.5</w:t>
            </w:r>
          </w:p>
        </w:tc>
        <w:tc>
          <w:tcPr>
            <w:tcW w:w="992" w:type="dxa"/>
            <w:tcBorders>
              <w:top w:val="nil"/>
              <w:left w:val="nil"/>
              <w:bottom w:val="nil"/>
              <w:right w:val="single" w:sz="8" w:space="0" w:color="auto"/>
            </w:tcBorders>
            <w:shd w:val="clear" w:color="auto" w:fill="auto"/>
            <w:noWrap/>
            <w:vAlign w:val="center"/>
            <w:hideMark/>
          </w:tcPr>
          <w:p w14:paraId="5C42156D"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22.8%</w:t>
            </w:r>
          </w:p>
        </w:tc>
      </w:tr>
      <w:tr w:rsidR="00B545DE" w:rsidRPr="00D04BF9" w14:paraId="638C8A82"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32569959" w14:textId="12237DCC"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Préstamos </w:t>
            </w:r>
            <w:r w:rsidR="007555FF">
              <w:rPr>
                <w:color w:val="000000"/>
                <w:sz w:val="20"/>
                <w:szCs w:val="20"/>
                <w:lang w:eastAsia="es-GT"/>
              </w:rPr>
              <w:t>O</w:t>
            </w:r>
            <w:r w:rsidRPr="00D04BF9">
              <w:rPr>
                <w:color w:val="000000"/>
                <w:sz w:val="20"/>
                <w:szCs w:val="20"/>
                <w:lang w:eastAsia="es-GT"/>
              </w:rPr>
              <w:t>torgados</w:t>
            </w:r>
          </w:p>
        </w:tc>
        <w:tc>
          <w:tcPr>
            <w:tcW w:w="1418" w:type="dxa"/>
            <w:tcBorders>
              <w:top w:val="nil"/>
              <w:left w:val="single" w:sz="8" w:space="0" w:color="auto"/>
              <w:bottom w:val="nil"/>
              <w:right w:val="nil"/>
            </w:tcBorders>
            <w:shd w:val="clear" w:color="auto" w:fill="auto"/>
            <w:noWrap/>
            <w:vAlign w:val="center"/>
            <w:hideMark/>
          </w:tcPr>
          <w:p w14:paraId="3F45A973" w14:textId="77777777" w:rsidR="00B545DE" w:rsidRPr="00D04BF9" w:rsidRDefault="00B545DE" w:rsidP="00B545DE">
            <w:pPr>
              <w:jc w:val="right"/>
              <w:rPr>
                <w:color w:val="000000"/>
                <w:sz w:val="18"/>
                <w:szCs w:val="18"/>
                <w:lang w:eastAsia="es-GT"/>
              </w:rPr>
            </w:pPr>
            <w:r w:rsidRPr="0006756C">
              <w:rPr>
                <w:color w:val="000000"/>
                <w:sz w:val="18"/>
                <w:szCs w:val="18"/>
                <w:lang w:eastAsia="es-GT"/>
              </w:rPr>
              <w:t>-241.2</w:t>
            </w:r>
          </w:p>
        </w:tc>
        <w:tc>
          <w:tcPr>
            <w:tcW w:w="1417" w:type="dxa"/>
            <w:tcBorders>
              <w:top w:val="nil"/>
              <w:left w:val="nil"/>
              <w:bottom w:val="nil"/>
              <w:right w:val="nil"/>
            </w:tcBorders>
            <w:shd w:val="clear" w:color="auto" w:fill="auto"/>
            <w:noWrap/>
            <w:vAlign w:val="center"/>
            <w:hideMark/>
          </w:tcPr>
          <w:p w14:paraId="6E826A81" w14:textId="77777777" w:rsidR="00B545DE" w:rsidRPr="00D04BF9" w:rsidRDefault="00B545DE" w:rsidP="00B545DE">
            <w:pPr>
              <w:jc w:val="right"/>
              <w:rPr>
                <w:color w:val="000000"/>
                <w:sz w:val="18"/>
                <w:szCs w:val="18"/>
                <w:lang w:eastAsia="es-GT"/>
              </w:rPr>
            </w:pPr>
            <w:r w:rsidRPr="0006756C">
              <w:rPr>
                <w:color w:val="000000"/>
                <w:sz w:val="18"/>
                <w:szCs w:val="18"/>
                <w:lang w:eastAsia="es-GT"/>
              </w:rPr>
              <w:t>-17.5</w:t>
            </w:r>
          </w:p>
        </w:tc>
        <w:tc>
          <w:tcPr>
            <w:tcW w:w="992" w:type="dxa"/>
            <w:tcBorders>
              <w:top w:val="nil"/>
              <w:left w:val="nil"/>
              <w:bottom w:val="nil"/>
              <w:right w:val="single" w:sz="8" w:space="0" w:color="auto"/>
            </w:tcBorders>
            <w:shd w:val="clear" w:color="auto" w:fill="auto"/>
            <w:noWrap/>
            <w:vAlign w:val="center"/>
            <w:hideMark/>
          </w:tcPr>
          <w:p w14:paraId="1C3CCCE1" w14:textId="77777777" w:rsidR="00B545DE" w:rsidRPr="00D04BF9" w:rsidRDefault="00B545DE" w:rsidP="00B545DE">
            <w:pPr>
              <w:jc w:val="center"/>
              <w:rPr>
                <w:color w:val="000000"/>
                <w:sz w:val="18"/>
                <w:szCs w:val="18"/>
                <w:lang w:eastAsia="es-GT"/>
              </w:rPr>
            </w:pPr>
            <w:r w:rsidRPr="0006756C">
              <w:rPr>
                <w:color w:val="000000"/>
                <w:sz w:val="18"/>
                <w:szCs w:val="18"/>
                <w:lang w:eastAsia="es-GT"/>
              </w:rPr>
              <w:t>7.2%</w:t>
            </w:r>
          </w:p>
        </w:tc>
      </w:tr>
      <w:tr w:rsidR="00B545DE" w:rsidRPr="00D04BF9" w14:paraId="09B706CF"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21AA94F7" w14:textId="1B703475"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Inversiones </w:t>
            </w:r>
            <w:r w:rsidR="007555FF">
              <w:rPr>
                <w:color w:val="000000"/>
                <w:sz w:val="20"/>
                <w:szCs w:val="20"/>
                <w:lang w:eastAsia="es-GT"/>
              </w:rPr>
              <w:t>T</w:t>
            </w:r>
            <w:r w:rsidRPr="00D04BF9">
              <w:rPr>
                <w:color w:val="000000"/>
                <w:sz w:val="20"/>
                <w:szCs w:val="20"/>
                <w:lang w:eastAsia="es-GT"/>
              </w:rPr>
              <w:t>emporales</w:t>
            </w:r>
          </w:p>
        </w:tc>
        <w:tc>
          <w:tcPr>
            <w:tcW w:w="1418" w:type="dxa"/>
            <w:tcBorders>
              <w:top w:val="nil"/>
              <w:left w:val="single" w:sz="8" w:space="0" w:color="auto"/>
              <w:bottom w:val="nil"/>
              <w:right w:val="nil"/>
            </w:tcBorders>
            <w:shd w:val="clear" w:color="auto" w:fill="auto"/>
            <w:noWrap/>
            <w:vAlign w:val="center"/>
            <w:hideMark/>
          </w:tcPr>
          <w:p w14:paraId="28218540" w14:textId="77777777" w:rsidR="00B545DE" w:rsidRPr="00D04BF9" w:rsidRDefault="00B545DE" w:rsidP="00B545DE">
            <w:pPr>
              <w:jc w:val="right"/>
              <w:rPr>
                <w:color w:val="000000"/>
                <w:sz w:val="18"/>
                <w:szCs w:val="18"/>
                <w:lang w:eastAsia="es-GT"/>
              </w:rPr>
            </w:pPr>
            <w:r w:rsidRPr="0006756C">
              <w:rPr>
                <w:color w:val="000000"/>
                <w:sz w:val="18"/>
                <w:szCs w:val="18"/>
                <w:lang w:eastAsia="es-GT"/>
              </w:rPr>
              <w:t>-25.0</w:t>
            </w:r>
          </w:p>
        </w:tc>
        <w:tc>
          <w:tcPr>
            <w:tcW w:w="1417" w:type="dxa"/>
            <w:tcBorders>
              <w:top w:val="nil"/>
              <w:left w:val="nil"/>
              <w:bottom w:val="nil"/>
              <w:right w:val="nil"/>
            </w:tcBorders>
            <w:shd w:val="clear" w:color="auto" w:fill="auto"/>
            <w:noWrap/>
            <w:vAlign w:val="center"/>
            <w:hideMark/>
          </w:tcPr>
          <w:p w14:paraId="2901A099" w14:textId="77777777" w:rsidR="00B545DE" w:rsidRPr="00D04BF9" w:rsidRDefault="00B545DE" w:rsidP="00B545DE">
            <w:pPr>
              <w:jc w:val="right"/>
              <w:rPr>
                <w:color w:val="000000"/>
                <w:sz w:val="18"/>
                <w:szCs w:val="18"/>
                <w:lang w:eastAsia="es-GT"/>
              </w:rPr>
            </w:pPr>
            <w:r w:rsidRPr="0006756C">
              <w:rPr>
                <w:color w:val="000000"/>
                <w:sz w:val="18"/>
                <w:szCs w:val="18"/>
                <w:lang w:eastAsia="es-GT"/>
              </w:rPr>
              <w:t>0.0</w:t>
            </w:r>
          </w:p>
        </w:tc>
        <w:tc>
          <w:tcPr>
            <w:tcW w:w="992" w:type="dxa"/>
            <w:tcBorders>
              <w:top w:val="nil"/>
              <w:left w:val="nil"/>
              <w:bottom w:val="nil"/>
              <w:right w:val="single" w:sz="8" w:space="0" w:color="auto"/>
            </w:tcBorders>
            <w:shd w:val="clear" w:color="auto" w:fill="auto"/>
            <w:noWrap/>
            <w:vAlign w:val="center"/>
            <w:hideMark/>
          </w:tcPr>
          <w:p w14:paraId="3E7AD7D6" w14:textId="77777777" w:rsidR="00B545DE" w:rsidRPr="00D04BF9" w:rsidRDefault="00B545DE" w:rsidP="00B545DE">
            <w:pPr>
              <w:jc w:val="center"/>
              <w:rPr>
                <w:color w:val="000000"/>
                <w:sz w:val="18"/>
                <w:szCs w:val="18"/>
                <w:lang w:eastAsia="es-GT"/>
              </w:rPr>
            </w:pPr>
            <w:r w:rsidRPr="0006756C">
              <w:rPr>
                <w:color w:val="000000"/>
                <w:sz w:val="18"/>
                <w:szCs w:val="18"/>
                <w:lang w:eastAsia="es-GT"/>
              </w:rPr>
              <w:t>0.0%</w:t>
            </w:r>
          </w:p>
        </w:tc>
      </w:tr>
      <w:tr w:rsidR="00B545DE" w:rsidRPr="00D04BF9" w14:paraId="6C1B41D0"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4D8CF36A" w14:textId="33D871F5" w:rsidR="00B545DE" w:rsidRPr="00D04BF9" w:rsidRDefault="00B545DE" w:rsidP="00B545DE">
            <w:pPr>
              <w:ind w:firstLineChars="200" w:firstLine="400"/>
              <w:rPr>
                <w:color w:val="000000"/>
                <w:sz w:val="20"/>
                <w:szCs w:val="20"/>
                <w:lang w:eastAsia="es-GT"/>
              </w:rPr>
            </w:pPr>
            <w:r w:rsidRPr="00D04BF9">
              <w:rPr>
                <w:color w:val="000000"/>
                <w:sz w:val="20"/>
                <w:szCs w:val="20"/>
                <w:lang w:eastAsia="es-GT"/>
              </w:rPr>
              <w:t xml:space="preserve">Disminución de la </w:t>
            </w:r>
            <w:r w:rsidR="007555FF">
              <w:rPr>
                <w:color w:val="000000"/>
                <w:sz w:val="20"/>
                <w:szCs w:val="20"/>
                <w:lang w:eastAsia="es-GT"/>
              </w:rPr>
              <w:t>I</w:t>
            </w:r>
            <w:r w:rsidRPr="00D04BF9">
              <w:rPr>
                <w:color w:val="000000"/>
                <w:sz w:val="20"/>
                <w:szCs w:val="20"/>
                <w:lang w:eastAsia="es-GT"/>
              </w:rPr>
              <w:t xml:space="preserve">nversión </w:t>
            </w:r>
            <w:r w:rsidR="007555FF">
              <w:rPr>
                <w:color w:val="000000"/>
                <w:sz w:val="20"/>
                <w:szCs w:val="20"/>
                <w:lang w:eastAsia="es-GT"/>
              </w:rPr>
              <w:t>F</w:t>
            </w:r>
            <w:r w:rsidRPr="00D04BF9">
              <w:rPr>
                <w:color w:val="000000"/>
                <w:sz w:val="20"/>
                <w:szCs w:val="20"/>
                <w:lang w:eastAsia="es-GT"/>
              </w:rPr>
              <w:t>inanciera</w:t>
            </w:r>
          </w:p>
        </w:tc>
        <w:tc>
          <w:tcPr>
            <w:tcW w:w="1418" w:type="dxa"/>
            <w:tcBorders>
              <w:top w:val="nil"/>
              <w:left w:val="single" w:sz="8" w:space="0" w:color="auto"/>
              <w:bottom w:val="nil"/>
              <w:right w:val="nil"/>
            </w:tcBorders>
            <w:shd w:val="clear" w:color="auto" w:fill="auto"/>
            <w:noWrap/>
            <w:vAlign w:val="center"/>
            <w:hideMark/>
          </w:tcPr>
          <w:p w14:paraId="3362F689" w14:textId="77777777" w:rsidR="00B545DE" w:rsidRPr="00D04BF9" w:rsidRDefault="00B545DE" w:rsidP="00B545DE">
            <w:pPr>
              <w:jc w:val="right"/>
              <w:rPr>
                <w:color w:val="000000"/>
                <w:sz w:val="18"/>
                <w:szCs w:val="18"/>
                <w:lang w:eastAsia="es-GT"/>
              </w:rPr>
            </w:pPr>
            <w:r w:rsidRPr="0006756C">
              <w:rPr>
                <w:color w:val="000000"/>
                <w:sz w:val="18"/>
                <w:szCs w:val="18"/>
                <w:lang w:eastAsia="es-GT"/>
              </w:rPr>
              <w:t>189.4</w:t>
            </w:r>
          </w:p>
        </w:tc>
        <w:tc>
          <w:tcPr>
            <w:tcW w:w="1417" w:type="dxa"/>
            <w:tcBorders>
              <w:top w:val="nil"/>
              <w:left w:val="nil"/>
              <w:bottom w:val="nil"/>
              <w:right w:val="nil"/>
            </w:tcBorders>
            <w:shd w:val="clear" w:color="auto" w:fill="auto"/>
            <w:noWrap/>
            <w:vAlign w:val="center"/>
            <w:hideMark/>
          </w:tcPr>
          <w:p w14:paraId="7698B51E" w14:textId="77777777" w:rsidR="00B545DE" w:rsidRPr="00D04BF9" w:rsidRDefault="00B545DE" w:rsidP="00B545DE">
            <w:pPr>
              <w:jc w:val="right"/>
              <w:rPr>
                <w:color w:val="000000"/>
                <w:sz w:val="18"/>
                <w:szCs w:val="18"/>
                <w:lang w:eastAsia="es-GT"/>
              </w:rPr>
            </w:pPr>
            <w:r w:rsidRPr="0006756C">
              <w:rPr>
                <w:color w:val="000000"/>
                <w:sz w:val="18"/>
                <w:szCs w:val="18"/>
                <w:lang w:eastAsia="es-GT"/>
              </w:rPr>
              <w:t>0.0</w:t>
            </w:r>
          </w:p>
        </w:tc>
        <w:tc>
          <w:tcPr>
            <w:tcW w:w="992" w:type="dxa"/>
            <w:tcBorders>
              <w:top w:val="nil"/>
              <w:left w:val="nil"/>
              <w:bottom w:val="nil"/>
              <w:right w:val="single" w:sz="8" w:space="0" w:color="auto"/>
            </w:tcBorders>
            <w:shd w:val="clear" w:color="auto" w:fill="auto"/>
            <w:noWrap/>
            <w:vAlign w:val="center"/>
            <w:hideMark/>
          </w:tcPr>
          <w:p w14:paraId="5B692773" w14:textId="77777777" w:rsidR="00B545DE" w:rsidRPr="00D04BF9" w:rsidRDefault="00B545DE" w:rsidP="00B545DE">
            <w:pPr>
              <w:jc w:val="center"/>
              <w:rPr>
                <w:color w:val="000000"/>
                <w:sz w:val="18"/>
                <w:szCs w:val="18"/>
                <w:lang w:eastAsia="es-GT"/>
              </w:rPr>
            </w:pPr>
            <w:r w:rsidRPr="0006756C">
              <w:rPr>
                <w:color w:val="000000"/>
                <w:sz w:val="18"/>
                <w:szCs w:val="18"/>
                <w:lang w:eastAsia="es-GT"/>
              </w:rPr>
              <w:t>0.0%</w:t>
            </w:r>
          </w:p>
        </w:tc>
      </w:tr>
      <w:tr w:rsidR="00B545DE" w:rsidRPr="00D04BF9" w14:paraId="7AB20813" w14:textId="77777777" w:rsidTr="007555FF">
        <w:trPr>
          <w:trHeight w:val="65"/>
          <w:jc w:val="center"/>
        </w:trPr>
        <w:tc>
          <w:tcPr>
            <w:tcW w:w="5245" w:type="dxa"/>
            <w:tcBorders>
              <w:top w:val="nil"/>
              <w:left w:val="single" w:sz="8" w:space="0" w:color="auto"/>
              <w:bottom w:val="nil"/>
              <w:right w:val="nil"/>
            </w:tcBorders>
            <w:shd w:val="clear" w:color="auto" w:fill="auto"/>
            <w:noWrap/>
            <w:vAlign w:val="center"/>
            <w:hideMark/>
          </w:tcPr>
          <w:p w14:paraId="6CB8BD00" w14:textId="3405AB36" w:rsidR="00B545DE" w:rsidRPr="00D04BF9" w:rsidRDefault="00B545DE" w:rsidP="00B545DE">
            <w:pPr>
              <w:ind w:firstLineChars="100" w:firstLine="201"/>
              <w:rPr>
                <w:b/>
                <w:bCs/>
                <w:color w:val="000000"/>
                <w:sz w:val="20"/>
                <w:szCs w:val="20"/>
                <w:lang w:eastAsia="es-GT"/>
              </w:rPr>
            </w:pPr>
            <w:r w:rsidRPr="00D04BF9">
              <w:rPr>
                <w:b/>
                <w:bCs/>
                <w:color w:val="000000"/>
                <w:sz w:val="20"/>
                <w:szCs w:val="20"/>
                <w:lang w:eastAsia="es-GT"/>
              </w:rPr>
              <w:t xml:space="preserve">Endeudamiento </w:t>
            </w:r>
            <w:r w:rsidR="007555FF">
              <w:rPr>
                <w:b/>
                <w:bCs/>
                <w:color w:val="000000"/>
                <w:sz w:val="20"/>
                <w:szCs w:val="20"/>
                <w:lang w:eastAsia="es-GT"/>
              </w:rPr>
              <w:t>P</w:t>
            </w:r>
            <w:r w:rsidRPr="00D04BF9">
              <w:rPr>
                <w:b/>
                <w:bCs/>
                <w:color w:val="000000"/>
                <w:sz w:val="20"/>
                <w:szCs w:val="20"/>
                <w:lang w:eastAsia="es-GT"/>
              </w:rPr>
              <w:t xml:space="preserve">úblico e </w:t>
            </w:r>
            <w:r w:rsidR="007555FF">
              <w:rPr>
                <w:b/>
                <w:bCs/>
                <w:color w:val="000000"/>
                <w:sz w:val="20"/>
                <w:szCs w:val="20"/>
                <w:lang w:eastAsia="es-GT"/>
              </w:rPr>
              <w:t>I</w:t>
            </w:r>
            <w:r w:rsidRPr="00D04BF9">
              <w:rPr>
                <w:b/>
                <w:bCs/>
                <w:color w:val="000000"/>
                <w:sz w:val="20"/>
                <w:szCs w:val="20"/>
                <w:lang w:eastAsia="es-GT"/>
              </w:rPr>
              <w:t xml:space="preserve">ncremento de </w:t>
            </w:r>
            <w:r w:rsidR="007555FF">
              <w:rPr>
                <w:b/>
                <w:bCs/>
                <w:color w:val="000000"/>
                <w:sz w:val="20"/>
                <w:szCs w:val="20"/>
                <w:lang w:eastAsia="es-GT"/>
              </w:rPr>
              <w:t>O</w:t>
            </w:r>
            <w:r w:rsidRPr="00D04BF9">
              <w:rPr>
                <w:b/>
                <w:bCs/>
                <w:color w:val="000000"/>
                <w:sz w:val="20"/>
                <w:szCs w:val="20"/>
                <w:lang w:eastAsia="es-GT"/>
              </w:rPr>
              <w:t xml:space="preserve">tros </w:t>
            </w:r>
            <w:r w:rsidR="007555FF">
              <w:rPr>
                <w:b/>
                <w:bCs/>
                <w:color w:val="000000"/>
                <w:sz w:val="20"/>
                <w:szCs w:val="20"/>
                <w:lang w:eastAsia="es-GT"/>
              </w:rPr>
              <w:t>P</w:t>
            </w:r>
            <w:r w:rsidRPr="00D04BF9">
              <w:rPr>
                <w:b/>
                <w:bCs/>
                <w:color w:val="000000"/>
                <w:sz w:val="20"/>
                <w:szCs w:val="20"/>
                <w:lang w:eastAsia="es-GT"/>
              </w:rPr>
              <w:t>asivos</w:t>
            </w:r>
          </w:p>
        </w:tc>
        <w:tc>
          <w:tcPr>
            <w:tcW w:w="1418" w:type="dxa"/>
            <w:tcBorders>
              <w:top w:val="nil"/>
              <w:left w:val="single" w:sz="8" w:space="0" w:color="auto"/>
              <w:bottom w:val="nil"/>
              <w:right w:val="nil"/>
            </w:tcBorders>
            <w:shd w:val="clear" w:color="auto" w:fill="auto"/>
            <w:noWrap/>
            <w:vAlign w:val="center"/>
            <w:hideMark/>
          </w:tcPr>
          <w:p w14:paraId="06378D55"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10.2</w:t>
            </w:r>
          </w:p>
        </w:tc>
        <w:tc>
          <w:tcPr>
            <w:tcW w:w="1417" w:type="dxa"/>
            <w:tcBorders>
              <w:top w:val="nil"/>
              <w:left w:val="nil"/>
              <w:bottom w:val="nil"/>
              <w:right w:val="nil"/>
            </w:tcBorders>
            <w:shd w:val="clear" w:color="auto" w:fill="auto"/>
            <w:noWrap/>
            <w:vAlign w:val="center"/>
            <w:hideMark/>
          </w:tcPr>
          <w:p w14:paraId="1C35B1C0"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5.6</w:t>
            </w:r>
          </w:p>
        </w:tc>
        <w:tc>
          <w:tcPr>
            <w:tcW w:w="992" w:type="dxa"/>
            <w:tcBorders>
              <w:top w:val="nil"/>
              <w:left w:val="nil"/>
              <w:bottom w:val="nil"/>
              <w:right w:val="single" w:sz="8" w:space="0" w:color="auto"/>
            </w:tcBorders>
            <w:shd w:val="clear" w:color="auto" w:fill="auto"/>
            <w:noWrap/>
            <w:vAlign w:val="center"/>
            <w:hideMark/>
          </w:tcPr>
          <w:p w14:paraId="52F0CB3F"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55.2%</w:t>
            </w:r>
          </w:p>
        </w:tc>
      </w:tr>
      <w:tr w:rsidR="00B545DE" w:rsidRPr="00D04BF9" w14:paraId="50F5CE42" w14:textId="77777777" w:rsidTr="007555FF">
        <w:trPr>
          <w:trHeight w:val="69"/>
          <w:jc w:val="center"/>
        </w:trPr>
        <w:tc>
          <w:tcPr>
            <w:tcW w:w="5245" w:type="dxa"/>
            <w:tcBorders>
              <w:top w:val="nil"/>
              <w:left w:val="single" w:sz="8" w:space="0" w:color="auto"/>
              <w:bottom w:val="single" w:sz="8" w:space="0" w:color="auto"/>
              <w:right w:val="nil"/>
            </w:tcBorders>
            <w:shd w:val="clear" w:color="auto" w:fill="auto"/>
            <w:noWrap/>
            <w:vAlign w:val="center"/>
            <w:hideMark/>
          </w:tcPr>
          <w:p w14:paraId="1AECB917" w14:textId="448E17DC" w:rsidR="00B545DE" w:rsidRPr="00D04BF9" w:rsidRDefault="00B545DE" w:rsidP="00B545DE">
            <w:pPr>
              <w:ind w:firstLineChars="100" w:firstLine="201"/>
              <w:rPr>
                <w:b/>
                <w:bCs/>
                <w:color w:val="000000"/>
                <w:sz w:val="20"/>
                <w:szCs w:val="20"/>
                <w:lang w:eastAsia="es-GT"/>
              </w:rPr>
            </w:pPr>
            <w:r w:rsidRPr="00D04BF9">
              <w:rPr>
                <w:b/>
                <w:bCs/>
                <w:color w:val="000000"/>
                <w:sz w:val="20"/>
                <w:szCs w:val="20"/>
                <w:lang w:eastAsia="es-GT"/>
              </w:rPr>
              <w:t xml:space="preserve">Variación de </w:t>
            </w:r>
            <w:r w:rsidR="007555FF">
              <w:rPr>
                <w:b/>
                <w:bCs/>
                <w:color w:val="000000"/>
                <w:sz w:val="20"/>
                <w:szCs w:val="20"/>
                <w:lang w:eastAsia="es-GT"/>
              </w:rPr>
              <w:t>C</w:t>
            </w:r>
            <w:r w:rsidRPr="00D04BF9">
              <w:rPr>
                <w:b/>
                <w:bCs/>
                <w:color w:val="000000"/>
                <w:sz w:val="20"/>
                <w:szCs w:val="20"/>
                <w:lang w:eastAsia="es-GT"/>
              </w:rPr>
              <w:t xml:space="preserve">aja (+) </w:t>
            </w:r>
            <w:r w:rsidR="007555FF">
              <w:rPr>
                <w:b/>
                <w:bCs/>
                <w:color w:val="000000"/>
                <w:sz w:val="20"/>
                <w:szCs w:val="20"/>
                <w:lang w:eastAsia="es-GT"/>
              </w:rPr>
              <w:t>D</w:t>
            </w:r>
            <w:r w:rsidRPr="00D04BF9">
              <w:rPr>
                <w:b/>
                <w:bCs/>
                <w:color w:val="000000"/>
                <w:sz w:val="20"/>
                <w:szCs w:val="20"/>
                <w:lang w:eastAsia="es-GT"/>
              </w:rPr>
              <w:t xml:space="preserve">isminución (-) </w:t>
            </w:r>
            <w:r w:rsidR="007555FF">
              <w:rPr>
                <w:b/>
                <w:bCs/>
                <w:color w:val="000000"/>
                <w:sz w:val="20"/>
                <w:szCs w:val="20"/>
                <w:lang w:eastAsia="es-GT"/>
              </w:rPr>
              <w:t>A</w:t>
            </w:r>
            <w:r w:rsidRPr="00D04BF9">
              <w:rPr>
                <w:b/>
                <w:bCs/>
                <w:color w:val="000000"/>
                <w:sz w:val="20"/>
                <w:szCs w:val="20"/>
                <w:lang w:eastAsia="es-GT"/>
              </w:rPr>
              <w:t>umento</w:t>
            </w:r>
          </w:p>
        </w:tc>
        <w:tc>
          <w:tcPr>
            <w:tcW w:w="1418" w:type="dxa"/>
            <w:tcBorders>
              <w:top w:val="nil"/>
              <w:left w:val="single" w:sz="8" w:space="0" w:color="auto"/>
              <w:bottom w:val="single" w:sz="8" w:space="0" w:color="auto"/>
              <w:right w:val="nil"/>
            </w:tcBorders>
            <w:shd w:val="clear" w:color="auto" w:fill="auto"/>
            <w:noWrap/>
            <w:vAlign w:val="center"/>
            <w:hideMark/>
          </w:tcPr>
          <w:p w14:paraId="06856852"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2,385.0</w:t>
            </w:r>
          </w:p>
        </w:tc>
        <w:tc>
          <w:tcPr>
            <w:tcW w:w="1417" w:type="dxa"/>
            <w:tcBorders>
              <w:top w:val="nil"/>
              <w:left w:val="nil"/>
              <w:bottom w:val="single" w:sz="8" w:space="0" w:color="auto"/>
              <w:right w:val="nil"/>
            </w:tcBorders>
            <w:shd w:val="clear" w:color="auto" w:fill="auto"/>
            <w:noWrap/>
            <w:vAlign w:val="center"/>
            <w:hideMark/>
          </w:tcPr>
          <w:p w14:paraId="46FFD7C6" w14:textId="77777777" w:rsidR="00B545DE" w:rsidRPr="00D04BF9" w:rsidRDefault="00B545DE" w:rsidP="00B545DE">
            <w:pPr>
              <w:jc w:val="right"/>
              <w:rPr>
                <w:b/>
                <w:bCs/>
                <w:color w:val="000000"/>
                <w:sz w:val="18"/>
                <w:szCs w:val="18"/>
                <w:lang w:eastAsia="es-GT"/>
              </w:rPr>
            </w:pPr>
            <w:r w:rsidRPr="0006756C">
              <w:rPr>
                <w:b/>
                <w:bCs/>
                <w:color w:val="000000"/>
                <w:sz w:val="18"/>
                <w:szCs w:val="18"/>
                <w:lang w:eastAsia="es-GT"/>
              </w:rPr>
              <w:t>-3,479.8</w:t>
            </w:r>
          </w:p>
        </w:tc>
        <w:tc>
          <w:tcPr>
            <w:tcW w:w="992" w:type="dxa"/>
            <w:tcBorders>
              <w:top w:val="nil"/>
              <w:left w:val="nil"/>
              <w:bottom w:val="single" w:sz="8" w:space="0" w:color="auto"/>
              <w:right w:val="single" w:sz="8" w:space="0" w:color="auto"/>
            </w:tcBorders>
            <w:shd w:val="clear" w:color="auto" w:fill="auto"/>
            <w:noWrap/>
            <w:vAlign w:val="center"/>
            <w:hideMark/>
          </w:tcPr>
          <w:p w14:paraId="6005936E" w14:textId="77777777" w:rsidR="00B545DE" w:rsidRPr="00D04BF9" w:rsidRDefault="00B545DE" w:rsidP="00B545DE">
            <w:pPr>
              <w:jc w:val="center"/>
              <w:rPr>
                <w:b/>
                <w:bCs/>
                <w:color w:val="000000"/>
                <w:sz w:val="18"/>
                <w:szCs w:val="18"/>
                <w:lang w:eastAsia="es-GT"/>
              </w:rPr>
            </w:pPr>
            <w:r w:rsidRPr="0006756C">
              <w:rPr>
                <w:b/>
                <w:bCs/>
                <w:color w:val="000000"/>
                <w:sz w:val="18"/>
                <w:szCs w:val="18"/>
                <w:lang w:eastAsia="es-GT"/>
              </w:rPr>
              <w:t>-145.9%</w:t>
            </w:r>
          </w:p>
        </w:tc>
      </w:tr>
    </w:tbl>
    <w:p w14:paraId="00F69804" w14:textId="6816C40D" w:rsidR="00B545DE" w:rsidRPr="007555FF" w:rsidRDefault="00B545DE" w:rsidP="007555FF">
      <w:pPr>
        <w:autoSpaceDE w:val="0"/>
        <w:autoSpaceDN w:val="0"/>
        <w:adjustRightInd w:val="0"/>
        <w:jc w:val="both"/>
        <w:rPr>
          <w:sz w:val="18"/>
        </w:rPr>
      </w:pPr>
      <w:r w:rsidRPr="007555FF">
        <w:rPr>
          <w:sz w:val="18"/>
        </w:rPr>
        <w:t>Fuente: SICOIN</w:t>
      </w:r>
      <w:r w:rsidR="007555FF">
        <w:rPr>
          <w:sz w:val="18"/>
        </w:rPr>
        <w:t xml:space="preserve"> de entidades descentralizadas.</w:t>
      </w:r>
    </w:p>
    <w:p w14:paraId="0F32835C" w14:textId="77777777" w:rsidR="00B545DE" w:rsidRDefault="00B545DE" w:rsidP="00B545DE">
      <w:pPr>
        <w:autoSpaceDE w:val="0"/>
        <w:autoSpaceDN w:val="0"/>
        <w:adjustRightInd w:val="0"/>
        <w:jc w:val="both"/>
        <w:rPr>
          <w:sz w:val="16"/>
        </w:rPr>
      </w:pPr>
    </w:p>
    <w:p w14:paraId="1FE612DA" w14:textId="0E993323" w:rsidR="00B545DE" w:rsidRDefault="00B545DE" w:rsidP="00B545DE">
      <w:pPr>
        <w:autoSpaceDE w:val="0"/>
        <w:autoSpaceDN w:val="0"/>
        <w:adjustRightInd w:val="0"/>
        <w:jc w:val="both"/>
        <w:rPr>
          <w:sz w:val="16"/>
        </w:rPr>
      </w:pPr>
    </w:p>
    <w:p w14:paraId="264B8495" w14:textId="3A2A0AD1" w:rsidR="00533929" w:rsidRDefault="00533929" w:rsidP="00B545DE">
      <w:pPr>
        <w:autoSpaceDE w:val="0"/>
        <w:autoSpaceDN w:val="0"/>
        <w:adjustRightInd w:val="0"/>
        <w:jc w:val="both"/>
        <w:rPr>
          <w:sz w:val="16"/>
        </w:rPr>
      </w:pPr>
    </w:p>
    <w:p w14:paraId="79EDC0B9" w14:textId="77777777" w:rsidR="00533929" w:rsidRDefault="00533929" w:rsidP="00B545DE">
      <w:pPr>
        <w:autoSpaceDE w:val="0"/>
        <w:autoSpaceDN w:val="0"/>
        <w:adjustRightInd w:val="0"/>
        <w:jc w:val="both"/>
        <w:rPr>
          <w:sz w:val="16"/>
        </w:rPr>
      </w:pPr>
    </w:p>
    <w:p w14:paraId="586DFD8A" w14:textId="2A793F49" w:rsidR="00B545DE" w:rsidRDefault="00B545DE" w:rsidP="00B545DE">
      <w:pPr>
        <w:jc w:val="both"/>
      </w:pPr>
      <w:r>
        <w:t>Los ingresos de las municipalidades a junio de 2023</w:t>
      </w:r>
      <w:r w:rsidR="00C40018">
        <w:t>,</w:t>
      </w:r>
      <w:r>
        <w:t xml:space="preserve"> se sitúan en </w:t>
      </w:r>
      <w:r w:rsidR="00C40018">
        <w:t>.</w:t>
      </w:r>
      <w:r>
        <w:t>Q9,151.1 millones, con una ejecución presupuestaria del 45.2% sobre su presupuesto vigente de Q</w:t>
      </w:r>
      <w:r w:rsidR="00C40018">
        <w:t>.</w:t>
      </w:r>
      <w:r>
        <w:t>20,229.1 millones. Su principal fuente de ingreso</w:t>
      </w:r>
      <w:r w:rsidR="00C40018">
        <w:t>s</w:t>
      </w:r>
      <w:r>
        <w:t xml:space="preserve"> han sido las transferencias de capital que ascienden a Q</w:t>
      </w:r>
      <w:r w:rsidR="00C40018">
        <w:t>.</w:t>
      </w:r>
      <w:r>
        <w:t>5,536.8 millones, siendo el 43.7% del presupuesto vigente para esta cuenta económica y cabe mencionar que dentro de esta categoría las más significativa proviene de las donaciones otorgadas por la administración central por Q</w:t>
      </w:r>
      <w:r w:rsidR="005501FF">
        <w:t>.</w:t>
      </w:r>
      <w:r>
        <w:t>4,135.2 millones, con una grado de ejecución presupuestaria del 48.4% y de las entidades descentralizadas y autónomas no financieras por Q</w:t>
      </w:r>
      <w:r w:rsidR="005501FF">
        <w:t>.</w:t>
      </w:r>
      <w:r>
        <w:t xml:space="preserve">1,395.0 millones (este último es producto de la transferencia que realizan los </w:t>
      </w:r>
      <w:r w:rsidR="005501FF">
        <w:t>C</w:t>
      </w:r>
      <w:r>
        <w:t xml:space="preserve">onsejos de </w:t>
      </w:r>
      <w:r w:rsidR="005501FF">
        <w:t>D</w:t>
      </w:r>
      <w:r>
        <w:t>esarrollo a las municipalidades para la ejecución en obra pública) con una ejecución del 34.3%.</w:t>
      </w:r>
    </w:p>
    <w:p w14:paraId="0EA46C24" w14:textId="77777777" w:rsidR="00B545DE" w:rsidRPr="00533929" w:rsidRDefault="00B545DE" w:rsidP="00B545DE">
      <w:pPr>
        <w:jc w:val="both"/>
        <w:rPr>
          <w:sz w:val="32"/>
        </w:rPr>
      </w:pPr>
    </w:p>
    <w:p w14:paraId="54D56A82" w14:textId="2DFDDB18" w:rsidR="00B545DE" w:rsidRDefault="00B545DE" w:rsidP="00B545DE">
      <w:pPr>
        <w:jc w:val="both"/>
      </w:pPr>
      <w:r>
        <w:t xml:space="preserve">Su segunda fuente de ingreso más importante son los ingresos tributarios (incluye </w:t>
      </w:r>
      <w:r w:rsidR="005501FF">
        <w:t>e</w:t>
      </w:r>
      <w:r>
        <w:t>l Impuesto Único Sobre Bienes Inmuebles) que han mostrado una recaudación de Q</w:t>
      </w:r>
      <w:r w:rsidR="008E4E2A">
        <w:t>.</w:t>
      </w:r>
      <w:r w:rsidRPr="001B3D45">
        <w:t>1,023.6</w:t>
      </w:r>
      <w:r>
        <w:t xml:space="preserve"> millones y tienen un grado de ejecución presupuestaria del 49.0% en la primera mitad del año.</w:t>
      </w:r>
    </w:p>
    <w:p w14:paraId="1A63D75E" w14:textId="77777777" w:rsidR="00B545DE" w:rsidRPr="00533929" w:rsidRDefault="00B545DE" w:rsidP="00B545DE">
      <w:pPr>
        <w:jc w:val="both"/>
        <w:rPr>
          <w:sz w:val="32"/>
        </w:rPr>
      </w:pPr>
    </w:p>
    <w:p w14:paraId="0349F856" w14:textId="5B590F8A" w:rsidR="00B545DE" w:rsidRDefault="00B545DE" w:rsidP="00B545DE">
      <w:pPr>
        <w:jc w:val="both"/>
      </w:pPr>
      <w:r>
        <w:t>Le siguen los ingresos no tributarios</w:t>
      </w:r>
      <w:r w:rsidR="008E4E2A">
        <w:t>,</w:t>
      </w:r>
      <w:r>
        <w:t xml:space="preserve"> los cuales ascienden a Q</w:t>
      </w:r>
      <w:r w:rsidR="008E4E2A">
        <w:t>.</w:t>
      </w:r>
      <w:r w:rsidRPr="001B3D45">
        <w:t>998.</w:t>
      </w:r>
      <w:r>
        <w:t>7 millones con un grado de ejecución del 47.5%</w:t>
      </w:r>
      <w:r w:rsidR="008E4E2A">
        <w:t>,</w:t>
      </w:r>
      <w:r>
        <w:t xml:space="preserve"> y cabe mencionar que dentro de esta categoría la principal fuente proviene de las tasas y licencias varias (incluye a las tasas municipales por alumbrado público) con una ejecución a junio</w:t>
      </w:r>
      <w:r w:rsidR="008E4E2A">
        <w:t xml:space="preserve"> de 2023, </w:t>
      </w:r>
      <w:r>
        <w:t>de Q</w:t>
      </w:r>
      <w:r w:rsidR="008E4E2A">
        <w:t>.</w:t>
      </w:r>
      <w:r>
        <w:t>756.4 millones, siendo el 51.1% del presupuesto vigente. En cuanto a las transferencias corrientes estás ascienden a Q</w:t>
      </w:r>
      <w:r w:rsidR="008E4E2A">
        <w:t>.</w:t>
      </w:r>
      <w:r>
        <w:t>868.1 millones, mostrando un grado de ejecución del 50.2%, seguido de los ingresos por operaciones que ascienden a Q</w:t>
      </w:r>
      <w:r w:rsidR="008E4E2A">
        <w:t>.</w:t>
      </w:r>
      <w:r>
        <w:t>479.2</w:t>
      </w:r>
      <w:r w:rsidR="008E4E2A">
        <w:t xml:space="preserve"> millones,</w:t>
      </w:r>
      <w:r>
        <w:t xml:space="preserve"> siendo </w:t>
      </w:r>
      <w:r w:rsidR="008E4E2A">
        <w:t>é</w:t>
      </w:r>
      <w:r>
        <w:t>ste el 42.2% de sus ingresos vigentes para esta cuenta económica.</w:t>
      </w:r>
    </w:p>
    <w:p w14:paraId="47C89DC9" w14:textId="77777777" w:rsidR="00B545DE" w:rsidRPr="00533929" w:rsidRDefault="00B545DE" w:rsidP="00B545DE">
      <w:pPr>
        <w:jc w:val="both"/>
        <w:rPr>
          <w:sz w:val="32"/>
        </w:rPr>
      </w:pPr>
    </w:p>
    <w:p w14:paraId="7659F7BE" w14:textId="272D7922" w:rsidR="00B545DE" w:rsidRDefault="00B545DE" w:rsidP="00B545DE">
      <w:pPr>
        <w:jc w:val="both"/>
      </w:pPr>
      <w:r>
        <w:t>En cuanto a los gastos de las municipalidades, al finalizar el mes de junio ascienden a Q</w:t>
      </w:r>
      <w:r w:rsidR="008E4E2A">
        <w:t>.</w:t>
      </w:r>
      <w:r w:rsidRPr="00B15E48">
        <w:t>8,596.2</w:t>
      </w:r>
      <w:r>
        <w:t xml:space="preserve"> millones, sobre un presupuesto vigente de Q</w:t>
      </w:r>
      <w:r w:rsidR="008E4E2A">
        <w:t>.</w:t>
      </w:r>
      <w:r w:rsidRPr="00B15E48">
        <w:t>22,379.9</w:t>
      </w:r>
      <w:r>
        <w:t xml:space="preserve"> millones, con un grado de ejecución presupuestaria del 38.4%. Sus principales gastos se han realizado en los gastos de capital, los cuales ascienden a Q</w:t>
      </w:r>
      <w:r w:rsidR="008E4E2A">
        <w:t>.</w:t>
      </w:r>
      <w:r w:rsidRPr="00B15E48">
        <w:t>5,902.70</w:t>
      </w:r>
      <w:r>
        <w:t xml:space="preserve"> millones, teniendo una ejecución presupuestaria del 36.6%, de los cuales la inversión real directa representa Q</w:t>
      </w:r>
      <w:r w:rsidR="008E4E2A">
        <w:t>.</w:t>
      </w:r>
      <w:r w:rsidRPr="00382F9B">
        <w:t>5,722.</w:t>
      </w:r>
      <w:r>
        <w:t>2 millones.</w:t>
      </w:r>
    </w:p>
    <w:p w14:paraId="74822F0E" w14:textId="77777777" w:rsidR="00B545DE" w:rsidRPr="00533929" w:rsidRDefault="00B545DE" w:rsidP="00B545DE">
      <w:pPr>
        <w:jc w:val="both"/>
        <w:rPr>
          <w:sz w:val="32"/>
        </w:rPr>
      </w:pPr>
    </w:p>
    <w:p w14:paraId="41540FD1" w14:textId="1490B4B6" w:rsidR="00B545DE" w:rsidRDefault="00B545DE" w:rsidP="00B545DE">
      <w:pPr>
        <w:jc w:val="both"/>
      </w:pPr>
      <w:r>
        <w:t>El segundo componente de gasto más significativo ha sido el gasto de consumo que asciende a Q</w:t>
      </w:r>
      <w:r w:rsidR="008E4E2A">
        <w:t>.</w:t>
      </w:r>
      <w:r w:rsidRPr="00B15E48">
        <w:t>2,526.</w:t>
      </w:r>
      <w:r w:rsidR="008E4E2A">
        <w:t>1</w:t>
      </w:r>
      <w:r>
        <w:t xml:space="preserve"> millones teniendo un grado de ejecución presupuestaria del 42.9%. Dentro de esta cuenta, los gastos más sobresalientes son el pago de remuneraciones que asciende a Q</w:t>
      </w:r>
      <w:r w:rsidR="008E4E2A">
        <w:t>.</w:t>
      </w:r>
      <w:r w:rsidRPr="000F2245">
        <w:t>1,448.3</w:t>
      </w:r>
      <w:r>
        <w:t xml:space="preserve"> millones, y la compra de bienes y servicios por Q</w:t>
      </w:r>
      <w:r w:rsidR="008E4E2A">
        <w:t>.</w:t>
      </w:r>
      <w:r w:rsidRPr="000F2245">
        <w:t>1,073.9</w:t>
      </w:r>
      <w:r>
        <w:t xml:space="preserve"> millones.</w:t>
      </w:r>
    </w:p>
    <w:p w14:paraId="50EF95C6" w14:textId="77777777" w:rsidR="00B545DE" w:rsidRPr="00533929" w:rsidRDefault="00B545DE" w:rsidP="00B545DE">
      <w:pPr>
        <w:jc w:val="both"/>
        <w:rPr>
          <w:sz w:val="32"/>
        </w:rPr>
      </w:pPr>
    </w:p>
    <w:p w14:paraId="1251A666" w14:textId="439D7EFD" w:rsidR="00B545DE" w:rsidRDefault="00B545DE" w:rsidP="00B545DE">
      <w:pPr>
        <w:jc w:val="both"/>
      </w:pPr>
      <w:r>
        <w:t>A</w:t>
      </w:r>
      <w:r w:rsidR="008E4E2A">
        <w:t xml:space="preserve">l 30 de </w:t>
      </w:r>
      <w:r>
        <w:t xml:space="preserve"> junio de 2023, las municipalidades presentan un resultado presupuestal superavitario que asciende a Q</w:t>
      </w:r>
      <w:r w:rsidR="008E4E2A">
        <w:t>.</w:t>
      </w:r>
      <w:r w:rsidRPr="000F2245">
        <w:t>554.8</w:t>
      </w:r>
      <w:r>
        <w:t xml:space="preserve"> millones y cabe mencionar que a nivel de presupuesto vigente se tiene contemplado un déficit de Q</w:t>
      </w:r>
      <w:r w:rsidRPr="00382F9B">
        <w:t>2,150.82</w:t>
      </w:r>
      <w:r>
        <w:t xml:space="preserve"> millones.</w:t>
      </w:r>
    </w:p>
    <w:p w14:paraId="616945E2" w14:textId="31078061" w:rsidR="00B545DE" w:rsidRDefault="00B545DE" w:rsidP="00B545DE">
      <w:pPr>
        <w:autoSpaceDE w:val="0"/>
        <w:autoSpaceDN w:val="0"/>
        <w:adjustRightInd w:val="0"/>
        <w:jc w:val="both"/>
        <w:rPr>
          <w:sz w:val="16"/>
        </w:rPr>
      </w:pPr>
    </w:p>
    <w:p w14:paraId="07D4D6CB" w14:textId="0B40DD27" w:rsidR="00533929" w:rsidRDefault="00533929" w:rsidP="00B545DE">
      <w:pPr>
        <w:autoSpaceDE w:val="0"/>
        <w:autoSpaceDN w:val="0"/>
        <w:adjustRightInd w:val="0"/>
        <w:jc w:val="both"/>
        <w:rPr>
          <w:sz w:val="16"/>
        </w:rPr>
      </w:pPr>
    </w:p>
    <w:p w14:paraId="5270C582" w14:textId="4B55E9BD" w:rsidR="00533929" w:rsidRDefault="00533929" w:rsidP="00B545DE">
      <w:pPr>
        <w:autoSpaceDE w:val="0"/>
        <w:autoSpaceDN w:val="0"/>
        <w:adjustRightInd w:val="0"/>
        <w:jc w:val="both"/>
        <w:rPr>
          <w:sz w:val="16"/>
        </w:rPr>
      </w:pPr>
    </w:p>
    <w:p w14:paraId="39F4C583" w14:textId="7E4A01DC" w:rsidR="00533929" w:rsidRDefault="00533929" w:rsidP="00B545DE">
      <w:pPr>
        <w:autoSpaceDE w:val="0"/>
        <w:autoSpaceDN w:val="0"/>
        <w:adjustRightInd w:val="0"/>
        <w:jc w:val="both"/>
        <w:rPr>
          <w:sz w:val="16"/>
        </w:rPr>
      </w:pPr>
    </w:p>
    <w:p w14:paraId="78365BDD" w14:textId="586F32BB" w:rsidR="00533929" w:rsidRDefault="00533929" w:rsidP="00B545DE">
      <w:pPr>
        <w:autoSpaceDE w:val="0"/>
        <w:autoSpaceDN w:val="0"/>
        <w:adjustRightInd w:val="0"/>
        <w:jc w:val="both"/>
        <w:rPr>
          <w:sz w:val="16"/>
        </w:rPr>
      </w:pPr>
    </w:p>
    <w:p w14:paraId="3CFA1D1B" w14:textId="623B613C" w:rsidR="00533929" w:rsidRDefault="00533929" w:rsidP="00B545DE">
      <w:pPr>
        <w:autoSpaceDE w:val="0"/>
        <w:autoSpaceDN w:val="0"/>
        <w:adjustRightInd w:val="0"/>
        <w:jc w:val="both"/>
        <w:rPr>
          <w:sz w:val="16"/>
        </w:rPr>
      </w:pPr>
    </w:p>
    <w:p w14:paraId="1B0E1F21" w14:textId="07CCF0C9" w:rsidR="00533929" w:rsidRDefault="00533929" w:rsidP="00B545DE">
      <w:pPr>
        <w:autoSpaceDE w:val="0"/>
        <w:autoSpaceDN w:val="0"/>
        <w:adjustRightInd w:val="0"/>
        <w:jc w:val="both"/>
        <w:rPr>
          <w:sz w:val="16"/>
        </w:rPr>
      </w:pPr>
    </w:p>
    <w:p w14:paraId="5C3E008C" w14:textId="51A7D72C" w:rsidR="00533929" w:rsidRDefault="00533929" w:rsidP="00B545DE">
      <w:pPr>
        <w:autoSpaceDE w:val="0"/>
        <w:autoSpaceDN w:val="0"/>
        <w:adjustRightInd w:val="0"/>
        <w:jc w:val="both"/>
        <w:rPr>
          <w:sz w:val="16"/>
        </w:rPr>
      </w:pPr>
    </w:p>
    <w:p w14:paraId="2EF6846F" w14:textId="42435ACF" w:rsidR="00533929" w:rsidRDefault="00533929" w:rsidP="00B545DE">
      <w:pPr>
        <w:autoSpaceDE w:val="0"/>
        <w:autoSpaceDN w:val="0"/>
        <w:adjustRightInd w:val="0"/>
        <w:jc w:val="both"/>
        <w:rPr>
          <w:sz w:val="16"/>
        </w:rPr>
      </w:pPr>
    </w:p>
    <w:p w14:paraId="2CFF91CA" w14:textId="6388BD02" w:rsidR="00533929" w:rsidRDefault="00533929" w:rsidP="00B545DE">
      <w:pPr>
        <w:autoSpaceDE w:val="0"/>
        <w:autoSpaceDN w:val="0"/>
        <w:adjustRightInd w:val="0"/>
        <w:jc w:val="both"/>
        <w:rPr>
          <w:sz w:val="16"/>
        </w:rPr>
      </w:pPr>
    </w:p>
    <w:p w14:paraId="0FC7F2A3" w14:textId="04B402D4" w:rsidR="00533929" w:rsidRDefault="00533929" w:rsidP="00B545DE">
      <w:pPr>
        <w:autoSpaceDE w:val="0"/>
        <w:autoSpaceDN w:val="0"/>
        <w:adjustRightInd w:val="0"/>
        <w:jc w:val="both"/>
        <w:rPr>
          <w:sz w:val="16"/>
        </w:rPr>
      </w:pPr>
    </w:p>
    <w:tbl>
      <w:tblPr>
        <w:tblW w:w="8923" w:type="dxa"/>
        <w:tblCellMar>
          <w:left w:w="70" w:type="dxa"/>
          <w:right w:w="70" w:type="dxa"/>
        </w:tblCellMar>
        <w:tblLook w:val="04A0" w:firstRow="1" w:lastRow="0" w:firstColumn="1" w:lastColumn="0" w:noHBand="0" w:noVBand="1"/>
      </w:tblPr>
      <w:tblGrid>
        <w:gridCol w:w="5245"/>
        <w:gridCol w:w="1418"/>
        <w:gridCol w:w="1275"/>
        <w:gridCol w:w="985"/>
      </w:tblGrid>
      <w:tr w:rsidR="00B545DE" w:rsidRPr="00032A94" w14:paraId="1BF0D470" w14:textId="77777777" w:rsidTr="00533929">
        <w:trPr>
          <w:trHeight w:val="74"/>
        </w:trPr>
        <w:tc>
          <w:tcPr>
            <w:tcW w:w="8923" w:type="dxa"/>
            <w:gridSpan w:val="4"/>
            <w:tcBorders>
              <w:top w:val="nil"/>
              <w:left w:val="nil"/>
              <w:bottom w:val="nil"/>
              <w:right w:val="nil"/>
            </w:tcBorders>
            <w:shd w:val="clear" w:color="auto" w:fill="auto"/>
            <w:vAlign w:val="bottom"/>
            <w:hideMark/>
          </w:tcPr>
          <w:p w14:paraId="77E414E7" w14:textId="3706BD83" w:rsidR="00BC0150" w:rsidRDefault="00BC0150" w:rsidP="00B545DE">
            <w:pPr>
              <w:jc w:val="center"/>
              <w:rPr>
                <w:b/>
                <w:bCs/>
                <w:color w:val="000000"/>
                <w:lang w:eastAsia="es-GT"/>
              </w:rPr>
            </w:pPr>
            <w:r>
              <w:rPr>
                <w:b/>
                <w:bCs/>
                <w:color w:val="000000"/>
                <w:lang w:eastAsia="es-GT"/>
              </w:rPr>
              <w:t>Cuadro 27</w:t>
            </w:r>
          </w:p>
          <w:p w14:paraId="1EAADD19" w14:textId="29FA06D0" w:rsidR="00B545DE" w:rsidRPr="00032A94" w:rsidRDefault="00B545DE" w:rsidP="00B545DE">
            <w:pPr>
              <w:jc w:val="center"/>
              <w:rPr>
                <w:b/>
                <w:bCs/>
                <w:color w:val="000000"/>
                <w:sz w:val="32"/>
                <w:szCs w:val="32"/>
                <w:lang w:eastAsia="es-GT"/>
              </w:rPr>
            </w:pPr>
            <w:r w:rsidRPr="00644F85">
              <w:rPr>
                <w:b/>
                <w:bCs/>
                <w:color w:val="000000"/>
                <w:lang w:eastAsia="es-GT"/>
              </w:rPr>
              <w:t xml:space="preserve">Situación </w:t>
            </w:r>
            <w:r w:rsidR="008E4E2A">
              <w:rPr>
                <w:b/>
                <w:bCs/>
                <w:color w:val="000000"/>
                <w:lang w:eastAsia="es-GT"/>
              </w:rPr>
              <w:t>F</w:t>
            </w:r>
            <w:r w:rsidRPr="00644F85">
              <w:rPr>
                <w:b/>
                <w:bCs/>
                <w:color w:val="000000"/>
                <w:lang w:eastAsia="es-GT"/>
              </w:rPr>
              <w:t xml:space="preserve">inanciera </w:t>
            </w:r>
            <w:r w:rsidR="008E4E2A">
              <w:rPr>
                <w:b/>
                <w:bCs/>
                <w:color w:val="000000"/>
                <w:lang w:eastAsia="es-GT"/>
              </w:rPr>
              <w:t>A</w:t>
            </w:r>
            <w:r w:rsidRPr="00644F85">
              <w:rPr>
                <w:b/>
                <w:bCs/>
                <w:color w:val="000000"/>
                <w:lang w:eastAsia="es-GT"/>
              </w:rPr>
              <w:t xml:space="preserve">gregada </w:t>
            </w:r>
            <w:r w:rsidRPr="00644F85">
              <w:rPr>
                <w:b/>
                <w:bCs/>
                <w:color w:val="000000"/>
                <w:vertAlign w:val="superscript"/>
                <w:lang w:eastAsia="es-GT"/>
              </w:rPr>
              <w:t>1/</w:t>
            </w:r>
            <w:r w:rsidRPr="00644F85">
              <w:rPr>
                <w:b/>
                <w:bCs/>
                <w:color w:val="000000"/>
                <w:lang w:eastAsia="es-GT"/>
              </w:rPr>
              <w:t xml:space="preserve"> de las Municipalidades</w:t>
            </w:r>
          </w:p>
        </w:tc>
      </w:tr>
      <w:tr w:rsidR="00B545DE" w:rsidRPr="00032A94" w14:paraId="3E52B6DA" w14:textId="77777777" w:rsidTr="00533929">
        <w:trPr>
          <w:trHeight w:val="74"/>
        </w:trPr>
        <w:tc>
          <w:tcPr>
            <w:tcW w:w="8923" w:type="dxa"/>
            <w:gridSpan w:val="4"/>
            <w:tcBorders>
              <w:top w:val="nil"/>
              <w:left w:val="nil"/>
              <w:bottom w:val="nil"/>
              <w:right w:val="nil"/>
            </w:tcBorders>
            <w:shd w:val="clear" w:color="auto" w:fill="auto"/>
            <w:noWrap/>
            <w:vAlign w:val="bottom"/>
            <w:hideMark/>
          </w:tcPr>
          <w:p w14:paraId="011283B0" w14:textId="77777777" w:rsidR="00B545DE" w:rsidRPr="008E4E2A" w:rsidRDefault="00B545DE" w:rsidP="00B545DE">
            <w:pPr>
              <w:jc w:val="center"/>
              <w:rPr>
                <w:b/>
                <w:color w:val="000000"/>
                <w:szCs w:val="22"/>
                <w:lang w:eastAsia="es-GT"/>
              </w:rPr>
            </w:pPr>
            <w:r w:rsidRPr="008E4E2A">
              <w:rPr>
                <w:b/>
                <w:color w:val="000000"/>
                <w:szCs w:val="22"/>
                <w:lang w:eastAsia="es-GT"/>
              </w:rPr>
              <w:t>Cifras a junio de 2023</w:t>
            </w:r>
          </w:p>
        </w:tc>
      </w:tr>
      <w:tr w:rsidR="00B545DE" w:rsidRPr="00032A94" w14:paraId="054B516B" w14:textId="77777777" w:rsidTr="00533929">
        <w:trPr>
          <w:trHeight w:val="74"/>
        </w:trPr>
        <w:tc>
          <w:tcPr>
            <w:tcW w:w="8923" w:type="dxa"/>
            <w:gridSpan w:val="4"/>
            <w:tcBorders>
              <w:top w:val="nil"/>
              <w:left w:val="nil"/>
              <w:bottom w:val="nil"/>
              <w:right w:val="nil"/>
            </w:tcBorders>
            <w:shd w:val="clear" w:color="auto" w:fill="auto"/>
            <w:noWrap/>
            <w:vAlign w:val="bottom"/>
            <w:hideMark/>
          </w:tcPr>
          <w:p w14:paraId="063DA0B7" w14:textId="7CE88AA0" w:rsidR="00B545DE" w:rsidRPr="008E4E2A" w:rsidRDefault="008E4E2A" w:rsidP="00B545DE">
            <w:pPr>
              <w:jc w:val="center"/>
              <w:rPr>
                <w:b/>
                <w:color w:val="000000"/>
                <w:szCs w:val="22"/>
                <w:lang w:eastAsia="es-GT"/>
              </w:rPr>
            </w:pPr>
            <w:r w:rsidRPr="008E4E2A">
              <w:rPr>
                <w:b/>
                <w:color w:val="000000"/>
                <w:szCs w:val="22"/>
                <w:lang w:eastAsia="es-GT"/>
              </w:rPr>
              <w:t>(</w:t>
            </w:r>
            <w:r w:rsidR="00B545DE" w:rsidRPr="008E4E2A">
              <w:rPr>
                <w:b/>
                <w:color w:val="000000"/>
                <w:szCs w:val="22"/>
                <w:lang w:eastAsia="es-GT"/>
              </w:rPr>
              <w:t xml:space="preserve">En </w:t>
            </w:r>
            <w:r w:rsidRPr="008E4E2A">
              <w:rPr>
                <w:b/>
                <w:color w:val="000000"/>
                <w:szCs w:val="22"/>
                <w:lang w:eastAsia="es-GT"/>
              </w:rPr>
              <w:t>M</w:t>
            </w:r>
            <w:r w:rsidR="00B545DE" w:rsidRPr="008E4E2A">
              <w:rPr>
                <w:b/>
                <w:color w:val="000000"/>
                <w:szCs w:val="22"/>
                <w:lang w:eastAsia="es-GT"/>
              </w:rPr>
              <w:t>illones de Quetzales</w:t>
            </w:r>
            <w:r w:rsidRPr="008E4E2A">
              <w:rPr>
                <w:b/>
                <w:color w:val="000000"/>
                <w:szCs w:val="22"/>
                <w:lang w:eastAsia="es-GT"/>
              </w:rPr>
              <w:t>)</w:t>
            </w:r>
          </w:p>
        </w:tc>
      </w:tr>
      <w:tr w:rsidR="008E4E2A" w:rsidRPr="008E4E2A" w14:paraId="03EADA90" w14:textId="77777777" w:rsidTr="00533929">
        <w:trPr>
          <w:trHeight w:val="553"/>
        </w:trPr>
        <w:tc>
          <w:tcPr>
            <w:tcW w:w="5245" w:type="dxa"/>
            <w:tcBorders>
              <w:top w:val="single" w:sz="8" w:space="0" w:color="auto"/>
              <w:left w:val="single" w:sz="8" w:space="0" w:color="auto"/>
              <w:bottom w:val="nil"/>
              <w:right w:val="nil"/>
            </w:tcBorders>
            <w:shd w:val="clear" w:color="auto" w:fill="00B0F0"/>
            <w:noWrap/>
            <w:vAlign w:val="center"/>
            <w:hideMark/>
          </w:tcPr>
          <w:p w14:paraId="3E9884EC" w14:textId="77777777" w:rsidR="00B545DE" w:rsidRPr="008E4E2A" w:rsidRDefault="00B545DE" w:rsidP="00B545DE">
            <w:pPr>
              <w:jc w:val="center"/>
              <w:rPr>
                <w:b/>
                <w:bCs/>
                <w:sz w:val="20"/>
                <w:szCs w:val="20"/>
                <w:lang w:eastAsia="es-GT"/>
              </w:rPr>
            </w:pPr>
            <w:r w:rsidRPr="008E4E2A">
              <w:rPr>
                <w:b/>
                <w:bCs/>
                <w:sz w:val="20"/>
                <w:szCs w:val="20"/>
                <w:lang w:eastAsia="es-GT"/>
              </w:rPr>
              <w:t>Concepto</w:t>
            </w:r>
          </w:p>
        </w:tc>
        <w:tc>
          <w:tcPr>
            <w:tcW w:w="1418" w:type="dxa"/>
            <w:tcBorders>
              <w:top w:val="single" w:sz="8" w:space="0" w:color="auto"/>
              <w:left w:val="single" w:sz="8" w:space="0" w:color="auto"/>
              <w:bottom w:val="nil"/>
              <w:right w:val="single" w:sz="8" w:space="0" w:color="auto"/>
            </w:tcBorders>
            <w:shd w:val="clear" w:color="auto" w:fill="00B0F0"/>
            <w:noWrap/>
            <w:vAlign w:val="center"/>
            <w:hideMark/>
          </w:tcPr>
          <w:p w14:paraId="7C3024AD" w14:textId="77777777" w:rsidR="00B545DE" w:rsidRPr="008E4E2A" w:rsidRDefault="00B545DE" w:rsidP="00B545DE">
            <w:pPr>
              <w:jc w:val="center"/>
              <w:rPr>
                <w:b/>
                <w:bCs/>
                <w:sz w:val="20"/>
                <w:szCs w:val="20"/>
                <w:lang w:eastAsia="es-GT"/>
              </w:rPr>
            </w:pPr>
            <w:r w:rsidRPr="008E4E2A">
              <w:rPr>
                <w:b/>
                <w:bCs/>
                <w:sz w:val="20"/>
                <w:szCs w:val="20"/>
                <w:lang w:eastAsia="es-GT"/>
              </w:rPr>
              <w:t>Vigente</w:t>
            </w:r>
          </w:p>
        </w:tc>
        <w:tc>
          <w:tcPr>
            <w:tcW w:w="1275" w:type="dxa"/>
            <w:tcBorders>
              <w:top w:val="single" w:sz="8" w:space="0" w:color="auto"/>
              <w:left w:val="single" w:sz="8" w:space="0" w:color="auto"/>
              <w:bottom w:val="nil"/>
              <w:right w:val="single" w:sz="8" w:space="0" w:color="auto"/>
            </w:tcBorders>
            <w:shd w:val="clear" w:color="auto" w:fill="00B0F0"/>
            <w:noWrap/>
            <w:vAlign w:val="center"/>
            <w:hideMark/>
          </w:tcPr>
          <w:p w14:paraId="5DFC03F8" w14:textId="77777777" w:rsidR="00B545DE" w:rsidRPr="008E4E2A" w:rsidRDefault="00B545DE" w:rsidP="00B545DE">
            <w:pPr>
              <w:jc w:val="center"/>
              <w:rPr>
                <w:b/>
                <w:bCs/>
                <w:sz w:val="20"/>
                <w:szCs w:val="20"/>
                <w:lang w:eastAsia="es-GT"/>
              </w:rPr>
            </w:pPr>
            <w:r w:rsidRPr="008E4E2A">
              <w:rPr>
                <w:b/>
                <w:bCs/>
                <w:sz w:val="20"/>
                <w:szCs w:val="20"/>
                <w:lang w:eastAsia="es-GT"/>
              </w:rPr>
              <w:t>Devengado</w:t>
            </w:r>
          </w:p>
        </w:tc>
        <w:tc>
          <w:tcPr>
            <w:tcW w:w="985" w:type="dxa"/>
            <w:tcBorders>
              <w:top w:val="single" w:sz="8" w:space="0" w:color="auto"/>
              <w:left w:val="single" w:sz="8" w:space="0" w:color="auto"/>
              <w:bottom w:val="nil"/>
              <w:right w:val="single" w:sz="8" w:space="0" w:color="auto"/>
            </w:tcBorders>
            <w:shd w:val="clear" w:color="auto" w:fill="00B0F0"/>
            <w:noWrap/>
            <w:vAlign w:val="center"/>
            <w:hideMark/>
          </w:tcPr>
          <w:p w14:paraId="28313C81" w14:textId="77777777" w:rsidR="00B545DE" w:rsidRPr="008E4E2A" w:rsidRDefault="00B545DE" w:rsidP="00B545DE">
            <w:pPr>
              <w:jc w:val="center"/>
              <w:rPr>
                <w:b/>
                <w:bCs/>
                <w:sz w:val="20"/>
                <w:szCs w:val="20"/>
                <w:lang w:eastAsia="es-GT"/>
              </w:rPr>
            </w:pPr>
            <w:r w:rsidRPr="008E4E2A">
              <w:rPr>
                <w:b/>
                <w:bCs/>
                <w:sz w:val="20"/>
                <w:szCs w:val="20"/>
                <w:lang w:eastAsia="es-GT"/>
              </w:rPr>
              <w:t>Ejecución</w:t>
            </w:r>
          </w:p>
        </w:tc>
      </w:tr>
      <w:tr w:rsidR="00B545DE" w:rsidRPr="00032A94" w14:paraId="54FC1EC8" w14:textId="77777777" w:rsidTr="00533929">
        <w:trPr>
          <w:trHeight w:val="254"/>
        </w:trPr>
        <w:tc>
          <w:tcPr>
            <w:tcW w:w="5245" w:type="dxa"/>
            <w:tcBorders>
              <w:top w:val="nil"/>
              <w:left w:val="single" w:sz="8" w:space="0" w:color="auto"/>
              <w:bottom w:val="single" w:sz="8" w:space="0" w:color="44B3E1"/>
              <w:right w:val="nil"/>
            </w:tcBorders>
            <w:shd w:val="clear" w:color="auto" w:fill="auto"/>
            <w:noWrap/>
            <w:vAlign w:val="center"/>
            <w:hideMark/>
          </w:tcPr>
          <w:p w14:paraId="63CF748B" w14:textId="77777777" w:rsidR="00B545DE" w:rsidRPr="008E4E2A" w:rsidRDefault="00B545DE" w:rsidP="00B545DE">
            <w:pPr>
              <w:rPr>
                <w:b/>
                <w:bCs/>
                <w:color w:val="000000"/>
                <w:sz w:val="20"/>
                <w:szCs w:val="20"/>
                <w:lang w:eastAsia="es-GT"/>
              </w:rPr>
            </w:pPr>
            <w:r w:rsidRPr="008E4E2A">
              <w:rPr>
                <w:b/>
                <w:bCs/>
                <w:color w:val="000000"/>
                <w:sz w:val="20"/>
                <w:szCs w:val="20"/>
                <w:lang w:eastAsia="es-GT"/>
              </w:rPr>
              <w:t>Ingresos</w:t>
            </w:r>
          </w:p>
        </w:tc>
        <w:tc>
          <w:tcPr>
            <w:tcW w:w="1418" w:type="dxa"/>
            <w:tcBorders>
              <w:top w:val="nil"/>
              <w:left w:val="single" w:sz="8" w:space="0" w:color="auto"/>
              <w:bottom w:val="single" w:sz="8" w:space="0" w:color="44B3E1"/>
              <w:right w:val="single" w:sz="8" w:space="0" w:color="auto"/>
            </w:tcBorders>
            <w:shd w:val="clear" w:color="auto" w:fill="auto"/>
            <w:noWrap/>
            <w:vAlign w:val="center"/>
            <w:hideMark/>
          </w:tcPr>
          <w:p w14:paraId="28B6D51C"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20,229.1</w:t>
            </w:r>
          </w:p>
        </w:tc>
        <w:tc>
          <w:tcPr>
            <w:tcW w:w="1275" w:type="dxa"/>
            <w:tcBorders>
              <w:top w:val="nil"/>
              <w:left w:val="single" w:sz="8" w:space="0" w:color="auto"/>
              <w:bottom w:val="single" w:sz="8" w:space="0" w:color="44B3E1"/>
              <w:right w:val="single" w:sz="8" w:space="0" w:color="auto"/>
            </w:tcBorders>
            <w:shd w:val="clear" w:color="auto" w:fill="auto"/>
            <w:noWrap/>
            <w:vAlign w:val="center"/>
            <w:hideMark/>
          </w:tcPr>
          <w:p w14:paraId="091A5A22"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9,151.1</w:t>
            </w:r>
          </w:p>
        </w:tc>
        <w:tc>
          <w:tcPr>
            <w:tcW w:w="985" w:type="dxa"/>
            <w:tcBorders>
              <w:top w:val="nil"/>
              <w:left w:val="single" w:sz="8" w:space="0" w:color="auto"/>
              <w:bottom w:val="single" w:sz="8" w:space="0" w:color="44B3E1"/>
              <w:right w:val="single" w:sz="8" w:space="0" w:color="auto"/>
            </w:tcBorders>
            <w:shd w:val="clear" w:color="auto" w:fill="auto"/>
            <w:noWrap/>
            <w:vAlign w:val="center"/>
            <w:hideMark/>
          </w:tcPr>
          <w:p w14:paraId="53007E5A"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45.2%</w:t>
            </w:r>
          </w:p>
        </w:tc>
      </w:tr>
      <w:tr w:rsidR="00B545DE" w:rsidRPr="00032A94" w14:paraId="59D0D307"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6735C18F" w14:textId="33FBF4A0" w:rsidR="00B545DE" w:rsidRPr="008E4E2A" w:rsidRDefault="00B545DE" w:rsidP="00B545DE">
            <w:pPr>
              <w:ind w:firstLineChars="100" w:firstLine="201"/>
              <w:rPr>
                <w:b/>
                <w:bCs/>
                <w:color w:val="000000"/>
                <w:sz w:val="20"/>
                <w:szCs w:val="20"/>
                <w:lang w:eastAsia="es-GT"/>
              </w:rPr>
            </w:pPr>
            <w:r w:rsidRPr="008E4E2A">
              <w:rPr>
                <w:b/>
                <w:bCs/>
                <w:color w:val="000000"/>
                <w:sz w:val="20"/>
                <w:szCs w:val="20"/>
                <w:lang w:eastAsia="es-GT"/>
              </w:rPr>
              <w:t xml:space="preserve">Ingresos </w:t>
            </w:r>
            <w:r w:rsidR="008E4E2A">
              <w:rPr>
                <w:b/>
                <w:bCs/>
                <w:color w:val="000000"/>
                <w:sz w:val="20"/>
                <w:szCs w:val="20"/>
                <w:lang w:eastAsia="es-GT"/>
              </w:rPr>
              <w:t>C</w:t>
            </w:r>
            <w:r w:rsidRPr="008E4E2A">
              <w:rPr>
                <w:b/>
                <w:bCs/>
                <w:color w:val="000000"/>
                <w:sz w:val="20"/>
                <w:szCs w:val="20"/>
                <w:lang w:eastAsia="es-GT"/>
              </w:rPr>
              <w:t>orrientes</w:t>
            </w:r>
          </w:p>
        </w:tc>
        <w:tc>
          <w:tcPr>
            <w:tcW w:w="1418" w:type="dxa"/>
            <w:tcBorders>
              <w:top w:val="nil"/>
              <w:left w:val="single" w:sz="8" w:space="0" w:color="auto"/>
              <w:bottom w:val="nil"/>
              <w:right w:val="single" w:sz="8" w:space="0" w:color="auto"/>
            </w:tcBorders>
            <w:shd w:val="clear" w:color="auto" w:fill="auto"/>
            <w:noWrap/>
            <w:vAlign w:val="center"/>
            <w:hideMark/>
          </w:tcPr>
          <w:p w14:paraId="144F822A"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7,548.7</w:t>
            </w:r>
          </w:p>
        </w:tc>
        <w:tc>
          <w:tcPr>
            <w:tcW w:w="1275" w:type="dxa"/>
            <w:tcBorders>
              <w:top w:val="nil"/>
              <w:left w:val="single" w:sz="8" w:space="0" w:color="auto"/>
              <w:bottom w:val="nil"/>
              <w:right w:val="single" w:sz="8" w:space="0" w:color="auto"/>
            </w:tcBorders>
            <w:shd w:val="clear" w:color="auto" w:fill="auto"/>
            <w:noWrap/>
            <w:vAlign w:val="center"/>
            <w:hideMark/>
          </w:tcPr>
          <w:p w14:paraId="4941385C"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3,612.0</w:t>
            </w:r>
          </w:p>
        </w:tc>
        <w:tc>
          <w:tcPr>
            <w:tcW w:w="985" w:type="dxa"/>
            <w:tcBorders>
              <w:top w:val="nil"/>
              <w:left w:val="single" w:sz="8" w:space="0" w:color="auto"/>
              <w:bottom w:val="nil"/>
              <w:right w:val="single" w:sz="8" w:space="0" w:color="auto"/>
            </w:tcBorders>
            <w:shd w:val="clear" w:color="auto" w:fill="auto"/>
            <w:noWrap/>
            <w:vAlign w:val="bottom"/>
            <w:hideMark/>
          </w:tcPr>
          <w:p w14:paraId="661BF69D"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47.8%</w:t>
            </w:r>
          </w:p>
        </w:tc>
      </w:tr>
      <w:tr w:rsidR="00B545DE" w:rsidRPr="00032A94" w14:paraId="7F7D7835"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3B3CA642" w14:textId="4C2C0F50"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Ingresos </w:t>
            </w:r>
            <w:r w:rsidR="008E4E2A">
              <w:rPr>
                <w:color w:val="000000"/>
                <w:sz w:val="20"/>
                <w:szCs w:val="20"/>
                <w:lang w:eastAsia="es-GT"/>
              </w:rPr>
              <w:t>T</w:t>
            </w:r>
            <w:r w:rsidRPr="008E4E2A">
              <w:rPr>
                <w:color w:val="000000"/>
                <w:sz w:val="20"/>
                <w:szCs w:val="20"/>
                <w:lang w:eastAsia="es-GT"/>
              </w:rPr>
              <w:t>ributarios</w:t>
            </w:r>
          </w:p>
        </w:tc>
        <w:tc>
          <w:tcPr>
            <w:tcW w:w="1418" w:type="dxa"/>
            <w:tcBorders>
              <w:top w:val="nil"/>
              <w:left w:val="single" w:sz="8" w:space="0" w:color="auto"/>
              <w:bottom w:val="nil"/>
              <w:right w:val="single" w:sz="8" w:space="0" w:color="auto"/>
            </w:tcBorders>
            <w:shd w:val="clear" w:color="auto" w:fill="auto"/>
            <w:noWrap/>
            <w:vAlign w:val="center"/>
            <w:hideMark/>
          </w:tcPr>
          <w:p w14:paraId="20C30F57" w14:textId="77777777" w:rsidR="00B545DE" w:rsidRPr="008E4E2A" w:rsidRDefault="00B545DE" w:rsidP="00B545DE">
            <w:pPr>
              <w:jc w:val="right"/>
              <w:rPr>
                <w:color w:val="000000"/>
                <w:sz w:val="20"/>
                <w:szCs w:val="20"/>
                <w:lang w:eastAsia="es-GT"/>
              </w:rPr>
            </w:pPr>
            <w:r w:rsidRPr="008E4E2A">
              <w:rPr>
                <w:color w:val="000000"/>
                <w:sz w:val="20"/>
                <w:szCs w:val="20"/>
                <w:lang w:eastAsia="es-GT"/>
              </w:rPr>
              <w:t>2,088.4</w:t>
            </w:r>
          </w:p>
        </w:tc>
        <w:tc>
          <w:tcPr>
            <w:tcW w:w="1275" w:type="dxa"/>
            <w:tcBorders>
              <w:top w:val="nil"/>
              <w:left w:val="single" w:sz="8" w:space="0" w:color="auto"/>
              <w:bottom w:val="nil"/>
              <w:right w:val="single" w:sz="8" w:space="0" w:color="auto"/>
            </w:tcBorders>
            <w:shd w:val="clear" w:color="auto" w:fill="auto"/>
            <w:noWrap/>
            <w:vAlign w:val="center"/>
            <w:hideMark/>
          </w:tcPr>
          <w:p w14:paraId="76303C84" w14:textId="77777777" w:rsidR="00B545DE" w:rsidRPr="008E4E2A" w:rsidRDefault="00B545DE" w:rsidP="00B545DE">
            <w:pPr>
              <w:jc w:val="right"/>
              <w:rPr>
                <w:color w:val="000000"/>
                <w:sz w:val="20"/>
                <w:szCs w:val="20"/>
                <w:lang w:eastAsia="es-GT"/>
              </w:rPr>
            </w:pPr>
            <w:r w:rsidRPr="008E4E2A">
              <w:rPr>
                <w:color w:val="000000"/>
                <w:sz w:val="20"/>
                <w:szCs w:val="20"/>
                <w:lang w:eastAsia="es-GT"/>
              </w:rPr>
              <w:t>1,023.6</w:t>
            </w:r>
          </w:p>
        </w:tc>
        <w:tc>
          <w:tcPr>
            <w:tcW w:w="985" w:type="dxa"/>
            <w:tcBorders>
              <w:top w:val="nil"/>
              <w:left w:val="single" w:sz="8" w:space="0" w:color="auto"/>
              <w:bottom w:val="nil"/>
              <w:right w:val="single" w:sz="8" w:space="0" w:color="auto"/>
            </w:tcBorders>
            <w:shd w:val="clear" w:color="auto" w:fill="auto"/>
            <w:noWrap/>
            <w:vAlign w:val="bottom"/>
            <w:hideMark/>
          </w:tcPr>
          <w:p w14:paraId="338E91D5"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49.0%</w:t>
            </w:r>
          </w:p>
        </w:tc>
      </w:tr>
      <w:tr w:rsidR="00B545DE" w:rsidRPr="00032A94" w14:paraId="04FD5BC6"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0B7995AC" w14:textId="27B2AAF7"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Ingresos no </w:t>
            </w:r>
            <w:r w:rsidR="008E4E2A">
              <w:rPr>
                <w:color w:val="000000"/>
                <w:sz w:val="20"/>
                <w:szCs w:val="20"/>
                <w:lang w:eastAsia="es-GT"/>
              </w:rPr>
              <w:t>T</w:t>
            </w:r>
            <w:r w:rsidRPr="008E4E2A">
              <w:rPr>
                <w:color w:val="000000"/>
                <w:sz w:val="20"/>
                <w:szCs w:val="20"/>
                <w:lang w:eastAsia="es-GT"/>
              </w:rPr>
              <w:t>ributarios</w:t>
            </w:r>
          </w:p>
        </w:tc>
        <w:tc>
          <w:tcPr>
            <w:tcW w:w="1418" w:type="dxa"/>
            <w:tcBorders>
              <w:top w:val="nil"/>
              <w:left w:val="single" w:sz="8" w:space="0" w:color="auto"/>
              <w:bottom w:val="nil"/>
              <w:right w:val="single" w:sz="8" w:space="0" w:color="auto"/>
            </w:tcBorders>
            <w:shd w:val="clear" w:color="auto" w:fill="auto"/>
            <w:noWrap/>
            <w:vAlign w:val="center"/>
            <w:hideMark/>
          </w:tcPr>
          <w:p w14:paraId="526FAA3F" w14:textId="77777777" w:rsidR="00B545DE" w:rsidRPr="008E4E2A" w:rsidRDefault="00B545DE" w:rsidP="00B545DE">
            <w:pPr>
              <w:jc w:val="right"/>
              <w:rPr>
                <w:color w:val="000000"/>
                <w:sz w:val="20"/>
                <w:szCs w:val="20"/>
                <w:lang w:eastAsia="es-GT"/>
              </w:rPr>
            </w:pPr>
            <w:r w:rsidRPr="008E4E2A">
              <w:rPr>
                <w:color w:val="000000"/>
                <w:sz w:val="20"/>
                <w:szCs w:val="20"/>
                <w:lang w:eastAsia="es-GT"/>
              </w:rPr>
              <w:t>2,101.7</w:t>
            </w:r>
          </w:p>
        </w:tc>
        <w:tc>
          <w:tcPr>
            <w:tcW w:w="1275" w:type="dxa"/>
            <w:tcBorders>
              <w:top w:val="nil"/>
              <w:left w:val="single" w:sz="8" w:space="0" w:color="auto"/>
              <w:bottom w:val="nil"/>
              <w:right w:val="single" w:sz="8" w:space="0" w:color="auto"/>
            </w:tcBorders>
            <w:shd w:val="clear" w:color="auto" w:fill="auto"/>
            <w:noWrap/>
            <w:vAlign w:val="center"/>
            <w:hideMark/>
          </w:tcPr>
          <w:p w14:paraId="20E306A9" w14:textId="77777777" w:rsidR="00B545DE" w:rsidRPr="008E4E2A" w:rsidRDefault="00B545DE" w:rsidP="00B545DE">
            <w:pPr>
              <w:jc w:val="right"/>
              <w:rPr>
                <w:color w:val="000000"/>
                <w:sz w:val="20"/>
                <w:szCs w:val="20"/>
                <w:lang w:eastAsia="es-GT"/>
              </w:rPr>
            </w:pPr>
            <w:r w:rsidRPr="008E4E2A">
              <w:rPr>
                <w:color w:val="000000"/>
                <w:sz w:val="20"/>
                <w:szCs w:val="20"/>
                <w:lang w:eastAsia="es-GT"/>
              </w:rPr>
              <w:t>998.7</w:t>
            </w:r>
          </w:p>
        </w:tc>
        <w:tc>
          <w:tcPr>
            <w:tcW w:w="985" w:type="dxa"/>
            <w:tcBorders>
              <w:top w:val="nil"/>
              <w:left w:val="single" w:sz="8" w:space="0" w:color="auto"/>
              <w:bottom w:val="nil"/>
              <w:right w:val="single" w:sz="8" w:space="0" w:color="auto"/>
            </w:tcBorders>
            <w:shd w:val="clear" w:color="auto" w:fill="auto"/>
            <w:noWrap/>
            <w:vAlign w:val="bottom"/>
            <w:hideMark/>
          </w:tcPr>
          <w:p w14:paraId="408337B8"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47.5%</w:t>
            </w:r>
          </w:p>
        </w:tc>
      </w:tr>
      <w:tr w:rsidR="00B545DE" w:rsidRPr="00032A94" w14:paraId="0487E7E5"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06B66AD0" w14:textId="4961F208"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Ingresos de </w:t>
            </w:r>
            <w:r w:rsidR="008E4E2A">
              <w:rPr>
                <w:color w:val="000000"/>
                <w:sz w:val="20"/>
                <w:szCs w:val="20"/>
                <w:lang w:eastAsia="es-GT"/>
              </w:rPr>
              <w:t>O</w:t>
            </w:r>
            <w:r w:rsidRPr="008E4E2A">
              <w:rPr>
                <w:color w:val="000000"/>
                <w:sz w:val="20"/>
                <w:szCs w:val="20"/>
                <w:lang w:eastAsia="es-GT"/>
              </w:rPr>
              <w:t>peración</w:t>
            </w:r>
          </w:p>
        </w:tc>
        <w:tc>
          <w:tcPr>
            <w:tcW w:w="1418" w:type="dxa"/>
            <w:tcBorders>
              <w:top w:val="nil"/>
              <w:left w:val="single" w:sz="8" w:space="0" w:color="auto"/>
              <w:bottom w:val="nil"/>
              <w:right w:val="single" w:sz="8" w:space="0" w:color="auto"/>
            </w:tcBorders>
            <w:shd w:val="clear" w:color="auto" w:fill="auto"/>
            <w:noWrap/>
            <w:vAlign w:val="center"/>
            <w:hideMark/>
          </w:tcPr>
          <w:p w14:paraId="1F2C63AA" w14:textId="77777777" w:rsidR="00B545DE" w:rsidRPr="008E4E2A" w:rsidRDefault="00B545DE" w:rsidP="00B545DE">
            <w:pPr>
              <w:jc w:val="right"/>
              <w:rPr>
                <w:color w:val="000000"/>
                <w:sz w:val="20"/>
                <w:szCs w:val="20"/>
                <w:lang w:eastAsia="es-GT"/>
              </w:rPr>
            </w:pPr>
            <w:r w:rsidRPr="008E4E2A">
              <w:rPr>
                <w:color w:val="000000"/>
                <w:sz w:val="20"/>
                <w:szCs w:val="20"/>
                <w:lang w:eastAsia="es-GT"/>
              </w:rPr>
              <w:t>1,135.5</w:t>
            </w:r>
          </w:p>
        </w:tc>
        <w:tc>
          <w:tcPr>
            <w:tcW w:w="1275" w:type="dxa"/>
            <w:tcBorders>
              <w:top w:val="nil"/>
              <w:left w:val="single" w:sz="8" w:space="0" w:color="auto"/>
              <w:bottom w:val="nil"/>
              <w:right w:val="single" w:sz="8" w:space="0" w:color="auto"/>
            </w:tcBorders>
            <w:shd w:val="clear" w:color="auto" w:fill="auto"/>
            <w:noWrap/>
            <w:vAlign w:val="center"/>
            <w:hideMark/>
          </w:tcPr>
          <w:p w14:paraId="04F829C8" w14:textId="77777777" w:rsidR="00B545DE" w:rsidRPr="008E4E2A" w:rsidRDefault="00B545DE" w:rsidP="00B545DE">
            <w:pPr>
              <w:jc w:val="right"/>
              <w:rPr>
                <w:color w:val="000000"/>
                <w:sz w:val="20"/>
                <w:szCs w:val="20"/>
                <w:lang w:eastAsia="es-GT"/>
              </w:rPr>
            </w:pPr>
            <w:r w:rsidRPr="008E4E2A">
              <w:rPr>
                <w:color w:val="000000"/>
                <w:sz w:val="20"/>
                <w:szCs w:val="20"/>
                <w:lang w:eastAsia="es-GT"/>
              </w:rPr>
              <w:t>479.2</w:t>
            </w:r>
          </w:p>
        </w:tc>
        <w:tc>
          <w:tcPr>
            <w:tcW w:w="985" w:type="dxa"/>
            <w:tcBorders>
              <w:top w:val="nil"/>
              <w:left w:val="single" w:sz="8" w:space="0" w:color="auto"/>
              <w:bottom w:val="nil"/>
              <w:right w:val="single" w:sz="8" w:space="0" w:color="auto"/>
            </w:tcBorders>
            <w:shd w:val="clear" w:color="auto" w:fill="auto"/>
            <w:noWrap/>
            <w:vAlign w:val="bottom"/>
            <w:hideMark/>
          </w:tcPr>
          <w:p w14:paraId="3F6799E6"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42.2%</w:t>
            </w:r>
          </w:p>
        </w:tc>
      </w:tr>
      <w:tr w:rsidR="00B545DE" w:rsidRPr="00032A94" w14:paraId="30481088"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6CD7FFC6" w14:textId="0390CD0D"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Renta de la </w:t>
            </w:r>
            <w:r w:rsidR="008E4E2A">
              <w:rPr>
                <w:color w:val="000000"/>
                <w:sz w:val="20"/>
                <w:szCs w:val="20"/>
                <w:lang w:eastAsia="es-GT"/>
              </w:rPr>
              <w:t>P</w:t>
            </w:r>
            <w:r w:rsidRPr="008E4E2A">
              <w:rPr>
                <w:color w:val="000000"/>
                <w:sz w:val="20"/>
                <w:szCs w:val="20"/>
                <w:lang w:eastAsia="es-GT"/>
              </w:rPr>
              <w:t>ropiedad</w:t>
            </w:r>
          </w:p>
        </w:tc>
        <w:tc>
          <w:tcPr>
            <w:tcW w:w="1418" w:type="dxa"/>
            <w:tcBorders>
              <w:top w:val="nil"/>
              <w:left w:val="single" w:sz="8" w:space="0" w:color="auto"/>
              <w:bottom w:val="nil"/>
              <w:right w:val="single" w:sz="8" w:space="0" w:color="auto"/>
            </w:tcBorders>
            <w:shd w:val="clear" w:color="auto" w:fill="auto"/>
            <w:noWrap/>
            <w:vAlign w:val="center"/>
            <w:hideMark/>
          </w:tcPr>
          <w:p w14:paraId="357C48FD" w14:textId="77777777" w:rsidR="00B545DE" w:rsidRPr="008E4E2A" w:rsidRDefault="00B545DE" w:rsidP="00B545DE">
            <w:pPr>
              <w:jc w:val="right"/>
              <w:rPr>
                <w:color w:val="000000"/>
                <w:sz w:val="20"/>
                <w:szCs w:val="20"/>
                <w:lang w:eastAsia="es-GT"/>
              </w:rPr>
            </w:pPr>
            <w:r w:rsidRPr="008E4E2A">
              <w:rPr>
                <w:color w:val="000000"/>
                <w:sz w:val="20"/>
                <w:szCs w:val="20"/>
                <w:lang w:eastAsia="es-GT"/>
              </w:rPr>
              <w:t>119.4</w:t>
            </w:r>
          </w:p>
        </w:tc>
        <w:tc>
          <w:tcPr>
            <w:tcW w:w="1275" w:type="dxa"/>
            <w:tcBorders>
              <w:top w:val="nil"/>
              <w:left w:val="single" w:sz="8" w:space="0" w:color="auto"/>
              <w:bottom w:val="nil"/>
              <w:right w:val="single" w:sz="8" w:space="0" w:color="auto"/>
            </w:tcBorders>
            <w:shd w:val="clear" w:color="auto" w:fill="auto"/>
            <w:noWrap/>
            <w:vAlign w:val="center"/>
            <w:hideMark/>
          </w:tcPr>
          <w:p w14:paraId="7C08E7B3" w14:textId="77777777" w:rsidR="00B545DE" w:rsidRPr="008E4E2A" w:rsidRDefault="00B545DE" w:rsidP="00B545DE">
            <w:pPr>
              <w:jc w:val="right"/>
              <w:rPr>
                <w:color w:val="000000"/>
                <w:sz w:val="20"/>
                <w:szCs w:val="20"/>
                <w:lang w:eastAsia="es-GT"/>
              </w:rPr>
            </w:pPr>
            <w:r w:rsidRPr="008E4E2A">
              <w:rPr>
                <w:color w:val="000000"/>
                <w:sz w:val="20"/>
                <w:szCs w:val="20"/>
                <w:lang w:eastAsia="es-GT"/>
              </w:rPr>
              <w:t>63.1</w:t>
            </w:r>
          </w:p>
        </w:tc>
        <w:tc>
          <w:tcPr>
            <w:tcW w:w="985" w:type="dxa"/>
            <w:tcBorders>
              <w:top w:val="nil"/>
              <w:left w:val="single" w:sz="8" w:space="0" w:color="auto"/>
              <w:bottom w:val="nil"/>
              <w:right w:val="single" w:sz="8" w:space="0" w:color="auto"/>
            </w:tcBorders>
            <w:shd w:val="clear" w:color="auto" w:fill="auto"/>
            <w:noWrap/>
            <w:vAlign w:val="bottom"/>
            <w:hideMark/>
          </w:tcPr>
          <w:p w14:paraId="7CADBD67" w14:textId="77777777" w:rsidR="00B545DE" w:rsidRPr="008E4E2A" w:rsidRDefault="00B545DE" w:rsidP="00B545DE">
            <w:pPr>
              <w:jc w:val="center"/>
              <w:rPr>
                <w:color w:val="000000"/>
                <w:sz w:val="20"/>
                <w:szCs w:val="20"/>
                <w:lang w:eastAsia="es-GT"/>
              </w:rPr>
            </w:pPr>
            <w:r w:rsidRPr="008E4E2A">
              <w:rPr>
                <w:color w:val="000000"/>
                <w:sz w:val="20"/>
                <w:szCs w:val="20"/>
                <w:lang w:eastAsia="es-GT"/>
              </w:rPr>
              <w:t>52.8%</w:t>
            </w:r>
          </w:p>
        </w:tc>
      </w:tr>
      <w:tr w:rsidR="00B545DE" w:rsidRPr="00032A94" w14:paraId="18C1018D"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57AEEB79" w14:textId="4190AAA9"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Transferencias </w:t>
            </w:r>
            <w:r w:rsidR="008E4E2A">
              <w:rPr>
                <w:color w:val="000000"/>
                <w:sz w:val="20"/>
                <w:szCs w:val="20"/>
                <w:lang w:eastAsia="es-GT"/>
              </w:rPr>
              <w:t>C</w:t>
            </w:r>
            <w:r w:rsidRPr="008E4E2A">
              <w:rPr>
                <w:color w:val="000000"/>
                <w:sz w:val="20"/>
                <w:szCs w:val="20"/>
                <w:lang w:eastAsia="es-GT"/>
              </w:rPr>
              <w:t>orrientes</w:t>
            </w:r>
          </w:p>
        </w:tc>
        <w:tc>
          <w:tcPr>
            <w:tcW w:w="1418" w:type="dxa"/>
            <w:tcBorders>
              <w:top w:val="nil"/>
              <w:left w:val="single" w:sz="8" w:space="0" w:color="auto"/>
              <w:bottom w:val="nil"/>
              <w:right w:val="single" w:sz="8" w:space="0" w:color="auto"/>
            </w:tcBorders>
            <w:shd w:val="clear" w:color="auto" w:fill="auto"/>
            <w:noWrap/>
            <w:vAlign w:val="center"/>
            <w:hideMark/>
          </w:tcPr>
          <w:p w14:paraId="6C8C7864" w14:textId="77777777" w:rsidR="00B545DE" w:rsidRPr="008E4E2A" w:rsidRDefault="00B545DE" w:rsidP="00B545DE">
            <w:pPr>
              <w:jc w:val="right"/>
              <w:rPr>
                <w:color w:val="000000"/>
                <w:sz w:val="20"/>
                <w:szCs w:val="20"/>
                <w:lang w:eastAsia="es-GT"/>
              </w:rPr>
            </w:pPr>
            <w:r w:rsidRPr="008E4E2A">
              <w:rPr>
                <w:color w:val="000000"/>
                <w:sz w:val="20"/>
                <w:szCs w:val="20"/>
                <w:lang w:eastAsia="es-GT"/>
              </w:rPr>
              <w:t>1,728.0</w:t>
            </w:r>
          </w:p>
        </w:tc>
        <w:tc>
          <w:tcPr>
            <w:tcW w:w="1275" w:type="dxa"/>
            <w:tcBorders>
              <w:top w:val="nil"/>
              <w:left w:val="single" w:sz="8" w:space="0" w:color="auto"/>
              <w:bottom w:val="nil"/>
              <w:right w:val="single" w:sz="8" w:space="0" w:color="auto"/>
            </w:tcBorders>
            <w:shd w:val="clear" w:color="auto" w:fill="auto"/>
            <w:noWrap/>
            <w:vAlign w:val="center"/>
            <w:hideMark/>
          </w:tcPr>
          <w:p w14:paraId="63F382B2" w14:textId="77777777" w:rsidR="00B545DE" w:rsidRPr="008E4E2A" w:rsidRDefault="00B545DE" w:rsidP="00B545DE">
            <w:pPr>
              <w:jc w:val="right"/>
              <w:rPr>
                <w:color w:val="000000"/>
                <w:sz w:val="20"/>
                <w:szCs w:val="20"/>
                <w:lang w:eastAsia="es-GT"/>
              </w:rPr>
            </w:pPr>
            <w:r w:rsidRPr="008E4E2A">
              <w:rPr>
                <w:color w:val="000000"/>
                <w:sz w:val="20"/>
                <w:szCs w:val="20"/>
                <w:lang w:eastAsia="es-GT"/>
              </w:rPr>
              <w:t>868.1</w:t>
            </w:r>
          </w:p>
        </w:tc>
        <w:tc>
          <w:tcPr>
            <w:tcW w:w="985" w:type="dxa"/>
            <w:tcBorders>
              <w:top w:val="nil"/>
              <w:left w:val="single" w:sz="8" w:space="0" w:color="auto"/>
              <w:bottom w:val="nil"/>
              <w:right w:val="single" w:sz="8" w:space="0" w:color="auto"/>
            </w:tcBorders>
            <w:shd w:val="clear" w:color="auto" w:fill="auto"/>
            <w:noWrap/>
            <w:vAlign w:val="bottom"/>
            <w:hideMark/>
          </w:tcPr>
          <w:p w14:paraId="0FE9D5F0" w14:textId="77777777" w:rsidR="00B545DE" w:rsidRPr="008E4E2A" w:rsidRDefault="00B545DE" w:rsidP="00B545DE">
            <w:pPr>
              <w:jc w:val="center"/>
              <w:rPr>
                <w:color w:val="000000"/>
                <w:sz w:val="20"/>
                <w:szCs w:val="20"/>
                <w:lang w:eastAsia="es-GT"/>
              </w:rPr>
            </w:pPr>
            <w:r w:rsidRPr="008E4E2A">
              <w:rPr>
                <w:color w:val="000000"/>
                <w:sz w:val="20"/>
                <w:szCs w:val="20"/>
                <w:lang w:eastAsia="es-GT"/>
              </w:rPr>
              <w:t>50.2%</w:t>
            </w:r>
          </w:p>
        </w:tc>
      </w:tr>
      <w:tr w:rsidR="00B545DE" w:rsidRPr="00032A94" w14:paraId="76435104"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3F653BE4" w14:textId="74770465"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Venta de </w:t>
            </w:r>
            <w:r w:rsidR="008E4E2A">
              <w:rPr>
                <w:color w:val="000000"/>
                <w:sz w:val="20"/>
                <w:szCs w:val="20"/>
                <w:lang w:eastAsia="es-GT"/>
              </w:rPr>
              <w:t>B</w:t>
            </w:r>
            <w:r w:rsidRPr="008E4E2A">
              <w:rPr>
                <w:color w:val="000000"/>
                <w:sz w:val="20"/>
                <w:szCs w:val="20"/>
                <w:lang w:eastAsia="es-GT"/>
              </w:rPr>
              <w:t xml:space="preserve">ienes y </w:t>
            </w:r>
            <w:r w:rsidR="008E4E2A">
              <w:rPr>
                <w:color w:val="000000"/>
                <w:sz w:val="20"/>
                <w:szCs w:val="20"/>
                <w:lang w:eastAsia="es-GT"/>
              </w:rPr>
              <w:t>S</w:t>
            </w:r>
            <w:r w:rsidRPr="008E4E2A">
              <w:rPr>
                <w:color w:val="000000"/>
                <w:sz w:val="20"/>
                <w:szCs w:val="20"/>
                <w:lang w:eastAsia="es-GT"/>
              </w:rPr>
              <w:t xml:space="preserve">ervicios de la </w:t>
            </w:r>
            <w:r w:rsidR="008E4E2A">
              <w:rPr>
                <w:color w:val="000000"/>
                <w:sz w:val="20"/>
                <w:szCs w:val="20"/>
                <w:lang w:eastAsia="es-GT"/>
              </w:rPr>
              <w:t>A</w:t>
            </w:r>
            <w:r w:rsidRPr="008E4E2A">
              <w:rPr>
                <w:color w:val="000000"/>
                <w:sz w:val="20"/>
                <w:szCs w:val="20"/>
                <w:lang w:eastAsia="es-GT"/>
              </w:rPr>
              <w:t xml:space="preserve">dministración </w:t>
            </w:r>
            <w:r w:rsidR="008E4E2A">
              <w:rPr>
                <w:color w:val="000000"/>
                <w:sz w:val="20"/>
                <w:szCs w:val="20"/>
                <w:lang w:eastAsia="es-GT"/>
              </w:rPr>
              <w:t>P</w:t>
            </w:r>
            <w:r w:rsidRPr="008E4E2A">
              <w:rPr>
                <w:color w:val="000000"/>
                <w:sz w:val="20"/>
                <w:szCs w:val="20"/>
                <w:lang w:eastAsia="es-GT"/>
              </w:rPr>
              <w:t>ública</w:t>
            </w:r>
          </w:p>
        </w:tc>
        <w:tc>
          <w:tcPr>
            <w:tcW w:w="1418" w:type="dxa"/>
            <w:tcBorders>
              <w:top w:val="nil"/>
              <w:left w:val="single" w:sz="8" w:space="0" w:color="auto"/>
              <w:bottom w:val="nil"/>
              <w:right w:val="single" w:sz="8" w:space="0" w:color="auto"/>
            </w:tcBorders>
            <w:shd w:val="clear" w:color="auto" w:fill="auto"/>
            <w:noWrap/>
            <w:vAlign w:val="center"/>
            <w:hideMark/>
          </w:tcPr>
          <w:p w14:paraId="29B7601D" w14:textId="77777777" w:rsidR="00B545DE" w:rsidRPr="008E4E2A" w:rsidRDefault="00B545DE" w:rsidP="00B545DE">
            <w:pPr>
              <w:jc w:val="right"/>
              <w:rPr>
                <w:color w:val="000000"/>
                <w:sz w:val="20"/>
                <w:szCs w:val="20"/>
                <w:lang w:eastAsia="es-GT"/>
              </w:rPr>
            </w:pPr>
            <w:r w:rsidRPr="008E4E2A">
              <w:rPr>
                <w:color w:val="000000"/>
                <w:sz w:val="20"/>
                <w:szCs w:val="20"/>
                <w:lang w:eastAsia="es-GT"/>
              </w:rPr>
              <w:t>375.8</w:t>
            </w:r>
          </w:p>
        </w:tc>
        <w:tc>
          <w:tcPr>
            <w:tcW w:w="1275" w:type="dxa"/>
            <w:tcBorders>
              <w:top w:val="nil"/>
              <w:left w:val="single" w:sz="8" w:space="0" w:color="auto"/>
              <w:bottom w:val="nil"/>
              <w:right w:val="single" w:sz="8" w:space="0" w:color="auto"/>
            </w:tcBorders>
            <w:shd w:val="clear" w:color="auto" w:fill="auto"/>
            <w:noWrap/>
            <w:vAlign w:val="center"/>
            <w:hideMark/>
          </w:tcPr>
          <w:p w14:paraId="7AEEFA8B" w14:textId="77777777" w:rsidR="00B545DE" w:rsidRPr="008E4E2A" w:rsidRDefault="00B545DE" w:rsidP="00B545DE">
            <w:pPr>
              <w:jc w:val="right"/>
              <w:rPr>
                <w:color w:val="000000"/>
                <w:sz w:val="20"/>
                <w:szCs w:val="20"/>
                <w:lang w:eastAsia="es-GT"/>
              </w:rPr>
            </w:pPr>
            <w:r w:rsidRPr="008E4E2A">
              <w:rPr>
                <w:color w:val="000000"/>
                <w:sz w:val="20"/>
                <w:szCs w:val="20"/>
                <w:lang w:eastAsia="es-GT"/>
              </w:rPr>
              <w:t>179.3</w:t>
            </w:r>
          </w:p>
        </w:tc>
        <w:tc>
          <w:tcPr>
            <w:tcW w:w="985" w:type="dxa"/>
            <w:tcBorders>
              <w:top w:val="nil"/>
              <w:left w:val="single" w:sz="8" w:space="0" w:color="auto"/>
              <w:bottom w:val="nil"/>
              <w:right w:val="single" w:sz="8" w:space="0" w:color="auto"/>
            </w:tcBorders>
            <w:shd w:val="clear" w:color="auto" w:fill="auto"/>
            <w:noWrap/>
            <w:vAlign w:val="bottom"/>
            <w:hideMark/>
          </w:tcPr>
          <w:p w14:paraId="3D0EA7AC"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47.7%</w:t>
            </w:r>
          </w:p>
        </w:tc>
      </w:tr>
      <w:tr w:rsidR="00B545DE" w:rsidRPr="00032A94" w14:paraId="0F5DE1E2"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0F87F700" w14:textId="6BCE4D0A" w:rsidR="00B545DE" w:rsidRPr="008E4E2A" w:rsidRDefault="00B545DE" w:rsidP="00B545DE">
            <w:pPr>
              <w:ind w:firstLineChars="100" w:firstLine="201"/>
              <w:rPr>
                <w:b/>
                <w:bCs/>
                <w:color w:val="000000"/>
                <w:sz w:val="20"/>
                <w:szCs w:val="20"/>
                <w:lang w:eastAsia="es-GT"/>
              </w:rPr>
            </w:pPr>
            <w:r w:rsidRPr="008E4E2A">
              <w:rPr>
                <w:b/>
                <w:bCs/>
                <w:color w:val="000000"/>
                <w:sz w:val="20"/>
                <w:szCs w:val="20"/>
                <w:lang w:eastAsia="es-GT"/>
              </w:rPr>
              <w:t xml:space="preserve">Recursos de </w:t>
            </w:r>
            <w:r w:rsidR="008E4E2A">
              <w:rPr>
                <w:b/>
                <w:bCs/>
                <w:color w:val="000000"/>
                <w:sz w:val="20"/>
                <w:szCs w:val="20"/>
                <w:lang w:eastAsia="es-GT"/>
              </w:rPr>
              <w:t>C</w:t>
            </w:r>
            <w:r w:rsidRPr="008E4E2A">
              <w:rPr>
                <w:b/>
                <w:bCs/>
                <w:color w:val="000000"/>
                <w:sz w:val="20"/>
                <w:szCs w:val="20"/>
                <w:lang w:eastAsia="es-GT"/>
              </w:rPr>
              <w:t>apital</w:t>
            </w:r>
          </w:p>
        </w:tc>
        <w:tc>
          <w:tcPr>
            <w:tcW w:w="1418" w:type="dxa"/>
            <w:tcBorders>
              <w:top w:val="nil"/>
              <w:left w:val="single" w:sz="8" w:space="0" w:color="auto"/>
              <w:bottom w:val="nil"/>
              <w:right w:val="single" w:sz="8" w:space="0" w:color="auto"/>
            </w:tcBorders>
            <w:shd w:val="clear" w:color="auto" w:fill="auto"/>
            <w:noWrap/>
            <w:vAlign w:val="center"/>
            <w:hideMark/>
          </w:tcPr>
          <w:p w14:paraId="6E1B67E1"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12,680.4</w:t>
            </w:r>
          </w:p>
        </w:tc>
        <w:tc>
          <w:tcPr>
            <w:tcW w:w="1275" w:type="dxa"/>
            <w:tcBorders>
              <w:top w:val="nil"/>
              <w:left w:val="single" w:sz="8" w:space="0" w:color="auto"/>
              <w:bottom w:val="nil"/>
              <w:right w:val="single" w:sz="8" w:space="0" w:color="auto"/>
            </w:tcBorders>
            <w:shd w:val="clear" w:color="auto" w:fill="auto"/>
            <w:noWrap/>
            <w:vAlign w:val="center"/>
            <w:hideMark/>
          </w:tcPr>
          <w:p w14:paraId="2C6D1B60"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5,539.1</w:t>
            </w:r>
          </w:p>
        </w:tc>
        <w:tc>
          <w:tcPr>
            <w:tcW w:w="985" w:type="dxa"/>
            <w:tcBorders>
              <w:top w:val="nil"/>
              <w:left w:val="single" w:sz="8" w:space="0" w:color="auto"/>
              <w:bottom w:val="nil"/>
              <w:right w:val="single" w:sz="8" w:space="0" w:color="auto"/>
            </w:tcBorders>
            <w:shd w:val="clear" w:color="auto" w:fill="auto"/>
            <w:noWrap/>
            <w:vAlign w:val="bottom"/>
            <w:hideMark/>
          </w:tcPr>
          <w:p w14:paraId="70BFF66F"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43.7%</w:t>
            </w:r>
          </w:p>
        </w:tc>
      </w:tr>
      <w:tr w:rsidR="00B545DE" w:rsidRPr="00032A94" w14:paraId="24685FFE"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1FAF61C3" w14:textId="40360761"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Recursos </w:t>
            </w:r>
            <w:r w:rsidR="008E4E2A">
              <w:rPr>
                <w:color w:val="000000"/>
                <w:sz w:val="20"/>
                <w:szCs w:val="20"/>
                <w:lang w:eastAsia="es-GT"/>
              </w:rPr>
              <w:t>P</w:t>
            </w:r>
            <w:r w:rsidRPr="008E4E2A">
              <w:rPr>
                <w:color w:val="000000"/>
                <w:sz w:val="20"/>
                <w:szCs w:val="20"/>
                <w:lang w:eastAsia="es-GT"/>
              </w:rPr>
              <w:t xml:space="preserve">ropios de </w:t>
            </w:r>
            <w:r w:rsidR="008E4E2A">
              <w:rPr>
                <w:color w:val="000000"/>
                <w:sz w:val="20"/>
                <w:szCs w:val="20"/>
                <w:lang w:eastAsia="es-GT"/>
              </w:rPr>
              <w:t>C</w:t>
            </w:r>
            <w:r w:rsidRPr="008E4E2A">
              <w:rPr>
                <w:color w:val="000000"/>
                <w:sz w:val="20"/>
                <w:szCs w:val="20"/>
                <w:lang w:eastAsia="es-GT"/>
              </w:rPr>
              <w:t>apital</w:t>
            </w:r>
          </w:p>
        </w:tc>
        <w:tc>
          <w:tcPr>
            <w:tcW w:w="1418" w:type="dxa"/>
            <w:tcBorders>
              <w:top w:val="nil"/>
              <w:left w:val="single" w:sz="8" w:space="0" w:color="auto"/>
              <w:bottom w:val="nil"/>
              <w:right w:val="single" w:sz="8" w:space="0" w:color="auto"/>
            </w:tcBorders>
            <w:shd w:val="clear" w:color="auto" w:fill="auto"/>
            <w:noWrap/>
            <w:vAlign w:val="center"/>
            <w:hideMark/>
          </w:tcPr>
          <w:p w14:paraId="26463455" w14:textId="77777777" w:rsidR="00B545DE" w:rsidRPr="008E4E2A" w:rsidRDefault="00B545DE" w:rsidP="00B545DE">
            <w:pPr>
              <w:jc w:val="right"/>
              <w:rPr>
                <w:color w:val="000000"/>
                <w:sz w:val="20"/>
                <w:szCs w:val="20"/>
                <w:lang w:eastAsia="es-GT"/>
              </w:rPr>
            </w:pPr>
            <w:r w:rsidRPr="008E4E2A">
              <w:rPr>
                <w:color w:val="000000"/>
                <w:sz w:val="20"/>
                <w:szCs w:val="20"/>
                <w:lang w:eastAsia="es-GT"/>
              </w:rPr>
              <w:t>6.2</w:t>
            </w:r>
          </w:p>
        </w:tc>
        <w:tc>
          <w:tcPr>
            <w:tcW w:w="1275" w:type="dxa"/>
            <w:tcBorders>
              <w:top w:val="nil"/>
              <w:left w:val="single" w:sz="8" w:space="0" w:color="auto"/>
              <w:bottom w:val="nil"/>
              <w:right w:val="single" w:sz="8" w:space="0" w:color="auto"/>
            </w:tcBorders>
            <w:shd w:val="clear" w:color="auto" w:fill="auto"/>
            <w:noWrap/>
            <w:vAlign w:val="center"/>
            <w:hideMark/>
          </w:tcPr>
          <w:p w14:paraId="6E526716" w14:textId="77777777" w:rsidR="00B545DE" w:rsidRPr="008E4E2A" w:rsidRDefault="00B545DE" w:rsidP="00B545DE">
            <w:pPr>
              <w:jc w:val="right"/>
              <w:rPr>
                <w:color w:val="000000"/>
                <w:sz w:val="20"/>
                <w:szCs w:val="20"/>
                <w:lang w:eastAsia="es-GT"/>
              </w:rPr>
            </w:pPr>
            <w:r w:rsidRPr="008E4E2A">
              <w:rPr>
                <w:color w:val="000000"/>
                <w:sz w:val="20"/>
                <w:szCs w:val="20"/>
                <w:lang w:eastAsia="es-GT"/>
              </w:rPr>
              <w:t>2.4</w:t>
            </w:r>
          </w:p>
        </w:tc>
        <w:tc>
          <w:tcPr>
            <w:tcW w:w="985" w:type="dxa"/>
            <w:tcBorders>
              <w:top w:val="nil"/>
              <w:left w:val="single" w:sz="8" w:space="0" w:color="auto"/>
              <w:bottom w:val="nil"/>
              <w:right w:val="single" w:sz="8" w:space="0" w:color="auto"/>
            </w:tcBorders>
            <w:shd w:val="clear" w:color="auto" w:fill="auto"/>
            <w:noWrap/>
            <w:vAlign w:val="bottom"/>
            <w:hideMark/>
          </w:tcPr>
          <w:p w14:paraId="6A499866" w14:textId="77777777" w:rsidR="00B545DE" w:rsidRPr="008E4E2A" w:rsidRDefault="00B545DE" w:rsidP="00B545DE">
            <w:pPr>
              <w:jc w:val="center"/>
              <w:rPr>
                <w:color w:val="000000"/>
                <w:sz w:val="20"/>
                <w:szCs w:val="20"/>
                <w:lang w:eastAsia="es-GT"/>
              </w:rPr>
            </w:pPr>
            <w:r w:rsidRPr="008E4E2A">
              <w:rPr>
                <w:color w:val="000000"/>
                <w:sz w:val="20"/>
                <w:szCs w:val="20"/>
                <w:lang w:eastAsia="es-GT"/>
              </w:rPr>
              <w:t>37.8%</w:t>
            </w:r>
          </w:p>
        </w:tc>
      </w:tr>
      <w:tr w:rsidR="00B545DE" w:rsidRPr="00032A94" w14:paraId="5C880CA5"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53374C11" w14:textId="0B064A0B"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Transferencias de </w:t>
            </w:r>
            <w:r w:rsidR="008E4E2A">
              <w:rPr>
                <w:color w:val="000000"/>
                <w:sz w:val="20"/>
                <w:szCs w:val="20"/>
                <w:lang w:eastAsia="es-GT"/>
              </w:rPr>
              <w:t>C</w:t>
            </w:r>
            <w:r w:rsidRPr="008E4E2A">
              <w:rPr>
                <w:color w:val="000000"/>
                <w:sz w:val="20"/>
                <w:szCs w:val="20"/>
                <w:lang w:eastAsia="es-GT"/>
              </w:rPr>
              <w:t>apital</w:t>
            </w:r>
          </w:p>
        </w:tc>
        <w:tc>
          <w:tcPr>
            <w:tcW w:w="1418" w:type="dxa"/>
            <w:tcBorders>
              <w:top w:val="nil"/>
              <w:left w:val="single" w:sz="8" w:space="0" w:color="auto"/>
              <w:bottom w:val="nil"/>
              <w:right w:val="single" w:sz="8" w:space="0" w:color="auto"/>
            </w:tcBorders>
            <w:shd w:val="clear" w:color="auto" w:fill="auto"/>
            <w:noWrap/>
            <w:vAlign w:val="center"/>
            <w:hideMark/>
          </w:tcPr>
          <w:p w14:paraId="0B6E1C3E" w14:textId="77777777" w:rsidR="00B545DE" w:rsidRPr="008E4E2A" w:rsidRDefault="00B545DE" w:rsidP="00B545DE">
            <w:pPr>
              <w:jc w:val="right"/>
              <w:rPr>
                <w:color w:val="000000"/>
                <w:sz w:val="20"/>
                <w:szCs w:val="20"/>
                <w:lang w:eastAsia="es-GT"/>
              </w:rPr>
            </w:pPr>
            <w:r w:rsidRPr="008E4E2A">
              <w:rPr>
                <w:color w:val="000000"/>
                <w:sz w:val="20"/>
                <w:szCs w:val="20"/>
                <w:lang w:eastAsia="es-GT"/>
              </w:rPr>
              <w:t>12,674.2</w:t>
            </w:r>
          </w:p>
        </w:tc>
        <w:tc>
          <w:tcPr>
            <w:tcW w:w="1275" w:type="dxa"/>
            <w:tcBorders>
              <w:top w:val="nil"/>
              <w:left w:val="single" w:sz="8" w:space="0" w:color="auto"/>
              <w:bottom w:val="nil"/>
              <w:right w:val="single" w:sz="8" w:space="0" w:color="auto"/>
            </w:tcBorders>
            <w:shd w:val="clear" w:color="auto" w:fill="auto"/>
            <w:noWrap/>
            <w:vAlign w:val="center"/>
            <w:hideMark/>
          </w:tcPr>
          <w:p w14:paraId="1A3E37DD" w14:textId="77777777" w:rsidR="00B545DE" w:rsidRPr="008E4E2A" w:rsidRDefault="00B545DE" w:rsidP="00B545DE">
            <w:pPr>
              <w:jc w:val="right"/>
              <w:rPr>
                <w:color w:val="000000"/>
                <w:sz w:val="20"/>
                <w:szCs w:val="20"/>
                <w:lang w:eastAsia="es-GT"/>
              </w:rPr>
            </w:pPr>
            <w:r w:rsidRPr="008E4E2A">
              <w:rPr>
                <w:color w:val="000000"/>
                <w:sz w:val="20"/>
                <w:szCs w:val="20"/>
                <w:lang w:eastAsia="es-GT"/>
              </w:rPr>
              <w:t>5,536.8</w:t>
            </w:r>
          </w:p>
        </w:tc>
        <w:tc>
          <w:tcPr>
            <w:tcW w:w="985" w:type="dxa"/>
            <w:tcBorders>
              <w:top w:val="nil"/>
              <w:left w:val="single" w:sz="8" w:space="0" w:color="auto"/>
              <w:bottom w:val="nil"/>
              <w:right w:val="single" w:sz="8" w:space="0" w:color="auto"/>
            </w:tcBorders>
            <w:shd w:val="clear" w:color="auto" w:fill="auto"/>
            <w:noWrap/>
            <w:vAlign w:val="bottom"/>
            <w:hideMark/>
          </w:tcPr>
          <w:p w14:paraId="5FF1DBBF"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43.7%</w:t>
            </w:r>
          </w:p>
        </w:tc>
      </w:tr>
      <w:tr w:rsidR="00B545DE" w:rsidRPr="00032A94" w14:paraId="6E53962D" w14:textId="77777777" w:rsidTr="00533929">
        <w:trPr>
          <w:trHeight w:val="254"/>
        </w:trPr>
        <w:tc>
          <w:tcPr>
            <w:tcW w:w="5245" w:type="dxa"/>
            <w:tcBorders>
              <w:top w:val="nil"/>
              <w:left w:val="single" w:sz="8" w:space="0" w:color="auto"/>
              <w:bottom w:val="single" w:sz="8" w:space="0" w:color="44B3E1"/>
              <w:right w:val="nil"/>
            </w:tcBorders>
            <w:shd w:val="clear" w:color="auto" w:fill="auto"/>
            <w:noWrap/>
            <w:vAlign w:val="center"/>
            <w:hideMark/>
          </w:tcPr>
          <w:p w14:paraId="6A5A031C" w14:textId="77777777" w:rsidR="00B545DE" w:rsidRPr="008E4E2A" w:rsidRDefault="00B545DE" w:rsidP="00B545DE">
            <w:pPr>
              <w:rPr>
                <w:b/>
                <w:bCs/>
                <w:color w:val="000000"/>
                <w:sz w:val="20"/>
                <w:szCs w:val="20"/>
                <w:lang w:eastAsia="es-GT"/>
              </w:rPr>
            </w:pPr>
            <w:r w:rsidRPr="008E4E2A">
              <w:rPr>
                <w:b/>
                <w:bCs/>
                <w:color w:val="000000"/>
                <w:sz w:val="20"/>
                <w:szCs w:val="20"/>
                <w:lang w:eastAsia="es-GT"/>
              </w:rPr>
              <w:t>Gastos</w:t>
            </w:r>
          </w:p>
        </w:tc>
        <w:tc>
          <w:tcPr>
            <w:tcW w:w="1418" w:type="dxa"/>
            <w:tcBorders>
              <w:top w:val="nil"/>
              <w:left w:val="single" w:sz="8" w:space="0" w:color="auto"/>
              <w:bottom w:val="single" w:sz="8" w:space="0" w:color="44B3E1"/>
              <w:right w:val="single" w:sz="8" w:space="0" w:color="auto"/>
            </w:tcBorders>
            <w:shd w:val="clear" w:color="auto" w:fill="auto"/>
            <w:noWrap/>
            <w:vAlign w:val="center"/>
            <w:hideMark/>
          </w:tcPr>
          <w:p w14:paraId="1A363BF7"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22,379.9</w:t>
            </w:r>
          </w:p>
        </w:tc>
        <w:tc>
          <w:tcPr>
            <w:tcW w:w="1275" w:type="dxa"/>
            <w:tcBorders>
              <w:top w:val="nil"/>
              <w:left w:val="single" w:sz="8" w:space="0" w:color="auto"/>
              <w:bottom w:val="single" w:sz="8" w:space="0" w:color="44B3E1"/>
              <w:right w:val="single" w:sz="8" w:space="0" w:color="auto"/>
            </w:tcBorders>
            <w:shd w:val="clear" w:color="auto" w:fill="auto"/>
            <w:noWrap/>
            <w:vAlign w:val="center"/>
            <w:hideMark/>
          </w:tcPr>
          <w:p w14:paraId="2DA730B3"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8,596.2</w:t>
            </w:r>
          </w:p>
        </w:tc>
        <w:tc>
          <w:tcPr>
            <w:tcW w:w="985" w:type="dxa"/>
            <w:tcBorders>
              <w:top w:val="nil"/>
              <w:left w:val="single" w:sz="8" w:space="0" w:color="auto"/>
              <w:bottom w:val="single" w:sz="8" w:space="0" w:color="44B3E1"/>
              <w:right w:val="single" w:sz="8" w:space="0" w:color="auto"/>
            </w:tcBorders>
            <w:shd w:val="clear" w:color="auto" w:fill="auto"/>
            <w:noWrap/>
            <w:vAlign w:val="center"/>
            <w:hideMark/>
          </w:tcPr>
          <w:p w14:paraId="0203FED3"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38.4%</w:t>
            </w:r>
          </w:p>
        </w:tc>
      </w:tr>
      <w:tr w:rsidR="00B545DE" w:rsidRPr="00032A94" w14:paraId="4953BA71"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17B53F07" w14:textId="1664BCDE" w:rsidR="00B545DE" w:rsidRPr="008E4E2A" w:rsidRDefault="00B545DE" w:rsidP="00B545DE">
            <w:pPr>
              <w:ind w:firstLineChars="100" w:firstLine="201"/>
              <w:rPr>
                <w:b/>
                <w:bCs/>
                <w:color w:val="000000"/>
                <w:sz w:val="20"/>
                <w:szCs w:val="20"/>
                <w:lang w:eastAsia="es-GT"/>
              </w:rPr>
            </w:pPr>
            <w:r w:rsidRPr="008E4E2A">
              <w:rPr>
                <w:b/>
                <w:bCs/>
                <w:color w:val="000000"/>
                <w:sz w:val="20"/>
                <w:szCs w:val="20"/>
                <w:lang w:eastAsia="es-GT"/>
              </w:rPr>
              <w:t xml:space="preserve">Gastos </w:t>
            </w:r>
            <w:r w:rsidR="008E4E2A">
              <w:rPr>
                <w:b/>
                <w:bCs/>
                <w:color w:val="000000"/>
                <w:sz w:val="20"/>
                <w:szCs w:val="20"/>
                <w:lang w:eastAsia="es-GT"/>
              </w:rPr>
              <w:t>C</w:t>
            </w:r>
            <w:r w:rsidRPr="008E4E2A">
              <w:rPr>
                <w:b/>
                <w:bCs/>
                <w:color w:val="000000"/>
                <w:sz w:val="20"/>
                <w:szCs w:val="20"/>
                <w:lang w:eastAsia="es-GT"/>
              </w:rPr>
              <w:t>orrientes</w:t>
            </w:r>
          </w:p>
        </w:tc>
        <w:tc>
          <w:tcPr>
            <w:tcW w:w="1418" w:type="dxa"/>
            <w:tcBorders>
              <w:top w:val="nil"/>
              <w:left w:val="single" w:sz="8" w:space="0" w:color="auto"/>
              <w:bottom w:val="nil"/>
              <w:right w:val="single" w:sz="8" w:space="0" w:color="auto"/>
            </w:tcBorders>
            <w:shd w:val="clear" w:color="auto" w:fill="auto"/>
            <w:noWrap/>
            <w:vAlign w:val="center"/>
            <w:hideMark/>
          </w:tcPr>
          <w:p w14:paraId="1F3FB1B5"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6,270.9</w:t>
            </w:r>
          </w:p>
        </w:tc>
        <w:tc>
          <w:tcPr>
            <w:tcW w:w="1275" w:type="dxa"/>
            <w:tcBorders>
              <w:top w:val="nil"/>
              <w:left w:val="single" w:sz="8" w:space="0" w:color="auto"/>
              <w:bottom w:val="nil"/>
              <w:right w:val="single" w:sz="8" w:space="0" w:color="auto"/>
            </w:tcBorders>
            <w:shd w:val="clear" w:color="auto" w:fill="auto"/>
            <w:noWrap/>
            <w:vAlign w:val="center"/>
            <w:hideMark/>
          </w:tcPr>
          <w:p w14:paraId="69912F23"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2,693.6</w:t>
            </w:r>
          </w:p>
        </w:tc>
        <w:tc>
          <w:tcPr>
            <w:tcW w:w="985" w:type="dxa"/>
            <w:tcBorders>
              <w:top w:val="nil"/>
              <w:left w:val="single" w:sz="8" w:space="0" w:color="auto"/>
              <w:bottom w:val="nil"/>
              <w:right w:val="single" w:sz="8" w:space="0" w:color="auto"/>
            </w:tcBorders>
            <w:shd w:val="clear" w:color="auto" w:fill="auto"/>
            <w:noWrap/>
            <w:vAlign w:val="bottom"/>
            <w:hideMark/>
          </w:tcPr>
          <w:p w14:paraId="01CA4F60"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43.0%</w:t>
            </w:r>
          </w:p>
        </w:tc>
      </w:tr>
      <w:tr w:rsidR="00B545DE" w:rsidRPr="00032A94" w14:paraId="29FDA132"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2C244D1B" w14:textId="090A682D"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Gastos de </w:t>
            </w:r>
            <w:r w:rsidR="008E4E2A">
              <w:rPr>
                <w:color w:val="000000"/>
                <w:sz w:val="20"/>
                <w:szCs w:val="20"/>
                <w:lang w:eastAsia="es-GT"/>
              </w:rPr>
              <w:t>C</w:t>
            </w:r>
            <w:r w:rsidRPr="008E4E2A">
              <w:rPr>
                <w:color w:val="000000"/>
                <w:sz w:val="20"/>
                <w:szCs w:val="20"/>
                <w:lang w:eastAsia="es-GT"/>
              </w:rPr>
              <w:t>onsumo</w:t>
            </w:r>
          </w:p>
        </w:tc>
        <w:tc>
          <w:tcPr>
            <w:tcW w:w="1418" w:type="dxa"/>
            <w:tcBorders>
              <w:top w:val="nil"/>
              <w:left w:val="single" w:sz="8" w:space="0" w:color="auto"/>
              <w:bottom w:val="nil"/>
              <w:right w:val="single" w:sz="8" w:space="0" w:color="auto"/>
            </w:tcBorders>
            <w:shd w:val="clear" w:color="auto" w:fill="auto"/>
            <w:noWrap/>
            <w:vAlign w:val="center"/>
            <w:hideMark/>
          </w:tcPr>
          <w:p w14:paraId="07AEDD4D" w14:textId="77777777" w:rsidR="00B545DE" w:rsidRPr="008E4E2A" w:rsidRDefault="00B545DE" w:rsidP="00B545DE">
            <w:pPr>
              <w:jc w:val="right"/>
              <w:rPr>
                <w:color w:val="000000"/>
                <w:sz w:val="20"/>
                <w:szCs w:val="20"/>
                <w:lang w:eastAsia="es-GT"/>
              </w:rPr>
            </w:pPr>
            <w:r w:rsidRPr="008E4E2A">
              <w:rPr>
                <w:color w:val="000000"/>
                <w:sz w:val="20"/>
                <w:szCs w:val="20"/>
                <w:lang w:eastAsia="es-GT"/>
              </w:rPr>
              <w:t>5,891.7</w:t>
            </w:r>
          </w:p>
        </w:tc>
        <w:tc>
          <w:tcPr>
            <w:tcW w:w="1275" w:type="dxa"/>
            <w:tcBorders>
              <w:top w:val="nil"/>
              <w:left w:val="single" w:sz="8" w:space="0" w:color="auto"/>
              <w:bottom w:val="nil"/>
              <w:right w:val="single" w:sz="8" w:space="0" w:color="auto"/>
            </w:tcBorders>
            <w:shd w:val="clear" w:color="auto" w:fill="auto"/>
            <w:noWrap/>
            <w:vAlign w:val="center"/>
            <w:hideMark/>
          </w:tcPr>
          <w:p w14:paraId="5A6C9A4E" w14:textId="77777777" w:rsidR="00B545DE" w:rsidRPr="008E4E2A" w:rsidRDefault="00B545DE" w:rsidP="00B545DE">
            <w:pPr>
              <w:jc w:val="right"/>
              <w:rPr>
                <w:color w:val="000000"/>
                <w:sz w:val="20"/>
                <w:szCs w:val="20"/>
                <w:lang w:eastAsia="es-GT"/>
              </w:rPr>
            </w:pPr>
            <w:r w:rsidRPr="008E4E2A">
              <w:rPr>
                <w:color w:val="000000"/>
                <w:sz w:val="20"/>
                <w:szCs w:val="20"/>
                <w:lang w:eastAsia="es-GT"/>
              </w:rPr>
              <w:t>2,526.1</w:t>
            </w:r>
          </w:p>
        </w:tc>
        <w:tc>
          <w:tcPr>
            <w:tcW w:w="985" w:type="dxa"/>
            <w:tcBorders>
              <w:top w:val="nil"/>
              <w:left w:val="single" w:sz="8" w:space="0" w:color="auto"/>
              <w:bottom w:val="nil"/>
              <w:right w:val="single" w:sz="8" w:space="0" w:color="auto"/>
            </w:tcBorders>
            <w:shd w:val="clear" w:color="auto" w:fill="auto"/>
            <w:noWrap/>
            <w:vAlign w:val="bottom"/>
            <w:hideMark/>
          </w:tcPr>
          <w:p w14:paraId="1368792E"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42.9%</w:t>
            </w:r>
          </w:p>
        </w:tc>
      </w:tr>
      <w:tr w:rsidR="00B545DE" w:rsidRPr="00032A94" w14:paraId="1D812AC3"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021DB995" w14:textId="3285629F"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Prestaciones de la </w:t>
            </w:r>
            <w:r w:rsidR="008E4E2A">
              <w:rPr>
                <w:color w:val="000000"/>
                <w:sz w:val="20"/>
                <w:szCs w:val="20"/>
                <w:lang w:eastAsia="es-GT"/>
              </w:rPr>
              <w:t>S</w:t>
            </w:r>
            <w:r w:rsidRPr="008E4E2A">
              <w:rPr>
                <w:color w:val="000000"/>
                <w:sz w:val="20"/>
                <w:szCs w:val="20"/>
                <w:lang w:eastAsia="es-GT"/>
              </w:rPr>
              <w:t xml:space="preserve">eguridad </w:t>
            </w:r>
            <w:r w:rsidR="008E4E2A">
              <w:rPr>
                <w:color w:val="000000"/>
                <w:sz w:val="20"/>
                <w:szCs w:val="20"/>
                <w:lang w:eastAsia="es-GT"/>
              </w:rPr>
              <w:t>S</w:t>
            </w:r>
            <w:r w:rsidRPr="008E4E2A">
              <w:rPr>
                <w:color w:val="000000"/>
                <w:sz w:val="20"/>
                <w:szCs w:val="20"/>
                <w:lang w:eastAsia="es-GT"/>
              </w:rPr>
              <w:t>ocial</w:t>
            </w:r>
          </w:p>
        </w:tc>
        <w:tc>
          <w:tcPr>
            <w:tcW w:w="1418" w:type="dxa"/>
            <w:tcBorders>
              <w:top w:val="nil"/>
              <w:left w:val="single" w:sz="8" w:space="0" w:color="auto"/>
              <w:bottom w:val="nil"/>
              <w:right w:val="single" w:sz="8" w:space="0" w:color="auto"/>
            </w:tcBorders>
            <w:shd w:val="clear" w:color="auto" w:fill="auto"/>
            <w:noWrap/>
            <w:vAlign w:val="center"/>
            <w:hideMark/>
          </w:tcPr>
          <w:p w14:paraId="4965485E" w14:textId="77777777" w:rsidR="00B545DE" w:rsidRPr="008E4E2A" w:rsidRDefault="00B545DE" w:rsidP="00B545DE">
            <w:pPr>
              <w:jc w:val="right"/>
              <w:rPr>
                <w:color w:val="000000"/>
                <w:sz w:val="20"/>
                <w:szCs w:val="20"/>
                <w:lang w:eastAsia="es-GT"/>
              </w:rPr>
            </w:pPr>
            <w:r w:rsidRPr="008E4E2A">
              <w:rPr>
                <w:color w:val="000000"/>
                <w:sz w:val="20"/>
                <w:szCs w:val="20"/>
                <w:lang w:eastAsia="es-GT"/>
              </w:rPr>
              <w:t>117.4</w:t>
            </w:r>
          </w:p>
        </w:tc>
        <w:tc>
          <w:tcPr>
            <w:tcW w:w="1275" w:type="dxa"/>
            <w:tcBorders>
              <w:top w:val="nil"/>
              <w:left w:val="single" w:sz="8" w:space="0" w:color="auto"/>
              <w:bottom w:val="nil"/>
              <w:right w:val="single" w:sz="8" w:space="0" w:color="auto"/>
            </w:tcBorders>
            <w:shd w:val="clear" w:color="auto" w:fill="auto"/>
            <w:noWrap/>
            <w:vAlign w:val="center"/>
            <w:hideMark/>
          </w:tcPr>
          <w:p w14:paraId="4D9623AE" w14:textId="77777777" w:rsidR="00B545DE" w:rsidRPr="008E4E2A" w:rsidRDefault="00B545DE" w:rsidP="00B545DE">
            <w:pPr>
              <w:jc w:val="right"/>
              <w:rPr>
                <w:color w:val="000000"/>
                <w:sz w:val="20"/>
                <w:szCs w:val="20"/>
                <w:lang w:eastAsia="es-GT"/>
              </w:rPr>
            </w:pPr>
            <w:r w:rsidRPr="008E4E2A">
              <w:rPr>
                <w:color w:val="000000"/>
                <w:sz w:val="20"/>
                <w:szCs w:val="20"/>
                <w:lang w:eastAsia="es-GT"/>
              </w:rPr>
              <w:t>53.6</w:t>
            </w:r>
          </w:p>
        </w:tc>
        <w:tc>
          <w:tcPr>
            <w:tcW w:w="985" w:type="dxa"/>
            <w:tcBorders>
              <w:top w:val="nil"/>
              <w:left w:val="single" w:sz="8" w:space="0" w:color="auto"/>
              <w:bottom w:val="nil"/>
              <w:right w:val="single" w:sz="8" w:space="0" w:color="auto"/>
            </w:tcBorders>
            <w:shd w:val="clear" w:color="auto" w:fill="auto"/>
            <w:noWrap/>
            <w:vAlign w:val="bottom"/>
            <w:hideMark/>
          </w:tcPr>
          <w:p w14:paraId="13E3996A"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45.7%</w:t>
            </w:r>
          </w:p>
        </w:tc>
      </w:tr>
      <w:tr w:rsidR="00B545DE" w:rsidRPr="00032A94" w14:paraId="4023DB5D"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7F52379A" w14:textId="285311FC"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Rentas de la </w:t>
            </w:r>
            <w:r w:rsidR="008E4E2A">
              <w:rPr>
                <w:color w:val="000000"/>
                <w:sz w:val="20"/>
                <w:szCs w:val="20"/>
                <w:lang w:eastAsia="es-GT"/>
              </w:rPr>
              <w:t>P</w:t>
            </w:r>
            <w:r w:rsidRPr="008E4E2A">
              <w:rPr>
                <w:color w:val="000000"/>
                <w:sz w:val="20"/>
                <w:szCs w:val="20"/>
                <w:lang w:eastAsia="es-GT"/>
              </w:rPr>
              <w:t>ropiedad</w:t>
            </w:r>
          </w:p>
        </w:tc>
        <w:tc>
          <w:tcPr>
            <w:tcW w:w="1418" w:type="dxa"/>
            <w:tcBorders>
              <w:top w:val="nil"/>
              <w:left w:val="single" w:sz="8" w:space="0" w:color="auto"/>
              <w:bottom w:val="nil"/>
              <w:right w:val="single" w:sz="8" w:space="0" w:color="auto"/>
            </w:tcBorders>
            <w:shd w:val="clear" w:color="auto" w:fill="auto"/>
            <w:noWrap/>
            <w:vAlign w:val="center"/>
            <w:hideMark/>
          </w:tcPr>
          <w:p w14:paraId="102C1B11" w14:textId="77777777" w:rsidR="00B545DE" w:rsidRPr="008E4E2A" w:rsidRDefault="00B545DE" w:rsidP="00B545DE">
            <w:pPr>
              <w:jc w:val="right"/>
              <w:rPr>
                <w:color w:val="000000"/>
                <w:sz w:val="20"/>
                <w:szCs w:val="20"/>
                <w:lang w:eastAsia="es-GT"/>
              </w:rPr>
            </w:pPr>
            <w:r w:rsidRPr="008E4E2A">
              <w:rPr>
                <w:color w:val="000000"/>
                <w:sz w:val="20"/>
                <w:szCs w:val="20"/>
                <w:lang w:eastAsia="es-GT"/>
              </w:rPr>
              <w:t>85.6</w:t>
            </w:r>
          </w:p>
        </w:tc>
        <w:tc>
          <w:tcPr>
            <w:tcW w:w="1275" w:type="dxa"/>
            <w:tcBorders>
              <w:top w:val="nil"/>
              <w:left w:val="single" w:sz="8" w:space="0" w:color="auto"/>
              <w:bottom w:val="nil"/>
              <w:right w:val="single" w:sz="8" w:space="0" w:color="auto"/>
            </w:tcBorders>
            <w:shd w:val="clear" w:color="auto" w:fill="auto"/>
            <w:noWrap/>
            <w:vAlign w:val="center"/>
            <w:hideMark/>
          </w:tcPr>
          <w:p w14:paraId="07170211" w14:textId="77777777" w:rsidR="00B545DE" w:rsidRPr="008E4E2A" w:rsidRDefault="00B545DE" w:rsidP="00B545DE">
            <w:pPr>
              <w:jc w:val="right"/>
              <w:rPr>
                <w:color w:val="000000"/>
                <w:sz w:val="20"/>
                <w:szCs w:val="20"/>
                <w:lang w:eastAsia="es-GT"/>
              </w:rPr>
            </w:pPr>
            <w:r w:rsidRPr="008E4E2A">
              <w:rPr>
                <w:color w:val="000000"/>
                <w:sz w:val="20"/>
                <w:szCs w:val="20"/>
                <w:lang w:eastAsia="es-GT"/>
              </w:rPr>
              <w:t>35.3</w:t>
            </w:r>
          </w:p>
        </w:tc>
        <w:tc>
          <w:tcPr>
            <w:tcW w:w="985" w:type="dxa"/>
            <w:tcBorders>
              <w:top w:val="nil"/>
              <w:left w:val="single" w:sz="8" w:space="0" w:color="auto"/>
              <w:bottom w:val="nil"/>
              <w:right w:val="single" w:sz="8" w:space="0" w:color="auto"/>
            </w:tcBorders>
            <w:shd w:val="clear" w:color="auto" w:fill="auto"/>
            <w:noWrap/>
            <w:vAlign w:val="bottom"/>
            <w:hideMark/>
          </w:tcPr>
          <w:p w14:paraId="18B70412"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41.2%</w:t>
            </w:r>
          </w:p>
        </w:tc>
      </w:tr>
      <w:tr w:rsidR="00B545DE" w:rsidRPr="00032A94" w14:paraId="5C906F06"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3AA35ACC" w14:textId="29DD1D4C"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Transferencias </w:t>
            </w:r>
            <w:r w:rsidR="008E4E2A">
              <w:rPr>
                <w:color w:val="000000"/>
                <w:sz w:val="20"/>
                <w:szCs w:val="20"/>
                <w:lang w:eastAsia="es-GT"/>
              </w:rPr>
              <w:t>C</w:t>
            </w:r>
            <w:r w:rsidRPr="008E4E2A">
              <w:rPr>
                <w:color w:val="000000"/>
                <w:sz w:val="20"/>
                <w:szCs w:val="20"/>
                <w:lang w:eastAsia="es-GT"/>
              </w:rPr>
              <w:t>orrientes</w:t>
            </w:r>
          </w:p>
        </w:tc>
        <w:tc>
          <w:tcPr>
            <w:tcW w:w="1418" w:type="dxa"/>
            <w:tcBorders>
              <w:top w:val="nil"/>
              <w:left w:val="single" w:sz="8" w:space="0" w:color="auto"/>
              <w:bottom w:val="nil"/>
              <w:right w:val="single" w:sz="8" w:space="0" w:color="auto"/>
            </w:tcBorders>
            <w:shd w:val="clear" w:color="auto" w:fill="auto"/>
            <w:noWrap/>
            <w:vAlign w:val="center"/>
            <w:hideMark/>
          </w:tcPr>
          <w:p w14:paraId="27DF200C" w14:textId="77777777" w:rsidR="00B545DE" w:rsidRPr="008E4E2A" w:rsidRDefault="00B545DE" w:rsidP="00B545DE">
            <w:pPr>
              <w:jc w:val="right"/>
              <w:rPr>
                <w:color w:val="000000"/>
                <w:sz w:val="20"/>
                <w:szCs w:val="20"/>
                <w:lang w:eastAsia="es-GT"/>
              </w:rPr>
            </w:pPr>
            <w:r w:rsidRPr="008E4E2A">
              <w:rPr>
                <w:color w:val="000000"/>
                <w:sz w:val="20"/>
                <w:szCs w:val="20"/>
                <w:lang w:eastAsia="es-GT"/>
              </w:rPr>
              <w:t>176.2</w:t>
            </w:r>
          </w:p>
        </w:tc>
        <w:tc>
          <w:tcPr>
            <w:tcW w:w="1275" w:type="dxa"/>
            <w:tcBorders>
              <w:top w:val="nil"/>
              <w:left w:val="single" w:sz="8" w:space="0" w:color="auto"/>
              <w:bottom w:val="nil"/>
              <w:right w:val="single" w:sz="8" w:space="0" w:color="auto"/>
            </w:tcBorders>
            <w:shd w:val="clear" w:color="auto" w:fill="auto"/>
            <w:noWrap/>
            <w:vAlign w:val="center"/>
            <w:hideMark/>
          </w:tcPr>
          <w:p w14:paraId="35DD4154" w14:textId="77777777" w:rsidR="00B545DE" w:rsidRPr="008E4E2A" w:rsidRDefault="00B545DE" w:rsidP="00B545DE">
            <w:pPr>
              <w:jc w:val="right"/>
              <w:rPr>
                <w:color w:val="000000"/>
                <w:sz w:val="20"/>
                <w:szCs w:val="20"/>
                <w:lang w:eastAsia="es-GT"/>
              </w:rPr>
            </w:pPr>
            <w:r w:rsidRPr="008E4E2A">
              <w:rPr>
                <w:color w:val="000000"/>
                <w:sz w:val="20"/>
                <w:szCs w:val="20"/>
                <w:lang w:eastAsia="es-GT"/>
              </w:rPr>
              <w:t>78.6</w:t>
            </w:r>
          </w:p>
        </w:tc>
        <w:tc>
          <w:tcPr>
            <w:tcW w:w="985" w:type="dxa"/>
            <w:tcBorders>
              <w:top w:val="nil"/>
              <w:left w:val="single" w:sz="8" w:space="0" w:color="auto"/>
              <w:bottom w:val="nil"/>
              <w:right w:val="single" w:sz="8" w:space="0" w:color="auto"/>
            </w:tcBorders>
            <w:shd w:val="clear" w:color="auto" w:fill="auto"/>
            <w:noWrap/>
            <w:vAlign w:val="bottom"/>
            <w:hideMark/>
          </w:tcPr>
          <w:p w14:paraId="04200C9C"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44.6%</w:t>
            </w:r>
          </w:p>
        </w:tc>
      </w:tr>
      <w:tr w:rsidR="00B545DE" w:rsidRPr="00032A94" w14:paraId="4345C497"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2C00156B" w14:textId="4810E8B7" w:rsidR="00B545DE" w:rsidRPr="008E4E2A" w:rsidRDefault="00B545DE" w:rsidP="00B545DE">
            <w:pPr>
              <w:ind w:firstLineChars="100" w:firstLine="201"/>
              <w:rPr>
                <w:b/>
                <w:bCs/>
                <w:color w:val="000000"/>
                <w:sz w:val="20"/>
                <w:szCs w:val="20"/>
                <w:lang w:eastAsia="es-GT"/>
              </w:rPr>
            </w:pPr>
            <w:r w:rsidRPr="008E4E2A">
              <w:rPr>
                <w:b/>
                <w:bCs/>
                <w:color w:val="000000"/>
                <w:sz w:val="20"/>
                <w:szCs w:val="20"/>
                <w:lang w:eastAsia="es-GT"/>
              </w:rPr>
              <w:t xml:space="preserve">Gastos de </w:t>
            </w:r>
            <w:r w:rsidR="008E4E2A">
              <w:rPr>
                <w:b/>
                <w:bCs/>
                <w:color w:val="000000"/>
                <w:sz w:val="20"/>
                <w:szCs w:val="20"/>
                <w:lang w:eastAsia="es-GT"/>
              </w:rPr>
              <w:t>C</w:t>
            </w:r>
            <w:r w:rsidRPr="008E4E2A">
              <w:rPr>
                <w:b/>
                <w:bCs/>
                <w:color w:val="000000"/>
                <w:sz w:val="20"/>
                <w:szCs w:val="20"/>
                <w:lang w:eastAsia="es-GT"/>
              </w:rPr>
              <w:t>apital</w:t>
            </w:r>
          </w:p>
        </w:tc>
        <w:tc>
          <w:tcPr>
            <w:tcW w:w="1418" w:type="dxa"/>
            <w:tcBorders>
              <w:top w:val="nil"/>
              <w:left w:val="single" w:sz="8" w:space="0" w:color="auto"/>
              <w:bottom w:val="nil"/>
              <w:right w:val="single" w:sz="8" w:space="0" w:color="auto"/>
            </w:tcBorders>
            <w:shd w:val="clear" w:color="auto" w:fill="auto"/>
            <w:noWrap/>
            <w:vAlign w:val="center"/>
            <w:hideMark/>
          </w:tcPr>
          <w:p w14:paraId="1A42745A"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16,109.0</w:t>
            </w:r>
          </w:p>
        </w:tc>
        <w:tc>
          <w:tcPr>
            <w:tcW w:w="1275" w:type="dxa"/>
            <w:tcBorders>
              <w:top w:val="nil"/>
              <w:left w:val="single" w:sz="8" w:space="0" w:color="auto"/>
              <w:bottom w:val="nil"/>
              <w:right w:val="single" w:sz="8" w:space="0" w:color="auto"/>
            </w:tcBorders>
            <w:shd w:val="clear" w:color="auto" w:fill="auto"/>
            <w:noWrap/>
            <w:vAlign w:val="center"/>
            <w:hideMark/>
          </w:tcPr>
          <w:p w14:paraId="0276694E"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5,902.7</w:t>
            </w:r>
          </w:p>
        </w:tc>
        <w:tc>
          <w:tcPr>
            <w:tcW w:w="985" w:type="dxa"/>
            <w:tcBorders>
              <w:top w:val="nil"/>
              <w:left w:val="single" w:sz="8" w:space="0" w:color="auto"/>
              <w:bottom w:val="nil"/>
              <w:right w:val="single" w:sz="8" w:space="0" w:color="auto"/>
            </w:tcBorders>
            <w:shd w:val="clear" w:color="auto" w:fill="auto"/>
            <w:noWrap/>
            <w:vAlign w:val="bottom"/>
            <w:hideMark/>
          </w:tcPr>
          <w:p w14:paraId="13B28930"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36.6%</w:t>
            </w:r>
          </w:p>
        </w:tc>
      </w:tr>
      <w:tr w:rsidR="00B545DE" w:rsidRPr="00032A94" w14:paraId="55C56BC3"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6693B0A4" w14:textId="0A6FA838"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Inversión </w:t>
            </w:r>
            <w:r w:rsidR="008E4E2A">
              <w:rPr>
                <w:color w:val="000000"/>
                <w:sz w:val="20"/>
                <w:szCs w:val="20"/>
                <w:lang w:eastAsia="es-GT"/>
              </w:rPr>
              <w:t>R</w:t>
            </w:r>
            <w:r w:rsidRPr="008E4E2A">
              <w:rPr>
                <w:color w:val="000000"/>
                <w:sz w:val="20"/>
                <w:szCs w:val="20"/>
                <w:lang w:eastAsia="es-GT"/>
              </w:rPr>
              <w:t xml:space="preserve">eal </w:t>
            </w:r>
            <w:r w:rsidR="008E4E2A">
              <w:rPr>
                <w:color w:val="000000"/>
                <w:sz w:val="20"/>
                <w:szCs w:val="20"/>
                <w:lang w:eastAsia="es-GT"/>
              </w:rPr>
              <w:t>D</w:t>
            </w:r>
            <w:r w:rsidRPr="008E4E2A">
              <w:rPr>
                <w:color w:val="000000"/>
                <w:sz w:val="20"/>
                <w:szCs w:val="20"/>
                <w:lang w:eastAsia="es-GT"/>
              </w:rPr>
              <w:t>irecta</w:t>
            </w:r>
          </w:p>
        </w:tc>
        <w:tc>
          <w:tcPr>
            <w:tcW w:w="1418" w:type="dxa"/>
            <w:tcBorders>
              <w:top w:val="nil"/>
              <w:left w:val="single" w:sz="8" w:space="0" w:color="auto"/>
              <w:bottom w:val="nil"/>
              <w:right w:val="single" w:sz="8" w:space="0" w:color="auto"/>
            </w:tcBorders>
            <w:shd w:val="clear" w:color="auto" w:fill="auto"/>
            <w:noWrap/>
            <w:vAlign w:val="center"/>
            <w:hideMark/>
          </w:tcPr>
          <w:p w14:paraId="4AEC70F9" w14:textId="77777777" w:rsidR="00B545DE" w:rsidRPr="008E4E2A" w:rsidRDefault="00B545DE" w:rsidP="00B545DE">
            <w:pPr>
              <w:jc w:val="right"/>
              <w:rPr>
                <w:color w:val="000000"/>
                <w:sz w:val="20"/>
                <w:szCs w:val="20"/>
                <w:lang w:eastAsia="es-GT"/>
              </w:rPr>
            </w:pPr>
            <w:r w:rsidRPr="008E4E2A">
              <w:rPr>
                <w:color w:val="000000"/>
                <w:sz w:val="20"/>
                <w:szCs w:val="20"/>
                <w:lang w:eastAsia="es-GT"/>
              </w:rPr>
              <w:t>15,795.0</w:t>
            </w:r>
          </w:p>
        </w:tc>
        <w:tc>
          <w:tcPr>
            <w:tcW w:w="1275" w:type="dxa"/>
            <w:tcBorders>
              <w:top w:val="nil"/>
              <w:left w:val="single" w:sz="8" w:space="0" w:color="auto"/>
              <w:bottom w:val="nil"/>
              <w:right w:val="single" w:sz="8" w:space="0" w:color="auto"/>
            </w:tcBorders>
            <w:shd w:val="clear" w:color="auto" w:fill="auto"/>
            <w:noWrap/>
            <w:vAlign w:val="center"/>
            <w:hideMark/>
          </w:tcPr>
          <w:p w14:paraId="6BB6E1C9" w14:textId="77777777" w:rsidR="00B545DE" w:rsidRPr="008E4E2A" w:rsidRDefault="00B545DE" w:rsidP="00B545DE">
            <w:pPr>
              <w:jc w:val="right"/>
              <w:rPr>
                <w:color w:val="000000"/>
                <w:sz w:val="20"/>
                <w:szCs w:val="20"/>
                <w:lang w:eastAsia="es-GT"/>
              </w:rPr>
            </w:pPr>
            <w:r w:rsidRPr="008E4E2A">
              <w:rPr>
                <w:color w:val="000000"/>
                <w:sz w:val="20"/>
                <w:szCs w:val="20"/>
                <w:lang w:eastAsia="es-GT"/>
              </w:rPr>
              <w:t>5,722.2</w:t>
            </w:r>
          </w:p>
        </w:tc>
        <w:tc>
          <w:tcPr>
            <w:tcW w:w="985" w:type="dxa"/>
            <w:tcBorders>
              <w:top w:val="nil"/>
              <w:left w:val="single" w:sz="8" w:space="0" w:color="auto"/>
              <w:bottom w:val="nil"/>
              <w:right w:val="single" w:sz="8" w:space="0" w:color="auto"/>
            </w:tcBorders>
            <w:shd w:val="clear" w:color="auto" w:fill="auto"/>
            <w:noWrap/>
            <w:vAlign w:val="bottom"/>
            <w:hideMark/>
          </w:tcPr>
          <w:p w14:paraId="6200DA59" w14:textId="77777777" w:rsidR="00B545DE" w:rsidRPr="008E4E2A" w:rsidRDefault="00B545DE" w:rsidP="00B545DE">
            <w:pPr>
              <w:jc w:val="center"/>
              <w:rPr>
                <w:color w:val="000000"/>
                <w:sz w:val="20"/>
                <w:szCs w:val="20"/>
                <w:lang w:eastAsia="es-GT"/>
              </w:rPr>
            </w:pPr>
            <w:r w:rsidRPr="008E4E2A">
              <w:rPr>
                <w:color w:val="000000"/>
                <w:sz w:val="20"/>
                <w:szCs w:val="20"/>
                <w:lang w:eastAsia="es-GT"/>
              </w:rPr>
              <w:t>36.2%</w:t>
            </w:r>
          </w:p>
        </w:tc>
      </w:tr>
      <w:tr w:rsidR="00B545DE" w:rsidRPr="00032A94" w14:paraId="52399BC3"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11C3F31B" w14:textId="0C7C86C2"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 xml:space="preserve">Transferencias de </w:t>
            </w:r>
            <w:r w:rsidR="008E4E2A">
              <w:rPr>
                <w:color w:val="000000"/>
                <w:sz w:val="20"/>
                <w:szCs w:val="20"/>
                <w:lang w:eastAsia="es-GT"/>
              </w:rPr>
              <w:t>C</w:t>
            </w:r>
            <w:r w:rsidRPr="008E4E2A">
              <w:rPr>
                <w:color w:val="000000"/>
                <w:sz w:val="20"/>
                <w:szCs w:val="20"/>
                <w:lang w:eastAsia="es-GT"/>
              </w:rPr>
              <w:t>apital</w:t>
            </w:r>
          </w:p>
        </w:tc>
        <w:tc>
          <w:tcPr>
            <w:tcW w:w="1418" w:type="dxa"/>
            <w:tcBorders>
              <w:top w:val="nil"/>
              <w:left w:val="single" w:sz="8" w:space="0" w:color="auto"/>
              <w:bottom w:val="nil"/>
              <w:right w:val="single" w:sz="8" w:space="0" w:color="auto"/>
            </w:tcBorders>
            <w:shd w:val="clear" w:color="auto" w:fill="auto"/>
            <w:noWrap/>
            <w:vAlign w:val="center"/>
            <w:hideMark/>
          </w:tcPr>
          <w:p w14:paraId="25520F6D" w14:textId="77777777" w:rsidR="00B545DE" w:rsidRPr="008E4E2A" w:rsidRDefault="00B545DE" w:rsidP="00B545DE">
            <w:pPr>
              <w:jc w:val="right"/>
              <w:rPr>
                <w:color w:val="000000"/>
                <w:sz w:val="20"/>
                <w:szCs w:val="20"/>
                <w:lang w:eastAsia="es-GT"/>
              </w:rPr>
            </w:pPr>
            <w:r w:rsidRPr="008E4E2A">
              <w:rPr>
                <w:color w:val="000000"/>
                <w:sz w:val="20"/>
                <w:szCs w:val="20"/>
                <w:lang w:eastAsia="es-GT"/>
              </w:rPr>
              <w:t>314.0</w:t>
            </w:r>
          </w:p>
        </w:tc>
        <w:tc>
          <w:tcPr>
            <w:tcW w:w="1275" w:type="dxa"/>
            <w:tcBorders>
              <w:top w:val="nil"/>
              <w:left w:val="single" w:sz="8" w:space="0" w:color="auto"/>
              <w:bottom w:val="nil"/>
              <w:right w:val="single" w:sz="8" w:space="0" w:color="auto"/>
            </w:tcBorders>
            <w:shd w:val="clear" w:color="auto" w:fill="auto"/>
            <w:noWrap/>
            <w:vAlign w:val="center"/>
            <w:hideMark/>
          </w:tcPr>
          <w:p w14:paraId="5826A06A" w14:textId="77777777" w:rsidR="00B545DE" w:rsidRPr="008E4E2A" w:rsidRDefault="00B545DE" w:rsidP="00B545DE">
            <w:pPr>
              <w:jc w:val="right"/>
              <w:rPr>
                <w:color w:val="000000"/>
                <w:sz w:val="20"/>
                <w:szCs w:val="20"/>
                <w:lang w:eastAsia="es-GT"/>
              </w:rPr>
            </w:pPr>
            <w:r w:rsidRPr="008E4E2A">
              <w:rPr>
                <w:color w:val="000000"/>
                <w:sz w:val="20"/>
                <w:szCs w:val="20"/>
                <w:lang w:eastAsia="es-GT"/>
              </w:rPr>
              <w:t>180.5</w:t>
            </w:r>
          </w:p>
        </w:tc>
        <w:tc>
          <w:tcPr>
            <w:tcW w:w="985" w:type="dxa"/>
            <w:tcBorders>
              <w:top w:val="nil"/>
              <w:left w:val="single" w:sz="8" w:space="0" w:color="auto"/>
              <w:bottom w:val="nil"/>
              <w:right w:val="single" w:sz="8" w:space="0" w:color="auto"/>
            </w:tcBorders>
            <w:shd w:val="clear" w:color="auto" w:fill="auto"/>
            <w:noWrap/>
            <w:vAlign w:val="bottom"/>
            <w:hideMark/>
          </w:tcPr>
          <w:p w14:paraId="5CE4D7DA" w14:textId="77777777" w:rsidR="00B545DE" w:rsidRPr="008E4E2A" w:rsidRDefault="00B545DE" w:rsidP="00B545DE">
            <w:pPr>
              <w:jc w:val="center"/>
              <w:rPr>
                <w:color w:val="000000"/>
                <w:sz w:val="20"/>
                <w:szCs w:val="20"/>
                <w:lang w:eastAsia="es-GT"/>
              </w:rPr>
            </w:pPr>
            <w:r w:rsidRPr="008E4E2A">
              <w:rPr>
                <w:color w:val="000000"/>
                <w:sz w:val="20"/>
                <w:szCs w:val="20"/>
                <w:lang w:eastAsia="es-GT"/>
              </w:rPr>
              <w:t>57.5%</w:t>
            </w:r>
          </w:p>
        </w:tc>
      </w:tr>
      <w:tr w:rsidR="00B545DE" w:rsidRPr="00032A94" w14:paraId="3E97B38A" w14:textId="77777777" w:rsidTr="00533929">
        <w:trPr>
          <w:trHeight w:val="254"/>
        </w:trPr>
        <w:tc>
          <w:tcPr>
            <w:tcW w:w="5245" w:type="dxa"/>
            <w:tcBorders>
              <w:top w:val="nil"/>
              <w:left w:val="single" w:sz="8" w:space="0" w:color="auto"/>
              <w:bottom w:val="single" w:sz="8" w:space="0" w:color="44B3E1"/>
              <w:right w:val="nil"/>
            </w:tcBorders>
            <w:shd w:val="clear" w:color="000000" w:fill="D0D0D0"/>
            <w:noWrap/>
            <w:vAlign w:val="center"/>
            <w:hideMark/>
          </w:tcPr>
          <w:p w14:paraId="07197251" w14:textId="6F317A34" w:rsidR="00B545DE" w:rsidRPr="008E4E2A" w:rsidRDefault="00B545DE" w:rsidP="00B545DE">
            <w:pPr>
              <w:rPr>
                <w:b/>
                <w:bCs/>
                <w:color w:val="000000"/>
                <w:sz w:val="20"/>
                <w:szCs w:val="20"/>
                <w:lang w:eastAsia="es-GT"/>
              </w:rPr>
            </w:pPr>
            <w:r w:rsidRPr="008E4E2A">
              <w:rPr>
                <w:b/>
                <w:bCs/>
                <w:color w:val="000000"/>
                <w:sz w:val="20"/>
                <w:szCs w:val="20"/>
                <w:lang w:eastAsia="es-GT"/>
              </w:rPr>
              <w:t xml:space="preserve">Resultado </w:t>
            </w:r>
            <w:r w:rsidR="008E4E2A">
              <w:rPr>
                <w:b/>
                <w:bCs/>
                <w:color w:val="000000"/>
                <w:sz w:val="20"/>
                <w:szCs w:val="20"/>
                <w:lang w:eastAsia="es-GT"/>
              </w:rPr>
              <w:t>P</w:t>
            </w:r>
            <w:r w:rsidRPr="008E4E2A">
              <w:rPr>
                <w:b/>
                <w:bCs/>
                <w:color w:val="000000"/>
                <w:sz w:val="20"/>
                <w:szCs w:val="20"/>
                <w:lang w:eastAsia="es-GT"/>
              </w:rPr>
              <w:t>resupuesta</w:t>
            </w:r>
            <w:r w:rsidR="008E4E2A">
              <w:rPr>
                <w:b/>
                <w:bCs/>
                <w:color w:val="000000"/>
                <w:sz w:val="20"/>
                <w:szCs w:val="20"/>
                <w:lang w:eastAsia="es-GT"/>
              </w:rPr>
              <w:t>rio</w:t>
            </w:r>
          </w:p>
        </w:tc>
        <w:tc>
          <w:tcPr>
            <w:tcW w:w="1418" w:type="dxa"/>
            <w:tcBorders>
              <w:top w:val="nil"/>
              <w:left w:val="single" w:sz="8" w:space="0" w:color="auto"/>
              <w:bottom w:val="single" w:sz="4" w:space="0" w:color="44B3E1"/>
              <w:right w:val="single" w:sz="8" w:space="0" w:color="auto"/>
            </w:tcBorders>
            <w:shd w:val="clear" w:color="000000" w:fill="D0D0D0"/>
            <w:noWrap/>
            <w:vAlign w:val="center"/>
            <w:hideMark/>
          </w:tcPr>
          <w:p w14:paraId="7643452B"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-2,150.8</w:t>
            </w:r>
          </w:p>
        </w:tc>
        <w:tc>
          <w:tcPr>
            <w:tcW w:w="1275" w:type="dxa"/>
            <w:tcBorders>
              <w:top w:val="nil"/>
              <w:left w:val="single" w:sz="8" w:space="0" w:color="auto"/>
              <w:bottom w:val="single" w:sz="4" w:space="0" w:color="44B3E1"/>
              <w:right w:val="single" w:sz="8" w:space="0" w:color="auto"/>
            </w:tcBorders>
            <w:shd w:val="clear" w:color="000000" w:fill="D0D0D0"/>
            <w:noWrap/>
            <w:vAlign w:val="center"/>
            <w:hideMark/>
          </w:tcPr>
          <w:p w14:paraId="0DC18839"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554.8</w:t>
            </w:r>
          </w:p>
        </w:tc>
        <w:tc>
          <w:tcPr>
            <w:tcW w:w="985" w:type="dxa"/>
            <w:tcBorders>
              <w:top w:val="nil"/>
              <w:left w:val="single" w:sz="8" w:space="0" w:color="auto"/>
              <w:bottom w:val="single" w:sz="4" w:space="0" w:color="44B3E1"/>
              <w:right w:val="single" w:sz="8" w:space="0" w:color="auto"/>
            </w:tcBorders>
            <w:shd w:val="clear" w:color="000000" w:fill="D0D0D0"/>
            <w:noWrap/>
            <w:vAlign w:val="bottom"/>
            <w:hideMark/>
          </w:tcPr>
          <w:p w14:paraId="5493A116"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-25.8%</w:t>
            </w:r>
          </w:p>
        </w:tc>
      </w:tr>
      <w:tr w:rsidR="00B545DE" w:rsidRPr="00032A94" w14:paraId="7E2C6854" w14:textId="77777777" w:rsidTr="00533929">
        <w:trPr>
          <w:trHeight w:val="254"/>
        </w:trPr>
        <w:tc>
          <w:tcPr>
            <w:tcW w:w="5245" w:type="dxa"/>
            <w:tcBorders>
              <w:top w:val="nil"/>
              <w:left w:val="single" w:sz="8" w:space="0" w:color="auto"/>
              <w:bottom w:val="single" w:sz="8" w:space="0" w:color="44B3E1"/>
              <w:right w:val="nil"/>
            </w:tcBorders>
            <w:shd w:val="clear" w:color="auto" w:fill="auto"/>
            <w:noWrap/>
            <w:vAlign w:val="center"/>
            <w:hideMark/>
          </w:tcPr>
          <w:p w14:paraId="5CCF9A36" w14:textId="77777777" w:rsidR="00B545DE" w:rsidRPr="008E4E2A" w:rsidRDefault="00B545DE" w:rsidP="00B545DE">
            <w:pPr>
              <w:rPr>
                <w:b/>
                <w:bCs/>
                <w:color w:val="000000"/>
                <w:sz w:val="20"/>
                <w:szCs w:val="20"/>
                <w:lang w:eastAsia="es-GT"/>
              </w:rPr>
            </w:pPr>
            <w:r w:rsidRPr="008E4E2A">
              <w:rPr>
                <w:b/>
                <w:bCs/>
                <w:color w:val="000000"/>
                <w:sz w:val="20"/>
                <w:szCs w:val="20"/>
                <w:lang w:eastAsia="es-GT"/>
              </w:rPr>
              <w:t>Financiamiento</w:t>
            </w:r>
          </w:p>
        </w:tc>
        <w:tc>
          <w:tcPr>
            <w:tcW w:w="1418" w:type="dxa"/>
            <w:tcBorders>
              <w:top w:val="nil"/>
              <w:left w:val="single" w:sz="8" w:space="0" w:color="auto"/>
              <w:bottom w:val="single" w:sz="8" w:space="0" w:color="44B3E1"/>
              <w:right w:val="single" w:sz="8" w:space="0" w:color="auto"/>
            </w:tcBorders>
            <w:shd w:val="clear" w:color="auto" w:fill="auto"/>
            <w:noWrap/>
            <w:vAlign w:val="center"/>
            <w:hideMark/>
          </w:tcPr>
          <w:p w14:paraId="235BE4BB"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2,150.8</w:t>
            </w:r>
          </w:p>
        </w:tc>
        <w:tc>
          <w:tcPr>
            <w:tcW w:w="1275" w:type="dxa"/>
            <w:tcBorders>
              <w:top w:val="nil"/>
              <w:left w:val="single" w:sz="8" w:space="0" w:color="auto"/>
              <w:bottom w:val="single" w:sz="8" w:space="0" w:color="44B3E1"/>
              <w:right w:val="single" w:sz="8" w:space="0" w:color="auto"/>
            </w:tcBorders>
            <w:shd w:val="clear" w:color="auto" w:fill="auto"/>
            <w:noWrap/>
            <w:vAlign w:val="center"/>
            <w:hideMark/>
          </w:tcPr>
          <w:p w14:paraId="1762AEFB"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-554.8</w:t>
            </w:r>
          </w:p>
        </w:tc>
        <w:tc>
          <w:tcPr>
            <w:tcW w:w="985" w:type="dxa"/>
            <w:tcBorders>
              <w:top w:val="nil"/>
              <w:left w:val="single" w:sz="8" w:space="0" w:color="auto"/>
              <w:bottom w:val="single" w:sz="8" w:space="0" w:color="44B3E1"/>
              <w:right w:val="single" w:sz="8" w:space="0" w:color="auto"/>
            </w:tcBorders>
            <w:shd w:val="clear" w:color="auto" w:fill="auto"/>
            <w:noWrap/>
            <w:vAlign w:val="center"/>
            <w:hideMark/>
          </w:tcPr>
          <w:p w14:paraId="3FDF8CE1"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-25.8%</w:t>
            </w:r>
          </w:p>
        </w:tc>
      </w:tr>
      <w:tr w:rsidR="00B545DE" w:rsidRPr="00032A94" w14:paraId="0F97CB93"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08AB617E" w14:textId="77777777" w:rsidR="00B545DE" w:rsidRPr="008E4E2A" w:rsidRDefault="00B545DE" w:rsidP="00B545DE">
            <w:pPr>
              <w:ind w:firstLineChars="100" w:firstLine="201"/>
              <w:rPr>
                <w:b/>
                <w:bCs/>
                <w:color w:val="000000"/>
                <w:sz w:val="20"/>
                <w:szCs w:val="20"/>
                <w:lang w:eastAsia="es-GT"/>
              </w:rPr>
            </w:pPr>
            <w:r w:rsidRPr="008E4E2A">
              <w:rPr>
                <w:b/>
                <w:bCs/>
                <w:color w:val="000000"/>
                <w:sz w:val="20"/>
                <w:szCs w:val="20"/>
                <w:lang w:eastAsia="es-GT"/>
              </w:rPr>
              <w:t>Prestamos</w:t>
            </w:r>
          </w:p>
        </w:tc>
        <w:tc>
          <w:tcPr>
            <w:tcW w:w="1418" w:type="dxa"/>
            <w:tcBorders>
              <w:top w:val="nil"/>
              <w:left w:val="single" w:sz="8" w:space="0" w:color="auto"/>
              <w:bottom w:val="nil"/>
              <w:right w:val="single" w:sz="8" w:space="0" w:color="auto"/>
            </w:tcBorders>
            <w:shd w:val="clear" w:color="auto" w:fill="auto"/>
            <w:noWrap/>
            <w:vAlign w:val="center"/>
            <w:hideMark/>
          </w:tcPr>
          <w:p w14:paraId="31C7E5BB"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-327.0</w:t>
            </w:r>
          </w:p>
        </w:tc>
        <w:tc>
          <w:tcPr>
            <w:tcW w:w="1275" w:type="dxa"/>
            <w:tcBorders>
              <w:top w:val="nil"/>
              <w:left w:val="single" w:sz="8" w:space="0" w:color="auto"/>
              <w:bottom w:val="nil"/>
              <w:right w:val="single" w:sz="8" w:space="0" w:color="auto"/>
            </w:tcBorders>
            <w:shd w:val="clear" w:color="auto" w:fill="auto"/>
            <w:noWrap/>
            <w:vAlign w:val="center"/>
            <w:hideMark/>
          </w:tcPr>
          <w:p w14:paraId="5CC5114C"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-240.0</w:t>
            </w:r>
          </w:p>
        </w:tc>
        <w:tc>
          <w:tcPr>
            <w:tcW w:w="985" w:type="dxa"/>
            <w:tcBorders>
              <w:top w:val="nil"/>
              <w:left w:val="single" w:sz="8" w:space="0" w:color="auto"/>
              <w:bottom w:val="nil"/>
              <w:right w:val="single" w:sz="8" w:space="0" w:color="auto"/>
            </w:tcBorders>
            <w:shd w:val="clear" w:color="auto" w:fill="auto"/>
            <w:noWrap/>
            <w:vAlign w:val="bottom"/>
            <w:hideMark/>
          </w:tcPr>
          <w:p w14:paraId="0F356CB3"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73.4%</w:t>
            </w:r>
          </w:p>
        </w:tc>
      </w:tr>
      <w:tr w:rsidR="00B545DE" w:rsidRPr="00032A94" w14:paraId="6CB5621B"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4D6970E3" w14:textId="77777777"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Amortización</w:t>
            </w:r>
          </w:p>
        </w:tc>
        <w:tc>
          <w:tcPr>
            <w:tcW w:w="1418" w:type="dxa"/>
            <w:tcBorders>
              <w:top w:val="nil"/>
              <w:left w:val="single" w:sz="8" w:space="0" w:color="auto"/>
              <w:bottom w:val="nil"/>
              <w:right w:val="single" w:sz="8" w:space="0" w:color="auto"/>
            </w:tcBorders>
            <w:shd w:val="clear" w:color="auto" w:fill="auto"/>
            <w:noWrap/>
            <w:vAlign w:val="center"/>
            <w:hideMark/>
          </w:tcPr>
          <w:p w14:paraId="611C8DED" w14:textId="77777777" w:rsidR="00B545DE" w:rsidRPr="008E4E2A" w:rsidRDefault="00B545DE" w:rsidP="00B545DE">
            <w:pPr>
              <w:jc w:val="right"/>
              <w:rPr>
                <w:color w:val="000000"/>
                <w:sz w:val="20"/>
                <w:szCs w:val="20"/>
                <w:lang w:eastAsia="es-GT"/>
              </w:rPr>
            </w:pPr>
            <w:r w:rsidRPr="008E4E2A">
              <w:rPr>
                <w:color w:val="000000"/>
                <w:sz w:val="20"/>
                <w:szCs w:val="20"/>
                <w:lang w:eastAsia="es-GT"/>
              </w:rPr>
              <w:t>-635.5</w:t>
            </w:r>
          </w:p>
        </w:tc>
        <w:tc>
          <w:tcPr>
            <w:tcW w:w="1275" w:type="dxa"/>
            <w:tcBorders>
              <w:top w:val="nil"/>
              <w:left w:val="single" w:sz="8" w:space="0" w:color="auto"/>
              <w:bottom w:val="nil"/>
              <w:right w:val="single" w:sz="8" w:space="0" w:color="auto"/>
            </w:tcBorders>
            <w:shd w:val="clear" w:color="auto" w:fill="auto"/>
            <w:noWrap/>
            <w:vAlign w:val="center"/>
            <w:hideMark/>
          </w:tcPr>
          <w:p w14:paraId="1F7DB8A8" w14:textId="77777777" w:rsidR="00B545DE" w:rsidRPr="008E4E2A" w:rsidRDefault="00B545DE" w:rsidP="00B545DE">
            <w:pPr>
              <w:jc w:val="right"/>
              <w:rPr>
                <w:color w:val="000000"/>
                <w:sz w:val="20"/>
                <w:szCs w:val="20"/>
                <w:lang w:eastAsia="es-GT"/>
              </w:rPr>
            </w:pPr>
            <w:r w:rsidRPr="008E4E2A">
              <w:rPr>
                <w:color w:val="000000"/>
                <w:sz w:val="20"/>
                <w:szCs w:val="20"/>
                <w:lang w:eastAsia="es-GT"/>
              </w:rPr>
              <w:t>-303.7</w:t>
            </w:r>
          </w:p>
        </w:tc>
        <w:tc>
          <w:tcPr>
            <w:tcW w:w="985" w:type="dxa"/>
            <w:tcBorders>
              <w:top w:val="nil"/>
              <w:left w:val="single" w:sz="8" w:space="0" w:color="auto"/>
              <w:bottom w:val="nil"/>
              <w:right w:val="single" w:sz="8" w:space="0" w:color="auto"/>
            </w:tcBorders>
            <w:shd w:val="clear" w:color="auto" w:fill="auto"/>
            <w:noWrap/>
            <w:vAlign w:val="bottom"/>
            <w:hideMark/>
          </w:tcPr>
          <w:p w14:paraId="3521CCAA" w14:textId="77777777" w:rsidR="00B545DE" w:rsidRPr="008E4E2A" w:rsidRDefault="00B545DE" w:rsidP="00B545DE">
            <w:pPr>
              <w:jc w:val="center"/>
              <w:rPr>
                <w:color w:val="000000"/>
                <w:sz w:val="20"/>
                <w:szCs w:val="20"/>
                <w:lang w:eastAsia="es-GT"/>
              </w:rPr>
            </w:pPr>
            <w:r w:rsidRPr="008E4E2A">
              <w:rPr>
                <w:color w:val="000000"/>
                <w:sz w:val="20"/>
                <w:szCs w:val="20"/>
                <w:lang w:eastAsia="es-GT"/>
              </w:rPr>
              <w:t>47.8%</w:t>
            </w:r>
          </w:p>
        </w:tc>
      </w:tr>
      <w:tr w:rsidR="00B545DE" w:rsidRPr="00032A94" w14:paraId="10F836E6"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0581A989" w14:textId="77777777" w:rsidR="00B545DE" w:rsidRPr="008E4E2A" w:rsidRDefault="00B545DE" w:rsidP="00B545DE">
            <w:pPr>
              <w:ind w:firstLineChars="200" w:firstLine="400"/>
              <w:rPr>
                <w:color w:val="000000"/>
                <w:sz w:val="20"/>
                <w:szCs w:val="20"/>
                <w:lang w:eastAsia="es-GT"/>
              </w:rPr>
            </w:pPr>
            <w:r w:rsidRPr="008E4E2A">
              <w:rPr>
                <w:color w:val="000000"/>
                <w:sz w:val="20"/>
                <w:szCs w:val="20"/>
                <w:lang w:eastAsia="es-GT"/>
              </w:rPr>
              <w:t>Desembolsos</w:t>
            </w:r>
          </w:p>
        </w:tc>
        <w:tc>
          <w:tcPr>
            <w:tcW w:w="1418" w:type="dxa"/>
            <w:tcBorders>
              <w:top w:val="nil"/>
              <w:left w:val="single" w:sz="8" w:space="0" w:color="auto"/>
              <w:bottom w:val="nil"/>
              <w:right w:val="single" w:sz="8" w:space="0" w:color="auto"/>
            </w:tcBorders>
            <w:shd w:val="clear" w:color="auto" w:fill="auto"/>
            <w:noWrap/>
            <w:vAlign w:val="center"/>
            <w:hideMark/>
          </w:tcPr>
          <w:p w14:paraId="5A51ACD5" w14:textId="77777777" w:rsidR="00B545DE" w:rsidRPr="008E4E2A" w:rsidRDefault="00B545DE" w:rsidP="00B545DE">
            <w:pPr>
              <w:jc w:val="right"/>
              <w:rPr>
                <w:color w:val="000000"/>
                <w:sz w:val="20"/>
                <w:szCs w:val="20"/>
                <w:lang w:eastAsia="es-GT"/>
              </w:rPr>
            </w:pPr>
            <w:r w:rsidRPr="008E4E2A">
              <w:rPr>
                <w:color w:val="000000"/>
                <w:sz w:val="20"/>
                <w:szCs w:val="20"/>
                <w:lang w:eastAsia="es-GT"/>
              </w:rPr>
              <w:t>308.5</w:t>
            </w:r>
          </w:p>
        </w:tc>
        <w:tc>
          <w:tcPr>
            <w:tcW w:w="1275" w:type="dxa"/>
            <w:tcBorders>
              <w:top w:val="nil"/>
              <w:left w:val="single" w:sz="8" w:space="0" w:color="auto"/>
              <w:bottom w:val="nil"/>
              <w:right w:val="single" w:sz="8" w:space="0" w:color="auto"/>
            </w:tcBorders>
            <w:shd w:val="clear" w:color="auto" w:fill="auto"/>
            <w:noWrap/>
            <w:vAlign w:val="center"/>
            <w:hideMark/>
          </w:tcPr>
          <w:p w14:paraId="0A604CD6" w14:textId="77777777" w:rsidR="00B545DE" w:rsidRPr="008E4E2A" w:rsidRDefault="00B545DE" w:rsidP="00B545DE">
            <w:pPr>
              <w:jc w:val="right"/>
              <w:rPr>
                <w:color w:val="000000"/>
                <w:sz w:val="20"/>
                <w:szCs w:val="20"/>
                <w:lang w:eastAsia="es-GT"/>
              </w:rPr>
            </w:pPr>
            <w:r w:rsidRPr="008E4E2A">
              <w:rPr>
                <w:color w:val="000000"/>
                <w:sz w:val="20"/>
                <w:szCs w:val="20"/>
                <w:lang w:eastAsia="es-GT"/>
              </w:rPr>
              <w:t>63.7</w:t>
            </w:r>
          </w:p>
        </w:tc>
        <w:tc>
          <w:tcPr>
            <w:tcW w:w="985" w:type="dxa"/>
            <w:tcBorders>
              <w:top w:val="nil"/>
              <w:left w:val="single" w:sz="8" w:space="0" w:color="auto"/>
              <w:bottom w:val="nil"/>
              <w:right w:val="single" w:sz="8" w:space="0" w:color="auto"/>
            </w:tcBorders>
            <w:shd w:val="clear" w:color="auto" w:fill="auto"/>
            <w:noWrap/>
            <w:vAlign w:val="bottom"/>
            <w:hideMark/>
          </w:tcPr>
          <w:p w14:paraId="2B705EF9" w14:textId="77777777" w:rsidR="00B545DE" w:rsidRPr="008E4E2A" w:rsidRDefault="00B545DE" w:rsidP="00B545DE">
            <w:pPr>
              <w:jc w:val="center"/>
              <w:rPr>
                <w:color w:val="000000"/>
                <w:sz w:val="20"/>
                <w:szCs w:val="20"/>
                <w:lang w:eastAsia="es-GT"/>
              </w:rPr>
            </w:pPr>
            <w:r w:rsidRPr="008E4E2A">
              <w:rPr>
                <w:color w:val="000000"/>
                <w:sz w:val="20"/>
                <w:szCs w:val="20"/>
                <w:lang w:eastAsia="es-GT"/>
              </w:rPr>
              <w:t>20.6%</w:t>
            </w:r>
          </w:p>
        </w:tc>
      </w:tr>
      <w:tr w:rsidR="00B545DE" w:rsidRPr="00032A94" w14:paraId="6E738214" w14:textId="77777777" w:rsidTr="00533929">
        <w:trPr>
          <w:trHeight w:val="240"/>
        </w:trPr>
        <w:tc>
          <w:tcPr>
            <w:tcW w:w="5245" w:type="dxa"/>
            <w:tcBorders>
              <w:top w:val="nil"/>
              <w:left w:val="single" w:sz="8" w:space="0" w:color="auto"/>
              <w:bottom w:val="nil"/>
              <w:right w:val="nil"/>
            </w:tcBorders>
            <w:shd w:val="clear" w:color="auto" w:fill="auto"/>
            <w:noWrap/>
            <w:vAlign w:val="center"/>
            <w:hideMark/>
          </w:tcPr>
          <w:p w14:paraId="1D5ED120" w14:textId="7CB4652A" w:rsidR="00B545DE" w:rsidRPr="008E4E2A" w:rsidRDefault="00B545DE" w:rsidP="00B545DE">
            <w:pPr>
              <w:ind w:firstLineChars="100" w:firstLine="201"/>
              <w:rPr>
                <w:b/>
                <w:bCs/>
                <w:color w:val="000000"/>
                <w:sz w:val="20"/>
                <w:szCs w:val="20"/>
                <w:lang w:eastAsia="es-GT"/>
              </w:rPr>
            </w:pPr>
            <w:r w:rsidRPr="008E4E2A">
              <w:rPr>
                <w:b/>
                <w:bCs/>
                <w:color w:val="000000"/>
                <w:sz w:val="20"/>
                <w:szCs w:val="20"/>
                <w:lang w:eastAsia="es-GT"/>
              </w:rPr>
              <w:t xml:space="preserve">Otras </w:t>
            </w:r>
            <w:r w:rsidR="00E62BBA">
              <w:rPr>
                <w:b/>
                <w:bCs/>
                <w:color w:val="000000"/>
                <w:sz w:val="20"/>
                <w:szCs w:val="20"/>
                <w:lang w:eastAsia="es-GT"/>
              </w:rPr>
              <w:t>C</w:t>
            </w:r>
            <w:r w:rsidRPr="008E4E2A">
              <w:rPr>
                <w:b/>
                <w:bCs/>
                <w:color w:val="000000"/>
                <w:sz w:val="20"/>
                <w:szCs w:val="20"/>
                <w:lang w:eastAsia="es-GT"/>
              </w:rPr>
              <w:t xml:space="preserve">uentas por </w:t>
            </w:r>
            <w:r w:rsidR="00E62BBA">
              <w:rPr>
                <w:b/>
                <w:bCs/>
                <w:color w:val="000000"/>
                <w:sz w:val="20"/>
                <w:szCs w:val="20"/>
                <w:lang w:eastAsia="es-GT"/>
              </w:rPr>
              <w:t>P</w:t>
            </w:r>
            <w:r w:rsidRPr="008E4E2A">
              <w:rPr>
                <w:b/>
                <w:bCs/>
                <w:color w:val="000000"/>
                <w:sz w:val="20"/>
                <w:szCs w:val="20"/>
                <w:lang w:eastAsia="es-GT"/>
              </w:rPr>
              <w:t>agar</w:t>
            </w:r>
          </w:p>
        </w:tc>
        <w:tc>
          <w:tcPr>
            <w:tcW w:w="1418" w:type="dxa"/>
            <w:tcBorders>
              <w:top w:val="nil"/>
              <w:left w:val="single" w:sz="8" w:space="0" w:color="auto"/>
              <w:bottom w:val="nil"/>
              <w:right w:val="single" w:sz="8" w:space="0" w:color="auto"/>
            </w:tcBorders>
            <w:shd w:val="clear" w:color="auto" w:fill="auto"/>
            <w:noWrap/>
            <w:vAlign w:val="center"/>
            <w:hideMark/>
          </w:tcPr>
          <w:p w14:paraId="59897B9C"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321.7</w:t>
            </w:r>
          </w:p>
        </w:tc>
        <w:tc>
          <w:tcPr>
            <w:tcW w:w="1275" w:type="dxa"/>
            <w:tcBorders>
              <w:top w:val="nil"/>
              <w:left w:val="single" w:sz="8" w:space="0" w:color="auto"/>
              <w:bottom w:val="nil"/>
              <w:right w:val="single" w:sz="8" w:space="0" w:color="auto"/>
            </w:tcBorders>
            <w:shd w:val="clear" w:color="auto" w:fill="auto"/>
            <w:noWrap/>
            <w:vAlign w:val="center"/>
            <w:hideMark/>
          </w:tcPr>
          <w:p w14:paraId="0A57F85A"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-22.9</w:t>
            </w:r>
          </w:p>
        </w:tc>
        <w:tc>
          <w:tcPr>
            <w:tcW w:w="985" w:type="dxa"/>
            <w:tcBorders>
              <w:top w:val="nil"/>
              <w:left w:val="single" w:sz="8" w:space="0" w:color="auto"/>
              <w:bottom w:val="nil"/>
              <w:right w:val="single" w:sz="8" w:space="0" w:color="auto"/>
            </w:tcBorders>
            <w:shd w:val="clear" w:color="auto" w:fill="auto"/>
            <w:noWrap/>
            <w:vAlign w:val="bottom"/>
            <w:hideMark/>
          </w:tcPr>
          <w:p w14:paraId="6BDF3EA7"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-7.1%</w:t>
            </w:r>
          </w:p>
        </w:tc>
      </w:tr>
      <w:tr w:rsidR="00B545DE" w:rsidRPr="00032A94" w14:paraId="28C2A880" w14:textId="77777777" w:rsidTr="00533929">
        <w:trPr>
          <w:trHeight w:val="254"/>
        </w:trPr>
        <w:tc>
          <w:tcPr>
            <w:tcW w:w="5245" w:type="dxa"/>
            <w:tcBorders>
              <w:top w:val="nil"/>
              <w:left w:val="single" w:sz="8" w:space="0" w:color="auto"/>
              <w:bottom w:val="single" w:sz="8" w:space="0" w:color="auto"/>
              <w:right w:val="nil"/>
            </w:tcBorders>
            <w:shd w:val="clear" w:color="auto" w:fill="auto"/>
            <w:noWrap/>
            <w:vAlign w:val="center"/>
            <w:hideMark/>
          </w:tcPr>
          <w:p w14:paraId="60522B61" w14:textId="1BB29141" w:rsidR="00B545DE" w:rsidRPr="008E4E2A" w:rsidRDefault="00B545DE" w:rsidP="00B545DE">
            <w:pPr>
              <w:ind w:firstLineChars="100" w:firstLine="201"/>
              <w:rPr>
                <w:b/>
                <w:bCs/>
                <w:color w:val="000000"/>
                <w:sz w:val="20"/>
                <w:szCs w:val="20"/>
                <w:lang w:eastAsia="es-GT"/>
              </w:rPr>
            </w:pPr>
            <w:r w:rsidRPr="008E4E2A">
              <w:rPr>
                <w:b/>
                <w:bCs/>
                <w:color w:val="000000"/>
                <w:sz w:val="20"/>
                <w:szCs w:val="20"/>
                <w:lang w:eastAsia="es-GT"/>
              </w:rPr>
              <w:t xml:space="preserve">Variación de </w:t>
            </w:r>
            <w:r w:rsidR="00E62BBA">
              <w:rPr>
                <w:b/>
                <w:bCs/>
                <w:color w:val="000000"/>
                <w:sz w:val="20"/>
                <w:szCs w:val="20"/>
                <w:lang w:eastAsia="es-GT"/>
              </w:rPr>
              <w:t>C</w:t>
            </w:r>
            <w:r w:rsidRPr="008E4E2A">
              <w:rPr>
                <w:b/>
                <w:bCs/>
                <w:color w:val="000000"/>
                <w:sz w:val="20"/>
                <w:szCs w:val="20"/>
                <w:lang w:eastAsia="es-GT"/>
              </w:rPr>
              <w:t xml:space="preserve">aja (+) </w:t>
            </w:r>
            <w:r w:rsidR="00E62BBA">
              <w:rPr>
                <w:b/>
                <w:bCs/>
                <w:color w:val="000000"/>
                <w:sz w:val="20"/>
                <w:szCs w:val="20"/>
                <w:lang w:eastAsia="es-GT"/>
              </w:rPr>
              <w:t>D</w:t>
            </w:r>
            <w:r w:rsidRPr="008E4E2A">
              <w:rPr>
                <w:b/>
                <w:bCs/>
                <w:color w:val="000000"/>
                <w:sz w:val="20"/>
                <w:szCs w:val="20"/>
                <w:lang w:eastAsia="es-GT"/>
              </w:rPr>
              <w:t xml:space="preserve">isminución (-) </w:t>
            </w:r>
            <w:r w:rsidR="00E62BBA">
              <w:rPr>
                <w:b/>
                <w:bCs/>
                <w:color w:val="000000"/>
                <w:sz w:val="20"/>
                <w:szCs w:val="20"/>
                <w:lang w:eastAsia="es-GT"/>
              </w:rPr>
              <w:t>A</w:t>
            </w:r>
            <w:r w:rsidRPr="008E4E2A">
              <w:rPr>
                <w:b/>
                <w:bCs/>
                <w:color w:val="000000"/>
                <w:sz w:val="20"/>
                <w:szCs w:val="20"/>
                <w:lang w:eastAsia="es-GT"/>
              </w:rPr>
              <w:t>umento</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4B571AA7"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2,156.1</w:t>
            </w:r>
          </w:p>
        </w:tc>
        <w:tc>
          <w:tcPr>
            <w:tcW w:w="1275" w:type="dxa"/>
            <w:tcBorders>
              <w:top w:val="nil"/>
              <w:left w:val="single" w:sz="8" w:space="0" w:color="auto"/>
              <w:bottom w:val="single" w:sz="8" w:space="0" w:color="auto"/>
              <w:right w:val="single" w:sz="8" w:space="0" w:color="auto"/>
            </w:tcBorders>
            <w:shd w:val="clear" w:color="auto" w:fill="auto"/>
            <w:noWrap/>
            <w:vAlign w:val="center"/>
            <w:hideMark/>
          </w:tcPr>
          <w:p w14:paraId="67A66084" w14:textId="77777777" w:rsidR="00B545DE" w:rsidRPr="008E4E2A" w:rsidRDefault="00B545DE" w:rsidP="00B545DE">
            <w:pPr>
              <w:jc w:val="right"/>
              <w:rPr>
                <w:b/>
                <w:bCs/>
                <w:color w:val="000000"/>
                <w:sz w:val="20"/>
                <w:szCs w:val="20"/>
                <w:lang w:eastAsia="es-GT"/>
              </w:rPr>
            </w:pPr>
            <w:r w:rsidRPr="008E4E2A">
              <w:rPr>
                <w:b/>
                <w:bCs/>
                <w:color w:val="000000"/>
                <w:sz w:val="20"/>
                <w:szCs w:val="20"/>
                <w:lang w:eastAsia="es-GT"/>
              </w:rPr>
              <w:t>-291.9</w:t>
            </w:r>
          </w:p>
        </w:tc>
        <w:tc>
          <w:tcPr>
            <w:tcW w:w="985" w:type="dxa"/>
            <w:tcBorders>
              <w:top w:val="nil"/>
              <w:left w:val="single" w:sz="8" w:space="0" w:color="auto"/>
              <w:bottom w:val="single" w:sz="8" w:space="0" w:color="auto"/>
              <w:right w:val="single" w:sz="8" w:space="0" w:color="auto"/>
            </w:tcBorders>
            <w:shd w:val="clear" w:color="auto" w:fill="auto"/>
            <w:noWrap/>
            <w:vAlign w:val="bottom"/>
            <w:hideMark/>
          </w:tcPr>
          <w:p w14:paraId="74D19EB6" w14:textId="77777777" w:rsidR="00B545DE" w:rsidRPr="008E4E2A" w:rsidRDefault="00B545DE" w:rsidP="00B545DE">
            <w:pPr>
              <w:jc w:val="center"/>
              <w:rPr>
                <w:b/>
                <w:bCs/>
                <w:color w:val="000000"/>
                <w:sz w:val="20"/>
                <w:szCs w:val="20"/>
                <w:lang w:eastAsia="es-GT"/>
              </w:rPr>
            </w:pPr>
            <w:r w:rsidRPr="008E4E2A">
              <w:rPr>
                <w:b/>
                <w:bCs/>
                <w:color w:val="000000"/>
                <w:sz w:val="20"/>
                <w:szCs w:val="20"/>
                <w:lang w:eastAsia="es-GT"/>
              </w:rPr>
              <w:t>-13.5%</w:t>
            </w:r>
          </w:p>
        </w:tc>
      </w:tr>
    </w:tbl>
    <w:p w14:paraId="4EC6FE0E" w14:textId="459CDA91" w:rsidR="00B545DE" w:rsidRPr="00BC0150" w:rsidRDefault="00B545DE" w:rsidP="00B545DE">
      <w:pPr>
        <w:autoSpaceDE w:val="0"/>
        <w:autoSpaceDN w:val="0"/>
        <w:adjustRightInd w:val="0"/>
        <w:jc w:val="both"/>
        <w:rPr>
          <w:sz w:val="18"/>
          <w:szCs w:val="18"/>
        </w:rPr>
      </w:pPr>
      <w:r w:rsidRPr="00BC0150">
        <w:rPr>
          <w:sz w:val="18"/>
          <w:szCs w:val="18"/>
        </w:rPr>
        <w:t xml:space="preserve">Fuente: SICOIN </w:t>
      </w:r>
      <w:r w:rsidR="00E62BBA" w:rsidRPr="00BC0150">
        <w:rPr>
          <w:sz w:val="18"/>
          <w:szCs w:val="18"/>
        </w:rPr>
        <w:t>de Gobiernos Locales.</w:t>
      </w:r>
    </w:p>
    <w:p w14:paraId="430D4AD5" w14:textId="20FDD9E5" w:rsidR="00B545DE" w:rsidRPr="00BC0150" w:rsidRDefault="00B545DE" w:rsidP="00B545DE">
      <w:pPr>
        <w:rPr>
          <w:sz w:val="18"/>
          <w:szCs w:val="18"/>
        </w:rPr>
      </w:pPr>
      <w:r w:rsidRPr="00BC0150">
        <w:rPr>
          <w:sz w:val="18"/>
          <w:szCs w:val="18"/>
        </w:rPr>
        <w:t>1/ Corresponde a las cifras sin consolida</w:t>
      </w:r>
      <w:r w:rsidR="00E62BBA" w:rsidRPr="00BC0150">
        <w:rPr>
          <w:sz w:val="18"/>
          <w:szCs w:val="18"/>
        </w:rPr>
        <w:t>ción</w:t>
      </w:r>
      <w:r w:rsidRPr="00BC0150">
        <w:rPr>
          <w:sz w:val="18"/>
          <w:szCs w:val="18"/>
        </w:rPr>
        <w:t>, es decir, sin eliminar operaciones recíprocas entre las unidades del mismo subsector de gobierno.</w:t>
      </w:r>
    </w:p>
    <w:p w14:paraId="27B2CF59" w14:textId="77777777" w:rsidR="00B545DE" w:rsidRPr="00E62BBA" w:rsidRDefault="00B545DE" w:rsidP="00742D4F"/>
    <w:p w14:paraId="718111B8" w14:textId="77777777" w:rsidR="00742D4F" w:rsidRPr="00E62BBA" w:rsidRDefault="00742D4F" w:rsidP="00742D4F">
      <w:pPr>
        <w:autoSpaceDE w:val="0"/>
        <w:autoSpaceDN w:val="0"/>
        <w:adjustRightInd w:val="0"/>
        <w:jc w:val="both"/>
      </w:pPr>
    </w:p>
    <w:p w14:paraId="7F91C690" w14:textId="77777777" w:rsidR="00742D4F" w:rsidRPr="00533929" w:rsidRDefault="00742D4F" w:rsidP="00742D4F">
      <w:pPr>
        <w:autoSpaceDE w:val="0"/>
        <w:autoSpaceDN w:val="0"/>
        <w:adjustRightInd w:val="0"/>
        <w:jc w:val="both"/>
        <w:rPr>
          <w:sz w:val="16"/>
        </w:rPr>
      </w:pPr>
    </w:p>
    <w:p w14:paraId="167B72EF" w14:textId="7D668D6C" w:rsidR="004B5DF5" w:rsidRPr="007C2C9B" w:rsidRDefault="004B5DF5" w:rsidP="00550287">
      <w:pPr>
        <w:pStyle w:val="Ttulo1"/>
        <w:numPr>
          <w:ilvl w:val="0"/>
          <w:numId w:val="2"/>
        </w:numPr>
        <w:tabs>
          <w:tab w:val="num" w:pos="0"/>
        </w:tabs>
        <w:suppressAutoHyphens/>
        <w:ind w:left="709"/>
      </w:pPr>
      <w:bookmarkStart w:id="82" w:name="_Toc494447094"/>
      <w:bookmarkStart w:id="83" w:name="_Toc142920569"/>
      <w:r w:rsidRPr="007C2C9B">
        <w:t>Aspectos Relevantes de</w:t>
      </w:r>
      <w:r w:rsidR="00B20C2F" w:rsidRPr="007C2C9B">
        <w:t>l Primer Semestre</w:t>
      </w:r>
      <w:r w:rsidRPr="007C2C9B">
        <w:t xml:space="preserve"> 20</w:t>
      </w:r>
      <w:r w:rsidR="00A57870" w:rsidRPr="007C2C9B">
        <w:t>2</w:t>
      </w:r>
      <w:r w:rsidR="00C37816" w:rsidRPr="007C2C9B">
        <w:t>3</w:t>
      </w:r>
      <w:bookmarkEnd w:id="82"/>
      <w:r w:rsidR="009340C5" w:rsidRPr="007C2C9B">
        <w:t xml:space="preserve"> y su </w:t>
      </w:r>
      <w:r w:rsidR="000D2458" w:rsidRPr="007C2C9B">
        <w:t>c</w:t>
      </w:r>
      <w:r w:rsidR="009340C5" w:rsidRPr="007C2C9B">
        <w:t xml:space="preserve">ontinuidad </w:t>
      </w:r>
      <w:r w:rsidR="00EA1931" w:rsidRPr="007C2C9B">
        <w:t>para</w:t>
      </w:r>
      <w:r w:rsidR="009340C5" w:rsidRPr="007C2C9B">
        <w:t xml:space="preserve"> </w:t>
      </w:r>
      <w:r w:rsidR="000D2458" w:rsidRPr="007C2C9B">
        <w:t>F</w:t>
      </w:r>
      <w:r w:rsidR="009340C5" w:rsidRPr="007C2C9B">
        <w:t xml:space="preserve">in de </w:t>
      </w:r>
      <w:r w:rsidR="000D2458" w:rsidRPr="007C2C9B">
        <w:t>A</w:t>
      </w:r>
      <w:r w:rsidR="009340C5" w:rsidRPr="007C2C9B">
        <w:t>ño</w:t>
      </w:r>
      <w:bookmarkEnd w:id="83"/>
    </w:p>
    <w:p w14:paraId="18F4EE9A" w14:textId="77777777" w:rsidR="004B5DF5" w:rsidRPr="003C1FEE" w:rsidRDefault="004B5DF5" w:rsidP="004B5DF5">
      <w:pPr>
        <w:jc w:val="both"/>
        <w:rPr>
          <w:highlight w:val="green"/>
        </w:rPr>
      </w:pPr>
    </w:p>
    <w:p w14:paraId="07725122" w14:textId="77777777" w:rsidR="004B5DF5" w:rsidRPr="00D845D9" w:rsidRDefault="004B5DF5" w:rsidP="00FC0361">
      <w:pPr>
        <w:pStyle w:val="Ttulo2"/>
        <w:numPr>
          <w:ilvl w:val="1"/>
          <w:numId w:val="3"/>
        </w:numPr>
        <w:rPr>
          <w:rFonts w:ascii="Times New Roman" w:hAnsi="Times New Roman"/>
          <w:color w:val="auto"/>
          <w:sz w:val="24"/>
        </w:rPr>
      </w:pPr>
      <w:bookmarkStart w:id="84" w:name="_Toc142920570"/>
      <w:r w:rsidRPr="00D845D9">
        <w:rPr>
          <w:rFonts w:ascii="Times New Roman" w:hAnsi="Times New Roman"/>
          <w:color w:val="auto"/>
          <w:sz w:val="24"/>
        </w:rPr>
        <w:t xml:space="preserve">Logros </w:t>
      </w:r>
      <w:r w:rsidR="00EE1310">
        <w:rPr>
          <w:rFonts w:ascii="Times New Roman" w:hAnsi="Times New Roman"/>
          <w:color w:val="auto"/>
          <w:sz w:val="24"/>
        </w:rPr>
        <w:t>sobre</w:t>
      </w:r>
      <w:r w:rsidRPr="00D845D9">
        <w:rPr>
          <w:rFonts w:ascii="Times New Roman" w:hAnsi="Times New Roman"/>
          <w:color w:val="auto"/>
          <w:sz w:val="24"/>
        </w:rPr>
        <w:t xml:space="preserve"> Transparencia Fiscal</w:t>
      </w:r>
      <w:bookmarkEnd w:id="84"/>
    </w:p>
    <w:p w14:paraId="479F27E5" w14:textId="77777777" w:rsidR="004B5DF5" w:rsidRPr="00533929" w:rsidRDefault="004B5DF5" w:rsidP="004B5DF5">
      <w:pPr>
        <w:pStyle w:val="Prrafodelista"/>
        <w:ind w:left="284"/>
        <w:jc w:val="both"/>
      </w:pPr>
    </w:p>
    <w:p w14:paraId="640F4D05" w14:textId="37F6655C" w:rsidR="0014578E" w:rsidRDefault="008F5BA3" w:rsidP="00EA1931">
      <w:pPr>
        <w:jc w:val="both"/>
        <w:rPr>
          <w:lang w:val="es-ES_tradnl"/>
        </w:rPr>
      </w:pPr>
      <w:r>
        <w:rPr>
          <w:b/>
          <w:i/>
          <w:lang w:val="es-ES_tradnl"/>
        </w:rPr>
        <w:t>Quinto</w:t>
      </w:r>
      <w:r w:rsidR="00EA1931" w:rsidRPr="006D17DE">
        <w:rPr>
          <w:b/>
          <w:i/>
          <w:lang w:val="es-ES_tradnl"/>
        </w:rPr>
        <w:t xml:space="preserve"> </w:t>
      </w:r>
      <w:r w:rsidR="00C35D21">
        <w:rPr>
          <w:b/>
          <w:i/>
          <w:lang w:val="es-ES_tradnl"/>
        </w:rPr>
        <w:t xml:space="preserve">y Sexto </w:t>
      </w:r>
      <w:r w:rsidR="00EA1931" w:rsidRPr="006D17DE">
        <w:rPr>
          <w:b/>
          <w:i/>
          <w:lang w:val="es-ES_tradnl"/>
        </w:rPr>
        <w:t>Plan de Acción Nacional de Gobierno Abierto.</w:t>
      </w:r>
      <w:r w:rsidR="005D720C">
        <w:rPr>
          <w:b/>
          <w:i/>
          <w:lang w:val="es-ES_tradnl"/>
        </w:rPr>
        <w:t xml:space="preserve"> </w:t>
      </w:r>
      <w:r w:rsidR="005D720C">
        <w:rPr>
          <w:lang w:val="es-ES_tradnl"/>
        </w:rPr>
        <w:t>El</w:t>
      </w:r>
      <w:r w:rsidR="007E47E7">
        <w:rPr>
          <w:lang w:val="es-ES_tradnl"/>
        </w:rPr>
        <w:t xml:space="preserve"> Quinto</w:t>
      </w:r>
      <w:r>
        <w:rPr>
          <w:lang w:val="es-ES_tradnl"/>
        </w:rPr>
        <w:t xml:space="preserve"> Plan de Acción Nacional de Gobierno Abierto 20</w:t>
      </w:r>
      <w:r w:rsidR="007E47E7">
        <w:rPr>
          <w:lang w:val="es-ES_tradnl"/>
        </w:rPr>
        <w:t>21-2023</w:t>
      </w:r>
      <w:r w:rsidR="005D720C">
        <w:rPr>
          <w:lang w:val="es-ES_tradnl"/>
        </w:rPr>
        <w:t xml:space="preserve"> entró en su recta final de implementación, ya que oficialmente concluye su vigencia el 31 de agosto de 2023. El mismo abarcó </w:t>
      </w:r>
      <w:r w:rsidR="003A0B8A">
        <w:rPr>
          <w:lang w:val="es-ES_tradnl"/>
        </w:rPr>
        <w:t>6</w:t>
      </w:r>
      <w:r w:rsidR="005D720C">
        <w:rPr>
          <w:lang w:val="es-ES_tradnl"/>
        </w:rPr>
        <w:t xml:space="preserve"> áreas temáticas y fue conformado por </w:t>
      </w:r>
      <w:r w:rsidR="003A0B8A">
        <w:rPr>
          <w:lang w:val="es-ES_tradnl"/>
        </w:rPr>
        <w:t>12</w:t>
      </w:r>
      <w:r w:rsidR="005D720C">
        <w:rPr>
          <w:lang w:val="es-ES_tradnl"/>
        </w:rPr>
        <w:t xml:space="preserve"> compromisos </w:t>
      </w:r>
      <w:r w:rsidR="003A0B8A">
        <w:rPr>
          <w:lang w:val="es-ES_tradnl"/>
        </w:rPr>
        <w:t xml:space="preserve">y 49 hitos </w:t>
      </w:r>
      <w:r w:rsidR="005D720C">
        <w:rPr>
          <w:lang w:val="es-ES_tradnl"/>
        </w:rPr>
        <w:t xml:space="preserve">consensuados entre las entidades públicas y las organizaciones de sociedad civil que participan en la Iniciativa de Gobierno Abierto en </w:t>
      </w:r>
      <w:r w:rsidR="0014578E">
        <w:rPr>
          <w:lang w:val="es-ES_tradnl"/>
        </w:rPr>
        <w:t>Guatemala</w:t>
      </w:r>
      <w:r w:rsidR="005D720C">
        <w:rPr>
          <w:lang w:val="es-ES_tradnl"/>
        </w:rPr>
        <w:t xml:space="preserve">. </w:t>
      </w:r>
      <w:r w:rsidR="0014578E">
        <w:rPr>
          <w:lang w:val="es-ES_tradnl"/>
        </w:rPr>
        <w:t>Estos doce compromisos se definieron de la siguiente manera:</w:t>
      </w:r>
    </w:p>
    <w:p w14:paraId="48014B25" w14:textId="053B2659" w:rsidR="0014578E" w:rsidRDefault="0014578E" w:rsidP="00EA1931">
      <w:pPr>
        <w:jc w:val="both"/>
        <w:rPr>
          <w:lang w:val="es-ES_tradnl"/>
        </w:rPr>
      </w:pPr>
    </w:p>
    <w:p w14:paraId="54220981" w14:textId="77777777" w:rsidR="00782399" w:rsidRPr="00782399" w:rsidRDefault="00782399" w:rsidP="00782399">
      <w:pPr>
        <w:jc w:val="both"/>
        <w:rPr>
          <w:lang w:val="es-ES_tradnl"/>
        </w:rPr>
      </w:pPr>
      <w:r w:rsidRPr="00782399">
        <w:rPr>
          <w:lang w:val="es-ES_tradnl"/>
        </w:rPr>
        <w:t>1.</w:t>
      </w:r>
      <w:r w:rsidRPr="00782399">
        <w:rPr>
          <w:lang w:val="es-ES_tradnl"/>
        </w:rPr>
        <w:tab/>
        <w:t>Acciones para el fortalecimiento de publicación en datos abiertos.</w:t>
      </w:r>
    </w:p>
    <w:p w14:paraId="38D38683" w14:textId="77777777" w:rsidR="00782399" w:rsidRPr="00782399" w:rsidRDefault="00782399" w:rsidP="00782399">
      <w:pPr>
        <w:jc w:val="both"/>
        <w:rPr>
          <w:lang w:val="es-ES_tradnl"/>
        </w:rPr>
      </w:pPr>
      <w:r w:rsidRPr="00782399">
        <w:rPr>
          <w:lang w:val="es-ES_tradnl"/>
        </w:rPr>
        <w:t>2.</w:t>
      </w:r>
      <w:r w:rsidRPr="00782399">
        <w:rPr>
          <w:lang w:val="es-ES_tradnl"/>
        </w:rPr>
        <w:tab/>
        <w:t>Actualización participativa del Plan Nacional de Gobierno Digital 2021-2026.</w:t>
      </w:r>
    </w:p>
    <w:p w14:paraId="25DC119B" w14:textId="77777777" w:rsidR="00782399" w:rsidRPr="00782399" w:rsidRDefault="00782399" w:rsidP="00782399">
      <w:pPr>
        <w:jc w:val="both"/>
        <w:rPr>
          <w:lang w:val="es-ES_tradnl"/>
        </w:rPr>
      </w:pPr>
      <w:r w:rsidRPr="00782399">
        <w:rPr>
          <w:lang w:val="es-ES_tradnl"/>
        </w:rPr>
        <w:t>3.</w:t>
      </w:r>
      <w:r w:rsidRPr="00782399">
        <w:rPr>
          <w:lang w:val="es-ES_tradnl"/>
        </w:rPr>
        <w:tab/>
        <w:t>Promoción de la Gran Cruzada Nacional por la Nutrición.</w:t>
      </w:r>
    </w:p>
    <w:p w14:paraId="069C1BC3" w14:textId="77777777" w:rsidR="00782399" w:rsidRPr="00782399" w:rsidRDefault="00782399" w:rsidP="00782399">
      <w:pPr>
        <w:ind w:left="709" w:hanging="709"/>
        <w:jc w:val="both"/>
        <w:rPr>
          <w:lang w:val="es-ES_tradnl"/>
        </w:rPr>
      </w:pPr>
      <w:r w:rsidRPr="00782399">
        <w:rPr>
          <w:lang w:val="es-ES_tradnl"/>
        </w:rPr>
        <w:t>4.</w:t>
      </w:r>
      <w:r w:rsidRPr="00782399">
        <w:rPr>
          <w:lang w:val="es-ES_tradnl"/>
        </w:rPr>
        <w:tab/>
        <w:t>Elaboración de una herramienta digital de consulta que transparente las gestiones del Ministerio de Educación, que permita identificar información pertinente y la definición de sus indicadores de forma colaborativa.</w:t>
      </w:r>
    </w:p>
    <w:p w14:paraId="2DE1C103" w14:textId="77777777" w:rsidR="00782399" w:rsidRPr="00782399" w:rsidRDefault="00782399" w:rsidP="00782399">
      <w:pPr>
        <w:ind w:left="709" w:hanging="709"/>
        <w:jc w:val="both"/>
        <w:rPr>
          <w:lang w:val="es-ES_tradnl"/>
        </w:rPr>
      </w:pPr>
      <w:r w:rsidRPr="00782399">
        <w:rPr>
          <w:lang w:val="es-ES_tradnl"/>
        </w:rPr>
        <w:t>5.</w:t>
      </w:r>
      <w:r w:rsidRPr="00782399">
        <w:rPr>
          <w:lang w:val="es-ES_tradnl"/>
        </w:rPr>
        <w:tab/>
        <w:t>Fortalecimiento de la transparencia y procesos de rendición de cuentas en el Ministerio de Salud Pública y Asistencia Social.</w:t>
      </w:r>
    </w:p>
    <w:p w14:paraId="48B65A45" w14:textId="77777777" w:rsidR="00782399" w:rsidRPr="00782399" w:rsidRDefault="00782399" w:rsidP="00782399">
      <w:pPr>
        <w:ind w:left="709" w:hanging="709"/>
        <w:jc w:val="both"/>
        <w:rPr>
          <w:lang w:val="es-ES_tradnl"/>
        </w:rPr>
      </w:pPr>
      <w:r w:rsidRPr="00782399">
        <w:rPr>
          <w:lang w:val="es-ES_tradnl"/>
        </w:rPr>
        <w:t>6.</w:t>
      </w:r>
      <w:r w:rsidRPr="00782399">
        <w:rPr>
          <w:lang w:val="es-ES_tradnl"/>
        </w:rPr>
        <w:tab/>
        <w:t>Transparencia, rendición de cuentas y acciones de socialización para fortalecer los esfuerzos por el medio ambiente, detener el cambio climático y proteger la biodiversidad del país.</w:t>
      </w:r>
    </w:p>
    <w:p w14:paraId="16B1DC2A" w14:textId="77777777" w:rsidR="00782399" w:rsidRPr="00782399" w:rsidRDefault="00782399" w:rsidP="00782399">
      <w:pPr>
        <w:ind w:left="709" w:hanging="709"/>
        <w:jc w:val="both"/>
        <w:rPr>
          <w:lang w:val="es-ES_tradnl"/>
        </w:rPr>
      </w:pPr>
      <w:r w:rsidRPr="00782399">
        <w:rPr>
          <w:lang w:val="es-ES_tradnl"/>
        </w:rPr>
        <w:t>7.</w:t>
      </w:r>
      <w:r w:rsidRPr="00782399">
        <w:rPr>
          <w:lang w:val="es-ES_tradnl"/>
        </w:rPr>
        <w:tab/>
        <w:t>Realización de acciones orientadas a la aplicación del Plan de Acción de la Política Nacional de Empleo Digno 2017-2032.</w:t>
      </w:r>
    </w:p>
    <w:p w14:paraId="4057FB98" w14:textId="77777777" w:rsidR="00782399" w:rsidRPr="00782399" w:rsidRDefault="00782399" w:rsidP="00782399">
      <w:pPr>
        <w:ind w:left="709" w:hanging="709"/>
        <w:jc w:val="both"/>
        <w:rPr>
          <w:lang w:val="es-ES_tradnl"/>
        </w:rPr>
      </w:pPr>
      <w:r w:rsidRPr="00782399">
        <w:rPr>
          <w:lang w:val="es-ES_tradnl"/>
        </w:rPr>
        <w:t>8.</w:t>
      </w:r>
      <w:r w:rsidRPr="00782399">
        <w:rPr>
          <w:lang w:val="es-ES_tradnl"/>
        </w:rPr>
        <w:tab/>
        <w:t>Diseño de la estrategia y plan de coordinación interinstitucional y articulación programática para la reducción de la migración irregular.</w:t>
      </w:r>
    </w:p>
    <w:p w14:paraId="0A5BC2E0" w14:textId="77777777" w:rsidR="00782399" w:rsidRPr="00782399" w:rsidRDefault="00782399" w:rsidP="00782399">
      <w:pPr>
        <w:ind w:left="709" w:hanging="709"/>
        <w:jc w:val="both"/>
        <w:rPr>
          <w:lang w:val="es-ES_tradnl"/>
        </w:rPr>
      </w:pPr>
      <w:r w:rsidRPr="00782399">
        <w:rPr>
          <w:lang w:val="es-ES_tradnl"/>
        </w:rPr>
        <w:t>9.</w:t>
      </w:r>
      <w:r w:rsidRPr="00782399">
        <w:rPr>
          <w:lang w:val="es-ES_tradnl"/>
        </w:rPr>
        <w:tab/>
        <w:t>Revisión de la Política Nacional de Discapacidad que incluya como producto la elaboración de un documento que contenga una propuesta de modificación a la política actual, alineándose a la garantía de derechos civiles, económicos y sociales establecidos en la Convención sobre los Derechos de Personas con Discapacidad de la Organización de las Naciones Unidas (ONU).</w:t>
      </w:r>
    </w:p>
    <w:p w14:paraId="7D4FB7E1" w14:textId="77777777" w:rsidR="00782399" w:rsidRPr="00782399" w:rsidRDefault="00782399" w:rsidP="00782399">
      <w:pPr>
        <w:ind w:left="709" w:hanging="709"/>
        <w:jc w:val="both"/>
        <w:rPr>
          <w:lang w:val="es-ES_tradnl"/>
        </w:rPr>
      </w:pPr>
      <w:r w:rsidRPr="00782399">
        <w:rPr>
          <w:lang w:val="es-ES_tradnl"/>
        </w:rPr>
        <w:t>10.</w:t>
      </w:r>
      <w:r w:rsidRPr="00782399">
        <w:rPr>
          <w:lang w:val="es-ES_tradnl"/>
        </w:rPr>
        <w:tab/>
        <w:t>Seguimiento nacional y participativo a las convenciones y tratados internacionales en materia de transparencia y anticorrupción.</w:t>
      </w:r>
    </w:p>
    <w:p w14:paraId="764E2EE4" w14:textId="77777777" w:rsidR="00782399" w:rsidRPr="00782399" w:rsidRDefault="00782399" w:rsidP="00782399">
      <w:pPr>
        <w:ind w:left="709" w:hanging="709"/>
        <w:jc w:val="both"/>
        <w:rPr>
          <w:lang w:val="es-ES_tradnl"/>
        </w:rPr>
      </w:pPr>
      <w:r w:rsidRPr="00782399">
        <w:rPr>
          <w:lang w:val="es-ES_tradnl"/>
        </w:rPr>
        <w:t>11.</w:t>
      </w:r>
      <w:r w:rsidRPr="00782399">
        <w:rPr>
          <w:lang w:val="es-ES_tradnl"/>
        </w:rPr>
        <w:tab/>
        <w:t>Capacitación y diagnóstico para la implementación del estándar de datos de contrataciones abiertas para infraestructura pública.</w:t>
      </w:r>
    </w:p>
    <w:p w14:paraId="493ACE4B" w14:textId="3069E048" w:rsidR="0014578E" w:rsidRDefault="00782399" w:rsidP="00782399">
      <w:pPr>
        <w:ind w:left="709" w:hanging="709"/>
        <w:jc w:val="both"/>
        <w:rPr>
          <w:lang w:val="es-ES_tradnl"/>
        </w:rPr>
      </w:pPr>
      <w:r w:rsidRPr="00782399">
        <w:rPr>
          <w:lang w:val="es-ES_tradnl"/>
        </w:rPr>
        <w:t>12.</w:t>
      </w:r>
      <w:r w:rsidRPr="00782399">
        <w:rPr>
          <w:lang w:val="es-ES_tradnl"/>
        </w:rPr>
        <w:tab/>
        <w:t>Mejoramiento de los mecanismos de información hacia la divulgación sistemática de los datos de la Iniciativa de Transparencia en las Industrias Extractivas (EITI) en Guatemala.</w:t>
      </w:r>
    </w:p>
    <w:p w14:paraId="1FDE494A" w14:textId="4579A839" w:rsidR="0014578E" w:rsidRDefault="0014578E" w:rsidP="00782399">
      <w:pPr>
        <w:ind w:left="709" w:hanging="709"/>
        <w:jc w:val="both"/>
        <w:rPr>
          <w:lang w:val="es-ES_tradnl"/>
        </w:rPr>
      </w:pPr>
    </w:p>
    <w:p w14:paraId="2329559C" w14:textId="7C9210C7" w:rsidR="0000594C" w:rsidRDefault="006A099F" w:rsidP="0000594C">
      <w:pPr>
        <w:jc w:val="both"/>
      </w:pPr>
      <w:r>
        <w:t>Asimismo, d</w:t>
      </w:r>
      <w:r w:rsidR="0000594C">
        <w:t xml:space="preserve">e conformidad con los registros que obran en el Tablero de Seguimiento publicado en la página web </w:t>
      </w:r>
      <w:r w:rsidR="00B21FA6">
        <w:t xml:space="preserve">institucional </w:t>
      </w:r>
      <w:r w:rsidR="0000594C">
        <w:t>de la Comisión Presidencial de Gobierno Abierto y Electrónico (GAE), de los 49 hitos que integran los 12 compromisos del Quinto Plan de Gobierno Abierto, se presenta el siguiente grado de avance:</w:t>
      </w:r>
    </w:p>
    <w:p w14:paraId="03C60303" w14:textId="77777777" w:rsidR="0000594C" w:rsidRDefault="0000594C" w:rsidP="0000594C">
      <w:pPr>
        <w:jc w:val="both"/>
      </w:pPr>
    </w:p>
    <w:p w14:paraId="5E6E4C8D" w14:textId="471F631C" w:rsidR="0000594C" w:rsidRDefault="0000594C" w:rsidP="008B27EA">
      <w:pPr>
        <w:pStyle w:val="Prrafodelista"/>
        <w:numPr>
          <w:ilvl w:val="0"/>
          <w:numId w:val="9"/>
        </w:numPr>
        <w:ind w:left="567"/>
        <w:contextualSpacing/>
        <w:jc w:val="both"/>
      </w:pPr>
      <w:r>
        <w:t>Hitos no iniciados</w:t>
      </w:r>
      <w:r>
        <w:tab/>
        <w:t xml:space="preserve">  </w:t>
      </w:r>
      <w:r w:rsidR="00F345BC">
        <w:t>7</w:t>
      </w:r>
    </w:p>
    <w:p w14:paraId="487B9B7B" w14:textId="57A5C890" w:rsidR="0000594C" w:rsidRDefault="0000594C" w:rsidP="008B27EA">
      <w:pPr>
        <w:pStyle w:val="Prrafodelista"/>
        <w:numPr>
          <w:ilvl w:val="0"/>
          <w:numId w:val="9"/>
        </w:numPr>
        <w:ind w:left="567"/>
        <w:contextualSpacing/>
        <w:jc w:val="both"/>
      </w:pPr>
      <w:r>
        <w:t>Hitos iniciados</w:t>
      </w:r>
      <w:r>
        <w:tab/>
      </w:r>
      <w:r>
        <w:tab/>
        <w:t>1</w:t>
      </w:r>
      <w:r w:rsidR="00F345BC">
        <w:t>1</w:t>
      </w:r>
    </w:p>
    <w:p w14:paraId="4908AADB" w14:textId="044F9E97" w:rsidR="0000594C" w:rsidRDefault="0000594C" w:rsidP="008B27EA">
      <w:pPr>
        <w:pStyle w:val="Prrafodelista"/>
        <w:numPr>
          <w:ilvl w:val="0"/>
          <w:numId w:val="9"/>
        </w:numPr>
        <w:ind w:left="567"/>
        <w:contextualSpacing/>
        <w:jc w:val="both"/>
      </w:pPr>
      <w:r>
        <w:t>Hitos sustanciales</w:t>
      </w:r>
      <w:r>
        <w:tab/>
        <w:t>1</w:t>
      </w:r>
      <w:r w:rsidR="00F345BC">
        <w:t>5</w:t>
      </w:r>
    </w:p>
    <w:p w14:paraId="6C8F5FFC" w14:textId="5CCDC2DB" w:rsidR="0000594C" w:rsidRPr="00A27FC2" w:rsidRDefault="0000594C" w:rsidP="008B27EA">
      <w:pPr>
        <w:pStyle w:val="Prrafodelista"/>
        <w:numPr>
          <w:ilvl w:val="0"/>
          <w:numId w:val="9"/>
        </w:numPr>
        <w:ind w:left="567"/>
        <w:contextualSpacing/>
        <w:jc w:val="both"/>
      </w:pPr>
      <w:r>
        <w:t>Hitos completos</w:t>
      </w:r>
      <w:r>
        <w:tab/>
      </w:r>
      <w:r w:rsidR="00F345BC">
        <w:t>16</w:t>
      </w:r>
    </w:p>
    <w:p w14:paraId="673770F7" w14:textId="54F5A0E6" w:rsidR="00782399" w:rsidRDefault="00782399" w:rsidP="00782399">
      <w:pPr>
        <w:ind w:left="709" w:hanging="709"/>
        <w:jc w:val="both"/>
        <w:rPr>
          <w:lang w:val="es-ES_tradnl"/>
        </w:rPr>
      </w:pPr>
    </w:p>
    <w:p w14:paraId="6E2A8A58" w14:textId="7B933CB0" w:rsidR="00782399" w:rsidRDefault="00901420" w:rsidP="00243975">
      <w:pPr>
        <w:jc w:val="both"/>
        <w:rPr>
          <w:lang w:val="es-ES_tradnl"/>
        </w:rPr>
      </w:pPr>
      <w:r>
        <w:rPr>
          <w:lang w:val="es-ES_tradnl"/>
        </w:rPr>
        <w:t>No obstante el corto tiempo</w:t>
      </w:r>
      <w:r w:rsidR="00785FAF">
        <w:rPr>
          <w:lang w:val="es-ES_tradnl"/>
        </w:rPr>
        <w:t xml:space="preserve"> que resta</w:t>
      </w:r>
      <w:r>
        <w:rPr>
          <w:lang w:val="es-ES_tradnl"/>
        </w:rPr>
        <w:t xml:space="preserve"> para </w:t>
      </w:r>
      <w:r w:rsidR="002F1284">
        <w:rPr>
          <w:lang w:val="es-ES_tradnl"/>
        </w:rPr>
        <w:t>la finalización del Quinto Plan de Gobierno Abierto, conforme</w:t>
      </w:r>
      <w:r w:rsidR="00243975" w:rsidRPr="00243975">
        <w:rPr>
          <w:lang w:val="es-ES_tradnl"/>
        </w:rPr>
        <w:t xml:space="preserve"> al grado de avance que semanalmente </w:t>
      </w:r>
      <w:r w:rsidR="002F1284">
        <w:rPr>
          <w:lang w:val="es-ES_tradnl"/>
        </w:rPr>
        <w:t xml:space="preserve">reportan </w:t>
      </w:r>
      <w:r w:rsidR="00243975" w:rsidRPr="00243975">
        <w:rPr>
          <w:lang w:val="es-ES_tradnl"/>
        </w:rPr>
        <w:t>las entidades públicas</w:t>
      </w:r>
      <w:r w:rsidR="002F1284">
        <w:rPr>
          <w:lang w:val="es-ES_tradnl"/>
        </w:rPr>
        <w:t xml:space="preserve"> implementadoras </w:t>
      </w:r>
      <w:r w:rsidR="00243975" w:rsidRPr="00243975">
        <w:rPr>
          <w:lang w:val="es-ES_tradnl"/>
        </w:rPr>
        <w:t>y de acuerdo al cronograma de actividades definido para cada compromiso, se estima alcanzar un alto porcentaje de ejecución al final</w:t>
      </w:r>
      <w:r w:rsidR="002F1284">
        <w:rPr>
          <w:lang w:val="es-ES_tradnl"/>
        </w:rPr>
        <w:t>izar el plazo de su vigencia.</w:t>
      </w:r>
    </w:p>
    <w:p w14:paraId="45E22572" w14:textId="0FC35A69" w:rsidR="00243975" w:rsidRDefault="00243975" w:rsidP="00782399">
      <w:pPr>
        <w:ind w:left="709" w:hanging="709"/>
        <w:jc w:val="both"/>
        <w:rPr>
          <w:lang w:val="es-ES_tradnl"/>
        </w:rPr>
      </w:pPr>
    </w:p>
    <w:p w14:paraId="7A35AAAD" w14:textId="2B390596" w:rsidR="00803AFC" w:rsidRDefault="00803AFC" w:rsidP="009F6A99">
      <w:pPr>
        <w:jc w:val="both"/>
        <w:rPr>
          <w:lang w:val="es-ES_tradnl"/>
        </w:rPr>
      </w:pPr>
      <w:r>
        <w:rPr>
          <w:lang w:val="es-ES_tradnl"/>
        </w:rPr>
        <w:t xml:space="preserve">Con relación al Sexto Plan de Acción Nacional de Gobierno Abierto 2023-2025, </w:t>
      </w:r>
      <w:r w:rsidR="00EA4564">
        <w:rPr>
          <w:lang w:val="es-ES_tradnl"/>
        </w:rPr>
        <w:t>su proceso de</w:t>
      </w:r>
      <w:r w:rsidR="009F6A99">
        <w:rPr>
          <w:lang w:val="es-ES_tradnl"/>
        </w:rPr>
        <w:t xml:space="preserve"> </w:t>
      </w:r>
      <w:r w:rsidR="00EA4564">
        <w:rPr>
          <w:lang w:val="es-ES_tradnl"/>
        </w:rPr>
        <w:t xml:space="preserve">formulación </w:t>
      </w:r>
      <w:r w:rsidR="009F6A99">
        <w:rPr>
          <w:lang w:val="es-ES_tradnl"/>
        </w:rPr>
        <w:t>inició en marzo del presente año mediante reuniones de coordinación con la Alianza para el Gobierno Abierto (OGP)</w:t>
      </w:r>
      <w:r w:rsidR="00C87543">
        <w:rPr>
          <w:lang w:val="es-ES_tradnl"/>
        </w:rPr>
        <w:t>,</w:t>
      </w:r>
      <w:r w:rsidR="009F6A99">
        <w:rPr>
          <w:lang w:val="es-ES_tradnl"/>
        </w:rPr>
        <w:t xml:space="preserve"> </w:t>
      </w:r>
      <w:r w:rsidR="00C87543">
        <w:rPr>
          <w:lang w:val="es-ES_tradnl"/>
        </w:rPr>
        <w:t xml:space="preserve">la que efectuó una serie de recomendaciones al país, </w:t>
      </w:r>
      <w:r w:rsidR="007D223F">
        <w:rPr>
          <w:lang w:val="es-ES_tradnl"/>
        </w:rPr>
        <w:t xml:space="preserve">tomando en </w:t>
      </w:r>
      <w:r w:rsidR="00C87543">
        <w:rPr>
          <w:lang w:val="es-ES_tradnl"/>
        </w:rPr>
        <w:t>considera</w:t>
      </w:r>
      <w:r w:rsidR="007D223F">
        <w:rPr>
          <w:lang w:val="es-ES_tradnl"/>
        </w:rPr>
        <w:t>ción</w:t>
      </w:r>
      <w:r w:rsidR="00C87543">
        <w:rPr>
          <w:lang w:val="es-ES_tradnl"/>
        </w:rPr>
        <w:t xml:space="preserve"> que el próximo año habrá cambio de administración gubernamental</w:t>
      </w:r>
      <w:r w:rsidR="00216F3F">
        <w:rPr>
          <w:lang w:val="es-ES_tradnl"/>
        </w:rPr>
        <w:t>.</w:t>
      </w:r>
    </w:p>
    <w:p w14:paraId="5394599D" w14:textId="7D3EAF47" w:rsidR="00216F3F" w:rsidRDefault="00216F3F" w:rsidP="009F6A99">
      <w:pPr>
        <w:jc w:val="both"/>
        <w:rPr>
          <w:lang w:val="es-ES_tradnl"/>
        </w:rPr>
      </w:pPr>
    </w:p>
    <w:p w14:paraId="68D72F6D" w14:textId="2105637C" w:rsidR="00216F3F" w:rsidRDefault="00216F3F" w:rsidP="009F6A99">
      <w:pPr>
        <w:jc w:val="both"/>
      </w:pPr>
      <w:r>
        <w:rPr>
          <w:lang w:val="es-ES_tradnl"/>
        </w:rPr>
        <w:t xml:space="preserve">En el mes de mayo se </w:t>
      </w:r>
      <w:r w:rsidR="006C3ADC">
        <w:rPr>
          <w:lang w:val="es-ES_tradnl"/>
        </w:rPr>
        <w:t xml:space="preserve">presentó y consensuó </w:t>
      </w:r>
      <w:r w:rsidR="006C3ADC">
        <w:t>una propuesta de “Alcance, Metodología y Cronograma” para guiar el proceso de co-creación del Sexto Plan de Acción Nacional de Gobierno Abierto 2023-2025, la cual se resume básicamente en los siguientes aspectos:</w:t>
      </w:r>
    </w:p>
    <w:p w14:paraId="50942C23" w14:textId="5F6E21F7" w:rsidR="006C3ADC" w:rsidRDefault="006C3ADC" w:rsidP="009F6A99">
      <w:pPr>
        <w:jc w:val="both"/>
        <w:rPr>
          <w:lang w:val="es-ES_tradnl"/>
        </w:rPr>
      </w:pPr>
    </w:p>
    <w:p w14:paraId="2745984B" w14:textId="77777777" w:rsidR="006C3ADC" w:rsidRDefault="006C3ADC" w:rsidP="008B27EA">
      <w:pPr>
        <w:pStyle w:val="Prrafodelista"/>
        <w:numPr>
          <w:ilvl w:val="0"/>
          <w:numId w:val="9"/>
        </w:numPr>
        <w:ind w:left="567"/>
        <w:contextualSpacing/>
        <w:jc w:val="both"/>
      </w:pPr>
      <w:r w:rsidRPr="00A70142">
        <w:t>El Sexto Plan de Gobierno Abierto tendrá una vigencia de 2 años; de julio 2023 a junio de 2025. Por parte de la OGP existe la opción de que algún país pueda formular planes de mayor plazo, hasta por un período máximo de 4 años.</w:t>
      </w:r>
      <w:r>
        <w:t xml:space="preserve"> Guatemala optó por dos años.</w:t>
      </w:r>
    </w:p>
    <w:p w14:paraId="33F02F8B" w14:textId="77777777" w:rsidR="006C3ADC" w:rsidRPr="00A70142" w:rsidRDefault="006C3ADC" w:rsidP="006C3ADC">
      <w:pPr>
        <w:pStyle w:val="Prrafodelista"/>
      </w:pPr>
    </w:p>
    <w:p w14:paraId="205CA71D" w14:textId="3C0A2C24" w:rsidR="006C3ADC" w:rsidRDefault="006C3ADC" w:rsidP="008B27EA">
      <w:pPr>
        <w:pStyle w:val="Prrafodelista"/>
        <w:numPr>
          <w:ilvl w:val="0"/>
          <w:numId w:val="9"/>
        </w:numPr>
        <w:ind w:left="567"/>
        <w:contextualSpacing/>
        <w:jc w:val="both"/>
      </w:pPr>
      <w:r w:rsidRPr="00A70142">
        <w:t>Se recomienda que e</w:t>
      </w:r>
      <w:r>
        <w:t>l</w:t>
      </w:r>
      <w:r w:rsidRPr="00A70142">
        <w:t xml:space="preserve"> Sexto Plan</w:t>
      </w:r>
      <w:r>
        <w:t xml:space="preserve"> de </w:t>
      </w:r>
      <w:r w:rsidR="006439CB">
        <w:t>Acci</w:t>
      </w:r>
      <w:r w:rsidR="005843F7">
        <w:t xml:space="preserve">ón Nacional de </w:t>
      </w:r>
      <w:r>
        <w:t>Gobierno Abierto</w:t>
      </w:r>
      <w:r w:rsidRPr="00A70142">
        <w:t xml:space="preserve"> se integre preferentemente por</w:t>
      </w:r>
      <w:r w:rsidR="00854400">
        <w:t xml:space="preserve"> un número reducido de</w:t>
      </w:r>
      <w:r w:rsidRPr="00A70142">
        <w:t xml:space="preserve"> compromisos,</w:t>
      </w:r>
      <w:r w:rsidR="00854400">
        <w:t xml:space="preserve"> ya que</w:t>
      </w:r>
      <w:r w:rsidRPr="00A70142">
        <w:t xml:space="preserve"> exist</w:t>
      </w:r>
      <w:r w:rsidR="00854400">
        <w:t>e</w:t>
      </w:r>
      <w:r w:rsidRPr="00A70142">
        <w:t xml:space="preserve"> la opción de incorporar nuevos compromisos entre enero y junio de 2024, cuando haya</w:t>
      </w:r>
      <w:r w:rsidR="00854400">
        <w:t>n</w:t>
      </w:r>
      <w:r w:rsidRPr="00A70142">
        <w:t xml:space="preserve"> asumido la</w:t>
      </w:r>
      <w:r w:rsidR="00854400">
        <w:t>s</w:t>
      </w:r>
      <w:r w:rsidRPr="00A70142">
        <w:t xml:space="preserve"> nueva</w:t>
      </w:r>
      <w:r w:rsidR="00854400">
        <w:t>s autoridades</w:t>
      </w:r>
      <w:r w:rsidRPr="00A70142">
        <w:t xml:space="preserve"> gubernamental</w:t>
      </w:r>
      <w:r w:rsidR="00854400">
        <w:t>es</w:t>
      </w:r>
      <w:r w:rsidRPr="00A70142">
        <w:t>.</w:t>
      </w:r>
    </w:p>
    <w:p w14:paraId="1D83BF2E" w14:textId="77777777" w:rsidR="006C3ADC" w:rsidRPr="00A70142" w:rsidRDefault="006C3ADC" w:rsidP="006C3ADC">
      <w:pPr>
        <w:pStyle w:val="Prrafodelista"/>
      </w:pPr>
    </w:p>
    <w:p w14:paraId="624A11AA" w14:textId="18395589" w:rsidR="006C3ADC" w:rsidRDefault="006C3ADC" w:rsidP="008B27EA">
      <w:pPr>
        <w:pStyle w:val="Prrafodelista"/>
        <w:numPr>
          <w:ilvl w:val="0"/>
          <w:numId w:val="9"/>
        </w:numPr>
        <w:ind w:left="567"/>
        <w:contextualSpacing/>
        <w:jc w:val="both"/>
      </w:pPr>
      <w:r>
        <w:t>S</w:t>
      </w:r>
      <w:r w:rsidRPr="00A70142">
        <w:t xml:space="preserve">e recomienda que </w:t>
      </w:r>
      <w:r>
        <w:t>estos compromisos</w:t>
      </w:r>
      <w:r w:rsidR="00854400">
        <w:t xml:space="preserve"> a definir</w:t>
      </w:r>
      <w:r>
        <w:t xml:space="preserve"> </w:t>
      </w:r>
      <w:r w:rsidRPr="00A70142">
        <w:t>garanticen el seguimiento y continuidad de acciones que ya se estén realizando durante la implementación del Quinto Plan de Acción Nacional de Gobierno Abierto 2021-2023.</w:t>
      </w:r>
    </w:p>
    <w:p w14:paraId="4E948B50" w14:textId="77777777" w:rsidR="006C3ADC" w:rsidRPr="00A70142" w:rsidRDefault="006C3ADC" w:rsidP="006C3ADC">
      <w:pPr>
        <w:pStyle w:val="Prrafodelista"/>
      </w:pPr>
    </w:p>
    <w:p w14:paraId="33B14CC3" w14:textId="77777777" w:rsidR="006C3ADC" w:rsidRDefault="006C3ADC" w:rsidP="008B27EA">
      <w:pPr>
        <w:pStyle w:val="Prrafodelista"/>
        <w:numPr>
          <w:ilvl w:val="0"/>
          <w:numId w:val="9"/>
        </w:numPr>
        <w:ind w:left="567"/>
        <w:contextualSpacing/>
        <w:jc w:val="both"/>
      </w:pPr>
      <w:r w:rsidRPr="00A70142">
        <w:t>Solamente las organizaciones de sociedad civil podrán proponer compromisos, para lo cual deberán formular una propuesta que considere acciones que actualmente ya se están trabajando, preferentemente sobre temas de inclusión, género, derechos humanos, datos abiertos y agenda digital del gobierno.</w:t>
      </w:r>
    </w:p>
    <w:p w14:paraId="33DAA05E" w14:textId="32F3B6B9" w:rsidR="006C3ADC" w:rsidRDefault="006C3ADC" w:rsidP="006C3ADC">
      <w:pPr>
        <w:pStyle w:val="Prrafodelista"/>
      </w:pPr>
    </w:p>
    <w:p w14:paraId="60387856" w14:textId="77777777" w:rsidR="00746AF6" w:rsidRDefault="00746AF6" w:rsidP="00EA1931">
      <w:pPr>
        <w:jc w:val="both"/>
        <w:rPr>
          <w:lang w:val="es-ES_tradnl"/>
        </w:rPr>
      </w:pPr>
      <w:r>
        <w:rPr>
          <w:lang w:val="es-ES_tradnl"/>
        </w:rPr>
        <w:t>Luego de varias reuniones del Comité Técnico de Gobierno Abierto que se constituye en el foro multiactor de la Iniciativa de Gobierno Abierto en el país, se consensuaron los siguientes compromisos que integran el Sexto Plan de Acción Nacional de Gobierno Abierto 2023-2025:</w:t>
      </w:r>
    </w:p>
    <w:p w14:paraId="0AADB512" w14:textId="77777777" w:rsidR="00746AF6" w:rsidRDefault="00746AF6" w:rsidP="00EA1931">
      <w:pPr>
        <w:jc w:val="both"/>
        <w:rPr>
          <w:lang w:val="es-ES_tradnl"/>
        </w:rPr>
      </w:pPr>
    </w:p>
    <w:p w14:paraId="668E01F3" w14:textId="2C117167" w:rsidR="00746AF6" w:rsidRDefault="00A023E4" w:rsidP="008B27EA">
      <w:pPr>
        <w:pStyle w:val="Prrafodelista"/>
        <w:numPr>
          <w:ilvl w:val="0"/>
          <w:numId w:val="10"/>
        </w:numPr>
        <w:jc w:val="both"/>
        <w:rPr>
          <w:lang w:val="es-ES_tradnl"/>
        </w:rPr>
      </w:pPr>
      <w:r>
        <w:rPr>
          <w:lang w:val="es-ES_tradnl"/>
        </w:rPr>
        <w:t>Acciones institucionales para el fortalecimiento de la apertura de datos</w:t>
      </w:r>
      <w:r w:rsidR="00144E95">
        <w:rPr>
          <w:lang w:val="es-ES_tradnl"/>
        </w:rPr>
        <w:t>, a cargo de la Comisión Presidencial de Gobierno Abierto y Electrónico (GAE)</w:t>
      </w:r>
      <w:r>
        <w:rPr>
          <w:lang w:val="es-ES_tradnl"/>
        </w:rPr>
        <w:t>.</w:t>
      </w:r>
    </w:p>
    <w:p w14:paraId="6AFD77CE" w14:textId="77777777" w:rsidR="00A023E4" w:rsidRDefault="00A023E4" w:rsidP="00A023E4">
      <w:pPr>
        <w:pStyle w:val="Prrafodelista"/>
        <w:ind w:left="720"/>
        <w:jc w:val="both"/>
        <w:rPr>
          <w:lang w:val="es-ES_tradnl"/>
        </w:rPr>
      </w:pPr>
    </w:p>
    <w:p w14:paraId="093F7299" w14:textId="17A557DD" w:rsidR="00A023E4" w:rsidRDefault="00A023E4" w:rsidP="008B27EA">
      <w:pPr>
        <w:pStyle w:val="Prrafodelista"/>
        <w:numPr>
          <w:ilvl w:val="0"/>
          <w:numId w:val="10"/>
        </w:numPr>
        <w:jc w:val="both"/>
        <w:rPr>
          <w:lang w:val="es-ES_tradnl"/>
        </w:rPr>
      </w:pPr>
      <w:r>
        <w:rPr>
          <w:lang w:val="es-ES_tradnl"/>
        </w:rPr>
        <w:t>Acciones orientadas al fortalecimiento de la seguridad alimentaria y nutricional</w:t>
      </w:r>
      <w:r w:rsidR="00144E95">
        <w:rPr>
          <w:lang w:val="es-ES_tradnl"/>
        </w:rPr>
        <w:t>, a cargo de la Secretaría de Seguridad Alimentaria y Nutricional de la Presidencia (SESAN)</w:t>
      </w:r>
      <w:r>
        <w:rPr>
          <w:lang w:val="es-ES_tradnl"/>
        </w:rPr>
        <w:t>.</w:t>
      </w:r>
    </w:p>
    <w:p w14:paraId="2A684F5B" w14:textId="77777777" w:rsidR="00A023E4" w:rsidRPr="00A023E4" w:rsidRDefault="00A023E4" w:rsidP="00A023E4">
      <w:pPr>
        <w:pStyle w:val="Prrafodelista"/>
        <w:rPr>
          <w:lang w:val="es-ES_tradnl"/>
        </w:rPr>
      </w:pPr>
    </w:p>
    <w:p w14:paraId="71C840BC" w14:textId="1452F4A8" w:rsidR="00A023E4" w:rsidRDefault="00A023E4" w:rsidP="008B27EA">
      <w:pPr>
        <w:pStyle w:val="Prrafodelista"/>
        <w:numPr>
          <w:ilvl w:val="0"/>
          <w:numId w:val="10"/>
        </w:numPr>
        <w:jc w:val="both"/>
        <w:rPr>
          <w:lang w:val="es-ES_tradnl"/>
        </w:rPr>
      </w:pPr>
      <w:r>
        <w:rPr>
          <w:lang w:val="es-ES_tradnl"/>
        </w:rPr>
        <w:t>Fortalecimiento de la transparencia y procesos de rendición de cuentas de infraestructura en educación</w:t>
      </w:r>
      <w:r w:rsidR="00550F8A">
        <w:rPr>
          <w:lang w:val="es-ES_tradnl"/>
        </w:rPr>
        <w:t xml:space="preserve"> y salud</w:t>
      </w:r>
      <w:r w:rsidR="00144E95">
        <w:rPr>
          <w:lang w:val="es-ES_tradnl"/>
        </w:rPr>
        <w:t xml:space="preserve">, a cargo del </w:t>
      </w:r>
      <w:r w:rsidR="00CE5210">
        <w:rPr>
          <w:lang w:val="es-ES_tradnl"/>
        </w:rPr>
        <w:t>Ministerio de Educación y del Ministerio de Salud Pública y Asistencia Social</w:t>
      </w:r>
      <w:r w:rsidR="00550F8A">
        <w:rPr>
          <w:lang w:val="es-ES_tradnl"/>
        </w:rPr>
        <w:t>, respectivamente</w:t>
      </w:r>
      <w:r>
        <w:rPr>
          <w:lang w:val="es-ES_tradnl"/>
        </w:rPr>
        <w:t>.</w:t>
      </w:r>
    </w:p>
    <w:p w14:paraId="0550D422" w14:textId="77777777" w:rsidR="00A023E4" w:rsidRPr="00A023E4" w:rsidRDefault="00A023E4" w:rsidP="00A023E4">
      <w:pPr>
        <w:pStyle w:val="Prrafodelista"/>
        <w:rPr>
          <w:lang w:val="es-ES_tradnl"/>
        </w:rPr>
      </w:pPr>
    </w:p>
    <w:p w14:paraId="0F3BD46B" w14:textId="0FE2A278" w:rsidR="00A023E4" w:rsidRDefault="00A023E4" w:rsidP="008B27EA">
      <w:pPr>
        <w:pStyle w:val="Prrafodelista"/>
        <w:numPr>
          <w:ilvl w:val="0"/>
          <w:numId w:val="10"/>
        </w:numPr>
        <w:jc w:val="both"/>
        <w:rPr>
          <w:lang w:val="es-ES_tradnl"/>
        </w:rPr>
      </w:pPr>
      <w:r>
        <w:rPr>
          <w:lang w:val="es-ES_tradnl"/>
        </w:rPr>
        <w:t xml:space="preserve">Implementación de acciones para la promoción </w:t>
      </w:r>
      <w:r w:rsidR="000418BC">
        <w:rPr>
          <w:lang w:val="es-ES_tradnl"/>
        </w:rPr>
        <w:t>de la movilidad laboral de forma regular a través de la generación de datos estadísticos</w:t>
      </w:r>
      <w:r w:rsidR="00CE5210">
        <w:rPr>
          <w:lang w:val="es-ES_tradnl"/>
        </w:rPr>
        <w:t xml:space="preserve">, </w:t>
      </w:r>
      <w:r w:rsidR="00B42C05">
        <w:rPr>
          <w:lang w:val="es-ES_tradnl"/>
        </w:rPr>
        <w:t>a cargo del Consejo Nacional de Atención al Migrante de Guatemala (CONAMIGUA)</w:t>
      </w:r>
      <w:r w:rsidR="000418BC">
        <w:rPr>
          <w:lang w:val="es-ES_tradnl"/>
        </w:rPr>
        <w:t>.</w:t>
      </w:r>
    </w:p>
    <w:p w14:paraId="73AD5A05" w14:textId="77777777" w:rsidR="000418BC" w:rsidRPr="000418BC" w:rsidRDefault="000418BC" w:rsidP="000418BC">
      <w:pPr>
        <w:pStyle w:val="Prrafodelista"/>
        <w:rPr>
          <w:lang w:val="es-ES_tradnl"/>
        </w:rPr>
      </w:pPr>
    </w:p>
    <w:p w14:paraId="3CB7D684" w14:textId="14280BA2" w:rsidR="000418BC" w:rsidRDefault="000418BC" w:rsidP="008B27EA">
      <w:pPr>
        <w:pStyle w:val="Prrafodelista"/>
        <w:numPr>
          <w:ilvl w:val="0"/>
          <w:numId w:val="10"/>
        </w:numPr>
        <w:jc w:val="both"/>
        <w:rPr>
          <w:lang w:val="es-ES_tradnl"/>
        </w:rPr>
      </w:pPr>
      <w:r>
        <w:rPr>
          <w:lang w:val="es-ES_tradnl"/>
        </w:rPr>
        <w:t>Fortalecimiento de los mecanismos nacionales en materia de prevención, atención, reparación digna y reducción de la violencia en contra de las mujeres</w:t>
      </w:r>
      <w:r w:rsidR="00B42C05">
        <w:rPr>
          <w:lang w:val="es-ES_tradnl"/>
        </w:rPr>
        <w:t>, a cargo del Ministerio de Gobernación</w:t>
      </w:r>
      <w:r>
        <w:rPr>
          <w:lang w:val="es-ES_tradnl"/>
        </w:rPr>
        <w:t>.</w:t>
      </w:r>
    </w:p>
    <w:p w14:paraId="3E648C2D" w14:textId="77777777" w:rsidR="000418BC" w:rsidRPr="000418BC" w:rsidRDefault="000418BC" w:rsidP="000418BC">
      <w:pPr>
        <w:pStyle w:val="Prrafodelista"/>
        <w:rPr>
          <w:lang w:val="es-ES_tradnl"/>
        </w:rPr>
      </w:pPr>
    </w:p>
    <w:p w14:paraId="4394CC0B" w14:textId="62C20446" w:rsidR="000418BC" w:rsidRPr="00746AF6" w:rsidRDefault="000418BC" w:rsidP="008B27EA">
      <w:pPr>
        <w:pStyle w:val="Prrafodelista"/>
        <w:numPr>
          <w:ilvl w:val="0"/>
          <w:numId w:val="10"/>
        </w:numPr>
        <w:jc w:val="both"/>
        <w:rPr>
          <w:lang w:val="es-ES_tradnl"/>
        </w:rPr>
      </w:pPr>
      <w:r>
        <w:rPr>
          <w:lang w:val="es-ES_tradnl"/>
        </w:rPr>
        <w:t>Concientización de la migración regular y fortalecimiento de capacidades de los trabajadores guatemaltecos</w:t>
      </w:r>
      <w:r w:rsidR="00B42C05">
        <w:rPr>
          <w:lang w:val="es-ES_tradnl"/>
        </w:rPr>
        <w:t>, a cargo del Ministerio de Trabajo y Previsión Social</w:t>
      </w:r>
      <w:r>
        <w:rPr>
          <w:lang w:val="es-ES_tradnl"/>
        </w:rPr>
        <w:t>.</w:t>
      </w:r>
    </w:p>
    <w:p w14:paraId="7BE9462B" w14:textId="77777777" w:rsidR="00897AAF" w:rsidRDefault="00897AAF" w:rsidP="00897AAF">
      <w:pPr>
        <w:jc w:val="both"/>
      </w:pPr>
    </w:p>
    <w:p w14:paraId="3F35D077" w14:textId="77777777" w:rsidR="000134B5" w:rsidRDefault="000134B5" w:rsidP="000134B5"/>
    <w:p w14:paraId="0E8B2DFD" w14:textId="77777777" w:rsidR="00910D4D" w:rsidRPr="002F7293" w:rsidRDefault="008078F8" w:rsidP="00FC0361">
      <w:pPr>
        <w:pStyle w:val="Ttulo2"/>
        <w:numPr>
          <w:ilvl w:val="1"/>
          <w:numId w:val="3"/>
        </w:numPr>
        <w:rPr>
          <w:rFonts w:ascii="Times New Roman" w:hAnsi="Times New Roman"/>
          <w:color w:val="auto"/>
          <w:sz w:val="24"/>
        </w:rPr>
      </w:pPr>
      <w:bookmarkStart w:id="85" w:name="_Toc142920571"/>
      <w:r w:rsidRPr="002F7293">
        <w:rPr>
          <w:rFonts w:ascii="Times New Roman" w:hAnsi="Times New Roman"/>
          <w:color w:val="auto"/>
          <w:sz w:val="24"/>
        </w:rPr>
        <w:t xml:space="preserve">Otras </w:t>
      </w:r>
      <w:r w:rsidR="000D2458" w:rsidRPr="002F7293">
        <w:rPr>
          <w:rFonts w:ascii="Times New Roman" w:hAnsi="Times New Roman"/>
          <w:color w:val="auto"/>
          <w:sz w:val="24"/>
        </w:rPr>
        <w:t>A</w:t>
      </w:r>
      <w:r w:rsidRPr="002F7293">
        <w:rPr>
          <w:rFonts w:ascii="Times New Roman" w:hAnsi="Times New Roman"/>
          <w:color w:val="auto"/>
          <w:sz w:val="24"/>
        </w:rPr>
        <w:t xml:space="preserve">cciones sobre </w:t>
      </w:r>
      <w:r w:rsidR="000D2458" w:rsidRPr="002F7293">
        <w:rPr>
          <w:rFonts w:ascii="Times New Roman" w:hAnsi="Times New Roman"/>
          <w:color w:val="auto"/>
          <w:sz w:val="24"/>
        </w:rPr>
        <w:t>T</w:t>
      </w:r>
      <w:r w:rsidRPr="002F7293">
        <w:rPr>
          <w:rFonts w:ascii="Times New Roman" w:hAnsi="Times New Roman"/>
          <w:color w:val="auto"/>
          <w:sz w:val="24"/>
        </w:rPr>
        <w:t xml:space="preserve">ransparencia </w:t>
      </w:r>
      <w:r w:rsidR="000D2458" w:rsidRPr="002F7293">
        <w:rPr>
          <w:rFonts w:ascii="Times New Roman" w:hAnsi="Times New Roman"/>
          <w:color w:val="auto"/>
          <w:sz w:val="24"/>
        </w:rPr>
        <w:t>F</w:t>
      </w:r>
      <w:r w:rsidRPr="002F7293">
        <w:rPr>
          <w:rFonts w:ascii="Times New Roman" w:hAnsi="Times New Roman"/>
          <w:color w:val="auto"/>
          <w:sz w:val="24"/>
        </w:rPr>
        <w:t>iscal</w:t>
      </w:r>
      <w:bookmarkEnd w:id="85"/>
    </w:p>
    <w:p w14:paraId="0C7004B3" w14:textId="77777777" w:rsidR="008078F8" w:rsidRDefault="008078F8" w:rsidP="004B5DF5">
      <w:pPr>
        <w:jc w:val="both"/>
        <w:rPr>
          <w:b/>
          <w:i/>
          <w:lang w:val="es-ES_tradnl"/>
        </w:rPr>
      </w:pPr>
    </w:p>
    <w:p w14:paraId="66043247" w14:textId="795AB0D6" w:rsidR="00A10CB8" w:rsidRPr="00A10CB8" w:rsidRDefault="004B5DF5" w:rsidP="00A10CB8">
      <w:pPr>
        <w:jc w:val="both"/>
        <w:rPr>
          <w:lang w:val="es-ES_tradnl"/>
        </w:rPr>
      </w:pPr>
      <w:r w:rsidRPr="006D17DE">
        <w:rPr>
          <w:b/>
          <w:i/>
          <w:lang w:val="es-ES_tradnl"/>
        </w:rPr>
        <w:t>Talleres de Presupuesto Abierto 20</w:t>
      </w:r>
      <w:r w:rsidR="00AA04AD">
        <w:rPr>
          <w:b/>
          <w:i/>
          <w:lang w:val="es-ES_tradnl"/>
        </w:rPr>
        <w:t>2</w:t>
      </w:r>
      <w:r w:rsidR="00864FBB">
        <w:rPr>
          <w:b/>
          <w:i/>
          <w:lang w:val="es-ES_tradnl"/>
        </w:rPr>
        <w:t>4</w:t>
      </w:r>
      <w:r w:rsidRPr="00CD0AF0">
        <w:rPr>
          <w:b/>
          <w:lang w:val="es-ES_tradnl"/>
        </w:rPr>
        <w:t>.</w:t>
      </w:r>
      <w:r w:rsidRPr="00CD0AF0">
        <w:rPr>
          <w:lang w:val="es-ES_tradnl"/>
        </w:rPr>
        <w:t xml:space="preserve"> </w:t>
      </w:r>
      <w:r w:rsidR="00A10CB8" w:rsidRPr="00A10CB8">
        <w:rPr>
          <w:lang w:val="es-ES_tradnl"/>
        </w:rPr>
        <w:t xml:space="preserve">Este es un evento anual que inició a ejecutarse en el </w:t>
      </w:r>
      <w:r w:rsidR="00697DA6">
        <w:rPr>
          <w:lang w:val="es-ES_tradnl"/>
        </w:rPr>
        <w:t xml:space="preserve">año </w:t>
      </w:r>
      <w:r w:rsidR="00A10CB8" w:rsidRPr="00A10CB8">
        <w:rPr>
          <w:lang w:val="es-ES_tradnl"/>
        </w:rPr>
        <w:t xml:space="preserve">2016 durante el proceso de formulación del Proyecto de Presupuesto General de Ingresos y Egresos del Estado para el Ejercicio Fiscal 2017, como parte de los compromisos e hitos que en esa oportunidad se propusieron y acordaron entre el Ministerio de Finanzas Públicas y las organizaciones de sociedad civil durante </w:t>
      </w:r>
      <w:r w:rsidR="00A10CB8">
        <w:rPr>
          <w:lang w:val="es-ES_tradnl"/>
        </w:rPr>
        <w:t>el proceso de</w:t>
      </w:r>
      <w:r w:rsidR="00A10CB8" w:rsidRPr="00A10CB8">
        <w:rPr>
          <w:lang w:val="es-ES_tradnl"/>
        </w:rPr>
        <w:t xml:space="preserve"> co-creación del Tercer Plan de Acción Nacional de Gobierno Abierto 2016-2018, </w:t>
      </w:r>
      <w:r w:rsidR="00A10CB8">
        <w:rPr>
          <w:lang w:val="es-ES_tradnl"/>
        </w:rPr>
        <w:t>acciones</w:t>
      </w:r>
      <w:r w:rsidR="00A10CB8" w:rsidRPr="00A10CB8">
        <w:rPr>
          <w:lang w:val="es-ES_tradnl"/>
        </w:rPr>
        <w:t xml:space="preserve"> que ya qued</w:t>
      </w:r>
      <w:r w:rsidR="00A10CB8">
        <w:rPr>
          <w:lang w:val="es-ES_tradnl"/>
        </w:rPr>
        <w:t xml:space="preserve">aron </w:t>
      </w:r>
      <w:r w:rsidR="00A10CB8" w:rsidRPr="00A10CB8">
        <w:rPr>
          <w:lang w:val="es-ES_tradnl"/>
        </w:rPr>
        <w:t>institucionalizad</w:t>
      </w:r>
      <w:r w:rsidR="00A10CB8">
        <w:rPr>
          <w:lang w:val="es-ES_tradnl"/>
        </w:rPr>
        <w:t>as</w:t>
      </w:r>
      <w:r w:rsidR="00A10CB8" w:rsidRPr="00A10CB8">
        <w:rPr>
          <w:lang w:val="es-ES_tradnl"/>
        </w:rPr>
        <w:t xml:space="preserve"> dentro de este Ministerio mediante la emisión del Acuerdo Ministerial No. 194-2017, computándose a la fecha, </w:t>
      </w:r>
      <w:r w:rsidR="00A10CB8">
        <w:rPr>
          <w:lang w:val="es-ES_tradnl"/>
        </w:rPr>
        <w:t>ocho</w:t>
      </w:r>
      <w:r w:rsidR="00A10CB8" w:rsidRPr="00A10CB8">
        <w:rPr>
          <w:lang w:val="es-ES_tradnl"/>
        </w:rPr>
        <w:t xml:space="preserve"> eventos anuales consecutivos.</w:t>
      </w:r>
    </w:p>
    <w:p w14:paraId="4A09B891" w14:textId="77777777" w:rsidR="00A10CB8" w:rsidRPr="00A10CB8" w:rsidRDefault="00A10CB8" w:rsidP="00A10CB8">
      <w:pPr>
        <w:jc w:val="both"/>
        <w:rPr>
          <w:lang w:val="es-ES_tradnl"/>
        </w:rPr>
      </w:pPr>
    </w:p>
    <w:p w14:paraId="71FA664B" w14:textId="29C18B2D" w:rsidR="00A10CB8" w:rsidRPr="00A10CB8" w:rsidRDefault="00A10CB8" w:rsidP="00A10CB8">
      <w:pPr>
        <w:jc w:val="both"/>
        <w:rPr>
          <w:lang w:val="es-ES_tradnl"/>
        </w:rPr>
      </w:pPr>
      <w:r w:rsidRPr="00A10CB8">
        <w:rPr>
          <w:lang w:val="es-ES_tradnl"/>
        </w:rPr>
        <w:t xml:space="preserve">De esa cuenta, entre </w:t>
      </w:r>
      <w:r>
        <w:rPr>
          <w:lang w:val="es-ES_tradnl"/>
        </w:rPr>
        <w:t xml:space="preserve">mayo y </w:t>
      </w:r>
      <w:r w:rsidRPr="00A10CB8">
        <w:rPr>
          <w:lang w:val="es-ES_tradnl"/>
        </w:rPr>
        <w:t xml:space="preserve">junio </w:t>
      </w:r>
      <w:r>
        <w:rPr>
          <w:lang w:val="es-ES_tradnl"/>
        </w:rPr>
        <w:t>de 2023</w:t>
      </w:r>
      <w:r w:rsidRPr="00A10CB8">
        <w:rPr>
          <w:lang w:val="es-ES_tradnl"/>
        </w:rPr>
        <w:t xml:space="preserve"> se llevaron a cabo los denominados Talleres de Presupuesto Abierto, proceso en el cual las autoridades superiores de las entidades públicas expusieron sus planes de trabajo, programas y proyectos a ejecutar con el presupuesto asignado para 202</w:t>
      </w:r>
      <w:r>
        <w:rPr>
          <w:lang w:val="es-ES_tradnl"/>
        </w:rPr>
        <w:t>4 y multianual 2024-2028</w:t>
      </w:r>
      <w:r w:rsidRPr="00A10CB8">
        <w:rPr>
          <w:lang w:val="es-ES_tradnl"/>
        </w:rPr>
        <w:t xml:space="preserve">, con la participación de </w:t>
      </w:r>
      <w:r w:rsidR="00B53916">
        <w:rPr>
          <w:lang w:val="es-ES_tradnl"/>
        </w:rPr>
        <w:t xml:space="preserve">organizaciones de sociedad civil, </w:t>
      </w:r>
      <w:r w:rsidRPr="00A10CB8">
        <w:rPr>
          <w:lang w:val="es-ES_tradnl"/>
        </w:rPr>
        <w:t>tanques de pensamiento, sector académico, periodistas, organismos internacionales y población en general. Este evento se llevó a cabo mediante el desarrollo de las siguientes etapas:</w:t>
      </w:r>
    </w:p>
    <w:p w14:paraId="2E33405C" w14:textId="77777777" w:rsidR="00A10CB8" w:rsidRPr="00A10CB8" w:rsidRDefault="00A10CB8" w:rsidP="00A10CB8">
      <w:pPr>
        <w:jc w:val="both"/>
        <w:rPr>
          <w:lang w:val="es-ES_tradnl"/>
        </w:rPr>
      </w:pPr>
    </w:p>
    <w:p w14:paraId="7F38DFA9" w14:textId="45F4FEC6" w:rsidR="00A10CB8" w:rsidRPr="00A10CB8" w:rsidRDefault="00A10CB8" w:rsidP="00A10CB8">
      <w:pPr>
        <w:jc w:val="both"/>
        <w:rPr>
          <w:lang w:val="es-ES_tradnl"/>
        </w:rPr>
      </w:pPr>
      <w:r w:rsidRPr="00A10CB8">
        <w:rPr>
          <w:lang w:val="es-ES_tradnl"/>
        </w:rPr>
        <w:t xml:space="preserve">Semana de Formación Fiscal. Se desarrollaron </w:t>
      </w:r>
      <w:r w:rsidR="00747516">
        <w:rPr>
          <w:lang w:val="es-ES_tradnl"/>
        </w:rPr>
        <w:t>5</w:t>
      </w:r>
      <w:r w:rsidRPr="00A10CB8">
        <w:rPr>
          <w:lang w:val="es-ES_tradnl"/>
        </w:rPr>
        <w:t xml:space="preserve"> módulos, del </w:t>
      </w:r>
      <w:r w:rsidR="00747516">
        <w:rPr>
          <w:lang w:val="es-ES_tradnl"/>
        </w:rPr>
        <w:t>22 al 26 de mayo de 2023</w:t>
      </w:r>
      <w:r w:rsidRPr="00A10CB8">
        <w:rPr>
          <w:lang w:val="es-ES_tradnl"/>
        </w:rPr>
        <w:t>:</w:t>
      </w:r>
    </w:p>
    <w:p w14:paraId="43E95938" w14:textId="406092D1" w:rsidR="00A10CB8" w:rsidRPr="00A10CB8" w:rsidRDefault="00A10CB8" w:rsidP="00A10CB8">
      <w:pPr>
        <w:jc w:val="both"/>
        <w:rPr>
          <w:lang w:val="es-ES_tradnl"/>
        </w:rPr>
      </w:pPr>
      <w:r w:rsidRPr="00A10CB8">
        <w:rPr>
          <w:lang w:val="es-ES_tradnl"/>
        </w:rPr>
        <w:t>•</w:t>
      </w:r>
      <w:r w:rsidRPr="00A10CB8">
        <w:rPr>
          <w:lang w:val="es-ES_tradnl"/>
        </w:rPr>
        <w:tab/>
      </w:r>
      <w:r w:rsidR="00747516">
        <w:rPr>
          <w:lang w:val="es-ES_tradnl"/>
        </w:rPr>
        <w:t>Resultados del Ejercicio Fiscal 2022 y Ciclo Presupuestario</w:t>
      </w:r>
    </w:p>
    <w:p w14:paraId="6A1098E0" w14:textId="6F5467CB" w:rsidR="00A10CB8" w:rsidRPr="00A10CB8" w:rsidRDefault="00A10CB8" w:rsidP="00A10CB8">
      <w:pPr>
        <w:jc w:val="both"/>
        <w:rPr>
          <w:lang w:val="es-ES_tradnl"/>
        </w:rPr>
      </w:pPr>
      <w:r w:rsidRPr="00A10CB8">
        <w:rPr>
          <w:lang w:val="es-ES_tradnl"/>
        </w:rPr>
        <w:t>•</w:t>
      </w:r>
      <w:r w:rsidRPr="00A10CB8">
        <w:rPr>
          <w:lang w:val="es-ES_tradnl"/>
        </w:rPr>
        <w:tab/>
      </w:r>
      <w:r w:rsidR="00747516">
        <w:rPr>
          <w:lang w:val="es-ES_tradnl"/>
        </w:rPr>
        <w:t>Presupuesto por Resultados y Calidad del Gasto</w:t>
      </w:r>
    </w:p>
    <w:p w14:paraId="19C5B9EC" w14:textId="15B40247" w:rsidR="00A10CB8" w:rsidRPr="00A10CB8" w:rsidRDefault="00A10CB8" w:rsidP="00A10CB8">
      <w:pPr>
        <w:jc w:val="both"/>
        <w:rPr>
          <w:lang w:val="es-ES_tradnl"/>
        </w:rPr>
      </w:pPr>
      <w:r w:rsidRPr="00A10CB8">
        <w:rPr>
          <w:lang w:val="es-ES_tradnl"/>
        </w:rPr>
        <w:t>•</w:t>
      </w:r>
      <w:r w:rsidRPr="00A10CB8">
        <w:rPr>
          <w:lang w:val="es-ES_tradnl"/>
        </w:rPr>
        <w:tab/>
      </w:r>
      <w:r w:rsidR="00747516">
        <w:rPr>
          <w:lang w:val="es-ES_tradnl"/>
        </w:rPr>
        <w:t>Composición de los Ingresos y su Importancia en el Marco de Mediano Plazo</w:t>
      </w:r>
    </w:p>
    <w:p w14:paraId="517A3F77" w14:textId="603DC966" w:rsidR="00A10CB8" w:rsidRPr="00A10CB8" w:rsidRDefault="00A10CB8" w:rsidP="00A10CB8">
      <w:pPr>
        <w:jc w:val="both"/>
        <w:rPr>
          <w:lang w:val="es-ES_tradnl"/>
        </w:rPr>
      </w:pPr>
      <w:r w:rsidRPr="00A10CB8">
        <w:rPr>
          <w:lang w:val="es-ES_tradnl"/>
        </w:rPr>
        <w:t>•</w:t>
      </w:r>
      <w:r w:rsidRPr="00A10CB8">
        <w:rPr>
          <w:lang w:val="es-ES_tradnl"/>
        </w:rPr>
        <w:tab/>
      </w:r>
      <w:r w:rsidR="00747516">
        <w:rPr>
          <w:lang w:val="es-ES_tradnl"/>
        </w:rPr>
        <w:t>Clasificadores Presupuestarios</w:t>
      </w:r>
    </w:p>
    <w:p w14:paraId="59E1A2ED" w14:textId="5FA3FC47" w:rsidR="00A10CB8" w:rsidRPr="00A10CB8" w:rsidRDefault="00A10CB8" w:rsidP="00A10CB8">
      <w:pPr>
        <w:jc w:val="both"/>
        <w:rPr>
          <w:lang w:val="es-ES_tradnl"/>
        </w:rPr>
      </w:pPr>
      <w:r w:rsidRPr="00A10CB8">
        <w:rPr>
          <w:lang w:val="es-ES_tradnl"/>
        </w:rPr>
        <w:t>•</w:t>
      </w:r>
      <w:r w:rsidRPr="00A10CB8">
        <w:rPr>
          <w:lang w:val="es-ES_tradnl"/>
        </w:rPr>
        <w:tab/>
      </w:r>
      <w:r w:rsidR="00747516">
        <w:rPr>
          <w:lang w:val="es-ES_tradnl"/>
        </w:rPr>
        <w:t>Rigide</w:t>
      </w:r>
      <w:r w:rsidR="00631910">
        <w:rPr>
          <w:lang w:val="es-ES_tradnl"/>
        </w:rPr>
        <w:t>ces</w:t>
      </w:r>
      <w:r w:rsidR="00747516">
        <w:rPr>
          <w:lang w:val="es-ES_tradnl"/>
        </w:rPr>
        <w:t xml:space="preserve"> y Proceso de Elaboración de Techos </w:t>
      </w:r>
      <w:r w:rsidRPr="00A10CB8">
        <w:rPr>
          <w:lang w:val="es-ES_tradnl"/>
        </w:rPr>
        <w:t>Presupuestari</w:t>
      </w:r>
      <w:r w:rsidR="00747516">
        <w:rPr>
          <w:lang w:val="es-ES_tradnl"/>
        </w:rPr>
        <w:t>os</w:t>
      </w:r>
    </w:p>
    <w:p w14:paraId="32189868" w14:textId="77777777" w:rsidR="00A10CB8" w:rsidRPr="00A10CB8" w:rsidRDefault="00A10CB8" w:rsidP="00A10CB8">
      <w:pPr>
        <w:jc w:val="both"/>
        <w:rPr>
          <w:lang w:val="es-ES_tradnl"/>
        </w:rPr>
      </w:pPr>
    </w:p>
    <w:p w14:paraId="5A720E6E" w14:textId="7225AB07" w:rsidR="00A10CB8" w:rsidRPr="00A10CB8" w:rsidRDefault="00A10CB8" w:rsidP="00A10CB8">
      <w:pPr>
        <w:jc w:val="both"/>
        <w:rPr>
          <w:lang w:val="es-ES_tradnl"/>
        </w:rPr>
      </w:pPr>
      <w:r w:rsidRPr="00A10CB8">
        <w:rPr>
          <w:lang w:val="es-ES_tradnl"/>
        </w:rPr>
        <w:t xml:space="preserve">Talleres Públicos. Se realizaron </w:t>
      </w:r>
      <w:r w:rsidR="00B94A72">
        <w:rPr>
          <w:lang w:val="es-ES_tradnl"/>
        </w:rPr>
        <w:t>5</w:t>
      </w:r>
      <w:r w:rsidRPr="00A10CB8">
        <w:rPr>
          <w:lang w:val="es-ES_tradnl"/>
        </w:rPr>
        <w:t xml:space="preserve"> talleres, del 2 al 8 de </w:t>
      </w:r>
      <w:r w:rsidR="00B94A72">
        <w:rPr>
          <w:lang w:val="es-ES_tradnl"/>
        </w:rPr>
        <w:t>junio de 2023</w:t>
      </w:r>
      <w:r w:rsidRPr="00A10CB8">
        <w:rPr>
          <w:lang w:val="es-ES_tradnl"/>
        </w:rPr>
        <w:t>:</w:t>
      </w:r>
    </w:p>
    <w:p w14:paraId="39A2B079" w14:textId="77777777" w:rsidR="000D6FF3" w:rsidRDefault="00A10CB8" w:rsidP="00A10CB8">
      <w:pPr>
        <w:jc w:val="both"/>
        <w:rPr>
          <w:lang w:val="es-ES_tradnl"/>
        </w:rPr>
      </w:pPr>
      <w:r w:rsidRPr="00A10CB8">
        <w:rPr>
          <w:lang w:val="es-ES_tradnl"/>
        </w:rPr>
        <w:t>•</w:t>
      </w:r>
      <w:r w:rsidRPr="00A10CB8">
        <w:rPr>
          <w:lang w:val="es-ES_tradnl"/>
        </w:rPr>
        <w:tab/>
      </w:r>
      <w:r w:rsidR="000D6FF3">
        <w:rPr>
          <w:lang w:val="es-ES_tradnl"/>
        </w:rPr>
        <w:t>Escenarios Macroeconómicos y Fiscales</w:t>
      </w:r>
    </w:p>
    <w:p w14:paraId="3F02C08B" w14:textId="60FC4553" w:rsidR="000D6FF3" w:rsidRPr="00A10CB8" w:rsidRDefault="000D6FF3" w:rsidP="000D6FF3">
      <w:pPr>
        <w:jc w:val="both"/>
        <w:rPr>
          <w:lang w:val="es-ES_tradnl"/>
        </w:rPr>
      </w:pPr>
      <w:r w:rsidRPr="00A10CB8">
        <w:rPr>
          <w:lang w:val="es-ES_tradnl"/>
        </w:rPr>
        <w:t>•</w:t>
      </w:r>
      <w:r w:rsidRPr="00A10CB8">
        <w:rPr>
          <w:lang w:val="es-ES_tradnl"/>
        </w:rPr>
        <w:tab/>
      </w:r>
      <w:r>
        <w:rPr>
          <w:lang w:val="es-ES_tradnl"/>
        </w:rPr>
        <w:t>Economía, Competitividad y Prosperidad</w:t>
      </w:r>
    </w:p>
    <w:p w14:paraId="7D0BDE56" w14:textId="37ADCDED" w:rsidR="00A10CB8" w:rsidRPr="00A10CB8" w:rsidRDefault="00A10CB8" w:rsidP="00A10CB8">
      <w:pPr>
        <w:jc w:val="both"/>
        <w:rPr>
          <w:lang w:val="es-ES_tradnl"/>
        </w:rPr>
      </w:pPr>
      <w:r w:rsidRPr="00A10CB8">
        <w:rPr>
          <w:lang w:val="es-ES_tradnl"/>
        </w:rPr>
        <w:t>•</w:t>
      </w:r>
      <w:r w:rsidRPr="00A10CB8">
        <w:rPr>
          <w:lang w:val="es-ES_tradnl"/>
        </w:rPr>
        <w:tab/>
      </w:r>
      <w:r w:rsidR="000D6FF3">
        <w:rPr>
          <w:lang w:val="es-ES_tradnl"/>
        </w:rPr>
        <w:t>Desarrollo Social</w:t>
      </w:r>
    </w:p>
    <w:p w14:paraId="4B5D73A4" w14:textId="55BE0C9D" w:rsidR="00A10CB8" w:rsidRDefault="00A10CB8" w:rsidP="00A10CB8">
      <w:pPr>
        <w:jc w:val="both"/>
        <w:rPr>
          <w:lang w:val="es-ES_tradnl"/>
        </w:rPr>
      </w:pPr>
      <w:r w:rsidRPr="00A10CB8">
        <w:rPr>
          <w:lang w:val="es-ES_tradnl"/>
        </w:rPr>
        <w:t>•</w:t>
      </w:r>
      <w:r w:rsidRPr="00A10CB8">
        <w:rPr>
          <w:lang w:val="es-ES_tradnl"/>
        </w:rPr>
        <w:tab/>
      </w:r>
      <w:r w:rsidR="000D6FF3">
        <w:rPr>
          <w:lang w:val="es-ES_tradnl"/>
        </w:rPr>
        <w:t xml:space="preserve">Gobernabilidad, </w:t>
      </w:r>
      <w:r w:rsidRPr="00A10CB8">
        <w:rPr>
          <w:lang w:val="es-ES_tradnl"/>
        </w:rPr>
        <w:t xml:space="preserve">Seguridad y </w:t>
      </w:r>
      <w:r w:rsidR="000D6FF3">
        <w:rPr>
          <w:lang w:val="es-ES_tradnl"/>
        </w:rPr>
        <w:t xml:space="preserve">Sector </w:t>
      </w:r>
      <w:r w:rsidRPr="00A10CB8">
        <w:rPr>
          <w:lang w:val="es-ES_tradnl"/>
        </w:rPr>
        <w:t>Justicia</w:t>
      </w:r>
    </w:p>
    <w:p w14:paraId="5B2A31B8" w14:textId="27F85406" w:rsidR="00A10CB8" w:rsidRPr="00A10CB8" w:rsidRDefault="00A10CB8" w:rsidP="00A10CB8">
      <w:pPr>
        <w:jc w:val="both"/>
        <w:rPr>
          <w:lang w:val="es-ES_tradnl"/>
        </w:rPr>
      </w:pPr>
      <w:r w:rsidRPr="00A10CB8">
        <w:rPr>
          <w:lang w:val="es-ES_tradnl"/>
        </w:rPr>
        <w:t>•</w:t>
      </w:r>
      <w:r w:rsidRPr="00A10CB8">
        <w:rPr>
          <w:lang w:val="es-ES_tradnl"/>
        </w:rPr>
        <w:tab/>
      </w:r>
      <w:r w:rsidR="000D6FF3">
        <w:rPr>
          <w:lang w:val="es-ES_tradnl"/>
        </w:rPr>
        <w:t>Riesgos Fiscales y Techos Presupuestarios</w:t>
      </w:r>
    </w:p>
    <w:p w14:paraId="7CC24332" w14:textId="77777777" w:rsidR="00A10CB8" w:rsidRPr="00A10CB8" w:rsidRDefault="00A10CB8" w:rsidP="00A10CB8">
      <w:pPr>
        <w:jc w:val="both"/>
        <w:rPr>
          <w:lang w:val="es-ES_tradnl"/>
        </w:rPr>
      </w:pPr>
    </w:p>
    <w:p w14:paraId="4398CFD2" w14:textId="70183D7D" w:rsidR="00A10CB8" w:rsidRDefault="00A10CB8" w:rsidP="00A10CB8">
      <w:pPr>
        <w:jc w:val="both"/>
        <w:rPr>
          <w:lang w:val="es-ES_tradnl"/>
        </w:rPr>
      </w:pPr>
      <w:r w:rsidRPr="00A10CB8">
        <w:rPr>
          <w:lang w:val="es-ES_tradnl"/>
        </w:rPr>
        <w:t xml:space="preserve">En los Talleres de Presupuesto Abierto </w:t>
      </w:r>
      <w:r w:rsidR="008C1EE2">
        <w:rPr>
          <w:lang w:val="es-ES_tradnl"/>
        </w:rPr>
        <w:t xml:space="preserve">que se realizaron de forma virtual y presencial, </w:t>
      </w:r>
      <w:r w:rsidRPr="00A10CB8">
        <w:rPr>
          <w:lang w:val="es-ES_tradnl"/>
        </w:rPr>
        <w:t>se contó con la participación de varias organizaciones de sociedad civil, las cuales formularon una serie de interrogantes y observaciones a los distintos panelistas, sobre la manera de distribuir los techos presupuestarios que fueron asignados a las entidades públicas, considerando los sectores económicos y sociales prioritarios en el país. Para consultar más detalles y conocer las presentaciones, se puede consultar el siguiente link:</w:t>
      </w:r>
    </w:p>
    <w:p w14:paraId="61C18EC8" w14:textId="598F77C8" w:rsidR="00C55DF2" w:rsidRDefault="00C55DF2" w:rsidP="00A10CB8">
      <w:pPr>
        <w:jc w:val="both"/>
        <w:rPr>
          <w:lang w:val="es-ES_tradnl"/>
        </w:rPr>
      </w:pPr>
    </w:p>
    <w:p w14:paraId="6FF3076C" w14:textId="61947473" w:rsidR="00C55DF2" w:rsidRPr="00A10CB8" w:rsidRDefault="0029595B" w:rsidP="00A10CB8">
      <w:pPr>
        <w:jc w:val="both"/>
        <w:rPr>
          <w:lang w:val="es-ES_tradnl"/>
        </w:rPr>
      </w:pPr>
      <w:hyperlink r:id="rId47" w:history="1">
        <w:r w:rsidR="00C55DF2">
          <w:rPr>
            <w:rStyle w:val="Hipervnculo"/>
          </w:rPr>
          <w:t>Talleres de Presupuesto Abierto – 2021 – 2025 (minfin.gob.gt)</w:t>
        </w:r>
      </w:hyperlink>
    </w:p>
    <w:p w14:paraId="58699277" w14:textId="77777777" w:rsidR="00A10CB8" w:rsidRPr="00A10CB8" w:rsidRDefault="00A10CB8" w:rsidP="00A10CB8">
      <w:pPr>
        <w:jc w:val="both"/>
        <w:rPr>
          <w:lang w:val="es-ES_tradnl"/>
        </w:rPr>
      </w:pPr>
    </w:p>
    <w:p w14:paraId="14DCE56B" w14:textId="1A1554D2" w:rsidR="00BB4E0D" w:rsidRDefault="00BB4E0D" w:rsidP="004B5DF5">
      <w:pPr>
        <w:jc w:val="both"/>
        <w:rPr>
          <w:highlight w:val="yellow"/>
          <w:lang w:val="es-ES_tradnl"/>
        </w:rPr>
      </w:pPr>
    </w:p>
    <w:p w14:paraId="18391214" w14:textId="77777777" w:rsidR="00EB39B9" w:rsidRDefault="00EB39B9" w:rsidP="00EB39B9">
      <w:pPr>
        <w:jc w:val="both"/>
        <w:rPr>
          <w:lang w:val="es-ES_tradnl"/>
        </w:rPr>
      </w:pPr>
      <w:r w:rsidRPr="00114321">
        <w:rPr>
          <w:b/>
          <w:i/>
          <w:lang w:val="es-ES_tradnl"/>
        </w:rPr>
        <w:t>Calificación del Índice de Presupuesto Abierto (OBI por sus siglas en inglés).</w:t>
      </w:r>
      <w:r w:rsidRPr="00CD0AF0">
        <w:rPr>
          <w:lang w:val="es-ES_tradnl"/>
        </w:rPr>
        <w:t xml:space="preserve"> En</w:t>
      </w:r>
      <w:r>
        <w:rPr>
          <w:lang w:val="es-ES_tradnl"/>
        </w:rPr>
        <w:t xml:space="preserve"> la más reciente evaluación del Índice de Presupuesto Abierto (OBI), a cargo de</w:t>
      </w:r>
      <w:r w:rsidRPr="00CD0AF0">
        <w:rPr>
          <w:lang w:val="es-ES_tradnl"/>
        </w:rPr>
        <w:t xml:space="preserve"> la International Budget Partnership (IBP)</w:t>
      </w:r>
      <w:r>
        <w:rPr>
          <w:lang w:val="es-ES_tradnl"/>
        </w:rPr>
        <w:t>, la República de Guatemala</w:t>
      </w:r>
      <w:r w:rsidRPr="00CD0AF0">
        <w:rPr>
          <w:lang w:val="es-ES_tradnl"/>
        </w:rPr>
        <w:t xml:space="preserve"> obtuvo una calificación de </w:t>
      </w:r>
      <w:r>
        <w:rPr>
          <w:lang w:val="es-ES_tradnl"/>
        </w:rPr>
        <w:t>64</w:t>
      </w:r>
      <w:r w:rsidRPr="00CD0AF0">
        <w:rPr>
          <w:lang w:val="es-ES_tradnl"/>
        </w:rPr>
        <w:t xml:space="preserve"> puntos</w:t>
      </w:r>
      <w:r>
        <w:rPr>
          <w:lang w:val="es-ES_tradnl"/>
        </w:rPr>
        <w:t xml:space="preserve"> que la sitúa en el grupo de países que proporcionan información presupuestaria “sustancial o suficiente”, y que la ubica dentro de las cinco mejores posiciones a nivel de América Latina, en el primer lugar en Centro América y en la posición número 26 dentro del ranking mundial compuesto por 120 países evaluados. Los ocho </w:t>
      </w:r>
      <w:r w:rsidRPr="00CD0AF0">
        <w:rPr>
          <w:lang w:val="es-ES_tradnl"/>
        </w:rPr>
        <w:t>documentos clave del ciclo presupuestario que evalúa el Índice de Presupuesto Abierto</w:t>
      </w:r>
      <w:r>
        <w:rPr>
          <w:lang w:val="es-ES_tradnl"/>
        </w:rPr>
        <w:t xml:space="preserve"> son los siguientes: </w:t>
      </w:r>
      <w:r w:rsidRPr="00B730B7">
        <w:rPr>
          <w:lang w:val="es-ES_tradnl"/>
        </w:rPr>
        <w:t>1) Proyecto de Presupuesto del Ejecutivo; 2) Documento Preliminar de Presupuesto; 3) Presupuesto Aprobado; 4) Presupuesto Ciudadano; 5) Informes Entregados Durante el Año; 6) Revisión de Mitad de Año; 7) Informe de Fin de Año; y 8) Informe de Auditoría</w:t>
      </w:r>
      <w:r>
        <w:rPr>
          <w:lang w:val="es-ES_tradnl"/>
        </w:rPr>
        <w:t>, este último a cargo de la Contraloría General de Cuentas.</w:t>
      </w:r>
    </w:p>
    <w:p w14:paraId="6077443C" w14:textId="77777777" w:rsidR="00EB39B9" w:rsidRDefault="00EB39B9" w:rsidP="00EB39B9">
      <w:pPr>
        <w:jc w:val="both"/>
        <w:rPr>
          <w:lang w:val="es-ES_tradnl"/>
        </w:rPr>
      </w:pPr>
    </w:p>
    <w:p w14:paraId="5A8189C3" w14:textId="77777777" w:rsidR="00EB39B9" w:rsidRPr="002F1DF4" w:rsidRDefault="00EB39B9" w:rsidP="00EB39B9">
      <w:pPr>
        <w:pStyle w:val="Sinespaciado"/>
        <w:jc w:val="both"/>
        <w:rPr>
          <w:rFonts w:ascii="Times New Roman" w:hAnsi="Times New Roman"/>
          <w:lang w:val="es-GT"/>
        </w:rPr>
      </w:pPr>
      <w:r>
        <w:rPr>
          <w:rFonts w:ascii="Times New Roman" w:hAnsi="Times New Roman"/>
          <w:lang w:val="es-GT"/>
        </w:rPr>
        <w:t xml:space="preserve">En el mes de noviembre de 2022 dio inicio la coordinación y negociación para la ejecución del </w:t>
      </w:r>
      <w:r w:rsidRPr="002F1DF4">
        <w:rPr>
          <w:rFonts w:ascii="Times New Roman" w:hAnsi="Times New Roman"/>
          <w:lang w:val="es-GT"/>
        </w:rPr>
        <w:t xml:space="preserve">“Proyecto de Fortalecimiento Institucional del Ministerio de Finanzas Públicas para la Mejora en la Gestión del Gasto Público”, con recursos provenientes de la cooperación técnica no reembolsable </w:t>
      </w:r>
      <w:r>
        <w:rPr>
          <w:rFonts w:ascii="Times New Roman" w:hAnsi="Times New Roman"/>
          <w:lang w:val="es-GT"/>
        </w:rPr>
        <w:t>otorgada por</w:t>
      </w:r>
      <w:r w:rsidRPr="002F1DF4">
        <w:rPr>
          <w:rFonts w:ascii="Times New Roman" w:hAnsi="Times New Roman"/>
          <w:lang w:val="es-GT"/>
        </w:rPr>
        <w:t xml:space="preserve"> la Agencia de los Estados Unidos de América para el Desarrollo Internacional (USAID), en el marco de los Convenios de Donación de Objetivos Estratégicos Nos. 520-0438 </w:t>
      </w:r>
      <w:r>
        <w:rPr>
          <w:rFonts w:ascii="Times New Roman" w:hAnsi="Times New Roman"/>
          <w:lang w:val="es-GT"/>
        </w:rPr>
        <w:t xml:space="preserve"> </w:t>
      </w:r>
      <w:r w:rsidRPr="002F1DF4">
        <w:rPr>
          <w:rFonts w:ascii="Times New Roman" w:hAnsi="Times New Roman"/>
          <w:lang w:val="es-GT"/>
        </w:rPr>
        <w:t>y</w:t>
      </w:r>
      <w:r>
        <w:rPr>
          <w:rFonts w:ascii="Times New Roman" w:hAnsi="Times New Roman"/>
          <w:lang w:val="es-GT"/>
        </w:rPr>
        <w:t xml:space="preserve"> </w:t>
      </w:r>
      <w:r w:rsidRPr="002F1DF4">
        <w:rPr>
          <w:rFonts w:ascii="Times New Roman" w:hAnsi="Times New Roman"/>
          <w:lang w:val="es-GT"/>
        </w:rPr>
        <w:t xml:space="preserve"> 520-0440, suscritos entre el Gobierno de los Estados Unidos de América y el Gobierno de la República de Guatemala.</w:t>
      </w:r>
    </w:p>
    <w:p w14:paraId="368EE11F" w14:textId="77777777" w:rsidR="00EB39B9" w:rsidRPr="002F1DF4" w:rsidRDefault="00EB39B9" w:rsidP="00EB39B9">
      <w:pPr>
        <w:pStyle w:val="Sinespaciado"/>
        <w:jc w:val="both"/>
        <w:rPr>
          <w:rFonts w:ascii="Times New Roman" w:hAnsi="Times New Roman"/>
          <w:lang w:val="es-GT"/>
        </w:rPr>
      </w:pPr>
    </w:p>
    <w:p w14:paraId="225F2F97" w14:textId="77777777" w:rsidR="00EB39B9" w:rsidRDefault="00EB39B9" w:rsidP="00EB39B9">
      <w:pPr>
        <w:pStyle w:val="Sinespaciado"/>
        <w:jc w:val="both"/>
        <w:rPr>
          <w:rFonts w:ascii="Times New Roman" w:hAnsi="Times New Roman"/>
          <w:lang w:val="es-GT"/>
        </w:rPr>
      </w:pPr>
      <w:r w:rsidRPr="002F1DF4">
        <w:rPr>
          <w:rFonts w:ascii="Times New Roman" w:hAnsi="Times New Roman"/>
          <w:lang w:val="es-GT"/>
        </w:rPr>
        <w:t xml:space="preserve">El citado proyecto se integra por dos componentes: </w:t>
      </w:r>
      <w:r>
        <w:rPr>
          <w:rFonts w:ascii="Times New Roman" w:hAnsi="Times New Roman"/>
          <w:lang w:val="es-GT"/>
        </w:rPr>
        <w:t>1</w:t>
      </w:r>
      <w:r w:rsidRPr="002F1DF4">
        <w:rPr>
          <w:rFonts w:ascii="Times New Roman" w:hAnsi="Times New Roman"/>
          <w:lang w:val="es-GT"/>
        </w:rPr>
        <w:t xml:space="preserve">) Programa de capacitación y profesionalización en Gestión de las Finanzas Públicas (GFP) y estándares y buenas prácticas internacionales en materia de transparencia fiscal; y, </w:t>
      </w:r>
      <w:r>
        <w:rPr>
          <w:rFonts w:ascii="Times New Roman" w:hAnsi="Times New Roman"/>
          <w:lang w:val="es-GT"/>
        </w:rPr>
        <w:t>2</w:t>
      </w:r>
      <w:r w:rsidRPr="002F1DF4">
        <w:rPr>
          <w:rFonts w:ascii="Times New Roman" w:hAnsi="Times New Roman"/>
          <w:lang w:val="es-GT"/>
        </w:rPr>
        <w:t>) Diseño e implementación de una estrategia para el fomento de la participación ciudadana en las distintas etapas del proceso presupuestario</w:t>
      </w:r>
      <w:r>
        <w:rPr>
          <w:rFonts w:ascii="Times New Roman" w:hAnsi="Times New Roman"/>
          <w:lang w:val="es-GT"/>
        </w:rPr>
        <w:t xml:space="preserve"> y mejoramiento del Índice de Presupuesto Abierto (OBI)</w:t>
      </w:r>
      <w:r w:rsidRPr="002F1DF4">
        <w:rPr>
          <w:rFonts w:ascii="Times New Roman" w:hAnsi="Times New Roman"/>
          <w:lang w:val="es-GT"/>
        </w:rPr>
        <w:t>. En este segundo componente se c</w:t>
      </w:r>
      <w:r>
        <w:rPr>
          <w:rFonts w:ascii="Times New Roman" w:hAnsi="Times New Roman"/>
          <w:lang w:val="es-GT"/>
        </w:rPr>
        <w:t>uenta</w:t>
      </w:r>
      <w:r w:rsidRPr="002F1DF4">
        <w:rPr>
          <w:rFonts w:ascii="Times New Roman" w:hAnsi="Times New Roman"/>
          <w:lang w:val="es-GT"/>
        </w:rPr>
        <w:t xml:space="preserve"> con la participación de expertos internacionales de la Iniciativa Global para la Transparencia Fiscal (GIFT por sus siglas en inglés), </w:t>
      </w:r>
      <w:r>
        <w:rPr>
          <w:rFonts w:ascii="Times New Roman" w:hAnsi="Times New Roman"/>
          <w:lang w:val="es-GT"/>
        </w:rPr>
        <w:t xml:space="preserve">la cual se </w:t>
      </w:r>
      <w:r w:rsidRPr="002F1DF4">
        <w:rPr>
          <w:rFonts w:ascii="Times New Roman" w:hAnsi="Times New Roman"/>
          <w:lang w:val="es-GT"/>
        </w:rPr>
        <w:t>fundamenta</w:t>
      </w:r>
      <w:r>
        <w:rPr>
          <w:rFonts w:ascii="Times New Roman" w:hAnsi="Times New Roman"/>
          <w:lang w:val="es-GT"/>
        </w:rPr>
        <w:t xml:space="preserve"> en los pilares básicos de</w:t>
      </w:r>
      <w:r w:rsidRPr="002F1DF4">
        <w:rPr>
          <w:rFonts w:ascii="Times New Roman" w:hAnsi="Times New Roman"/>
          <w:lang w:val="es-GT"/>
        </w:rPr>
        <w:t xml:space="preserve"> transparencia fiscal y participación ciudadana en la gestión de las finanzas públicas.</w:t>
      </w:r>
    </w:p>
    <w:p w14:paraId="38B178B7" w14:textId="77777777" w:rsidR="00EB39B9" w:rsidRDefault="00EB39B9" w:rsidP="00EB39B9">
      <w:pPr>
        <w:pStyle w:val="Sinespaciado"/>
        <w:jc w:val="both"/>
        <w:rPr>
          <w:rFonts w:ascii="Times New Roman" w:hAnsi="Times New Roman"/>
          <w:lang w:val="es-GT"/>
        </w:rPr>
      </w:pPr>
    </w:p>
    <w:p w14:paraId="0B70DB8D" w14:textId="77777777" w:rsidR="00EB39B9" w:rsidRDefault="00EB39B9" w:rsidP="00EB39B9">
      <w:pPr>
        <w:pStyle w:val="Sinespaciado"/>
        <w:jc w:val="both"/>
        <w:rPr>
          <w:rFonts w:ascii="Times New Roman" w:hAnsi="Times New Roman"/>
          <w:lang w:val="es-GT"/>
        </w:rPr>
      </w:pPr>
      <w:r>
        <w:rPr>
          <w:rFonts w:ascii="Times New Roman" w:hAnsi="Times New Roman"/>
          <w:lang w:val="es-GT"/>
        </w:rPr>
        <w:t>Con el diseño e implementación de esta estrategia para el fomento de la participación pública en las distintas etapas del proceso presupuestario, se tiene previsto incrementar la próxima calificación del Índice de Presupuesto Abierto (OBI</w:t>
      </w:r>
      <w:r w:rsidRPr="00377887">
        <w:rPr>
          <w:rFonts w:ascii="Times New Roman" w:hAnsi="Times New Roman"/>
          <w:lang w:val="es-GT"/>
        </w:rPr>
        <w:t>)</w:t>
      </w:r>
      <w:r>
        <w:rPr>
          <w:rFonts w:ascii="Times New Roman" w:hAnsi="Times New Roman"/>
          <w:lang w:val="es-GT"/>
        </w:rPr>
        <w:t xml:space="preserve"> que abarcará el período 2022-2023</w:t>
      </w:r>
      <w:r w:rsidRPr="00377887">
        <w:rPr>
          <w:rFonts w:ascii="Times New Roman" w:hAnsi="Times New Roman"/>
          <w:lang w:val="es-GT"/>
        </w:rPr>
        <w:t>,</w:t>
      </w:r>
      <w:r>
        <w:rPr>
          <w:rFonts w:ascii="Times New Roman" w:hAnsi="Times New Roman"/>
          <w:lang w:val="es-GT"/>
        </w:rPr>
        <w:t xml:space="preserve"> por medio de la implementación en Guatemala del Proyecto Acelerador de Apertura Fiscal (Fiscal Openness Accelerator -FOA-), creado por la Iniciativa Global para la Transparencia Fiscal (GIFT), cuyo</w:t>
      </w:r>
      <w:r w:rsidRPr="005557C0">
        <w:rPr>
          <w:rFonts w:ascii="Times New Roman" w:hAnsi="Times New Roman"/>
          <w:lang w:val="es-GT"/>
        </w:rPr>
        <w:t xml:space="preserve"> objetivo </w:t>
      </w:r>
      <w:r>
        <w:rPr>
          <w:rFonts w:ascii="Times New Roman" w:hAnsi="Times New Roman"/>
          <w:lang w:val="es-GT"/>
        </w:rPr>
        <w:t>consiste en</w:t>
      </w:r>
      <w:r w:rsidRPr="005557C0">
        <w:rPr>
          <w:rFonts w:ascii="Times New Roman" w:hAnsi="Times New Roman"/>
          <w:lang w:val="es-GT"/>
        </w:rPr>
        <w:t xml:space="preserve"> desarrollar la capacidad técnica de </w:t>
      </w:r>
      <w:r>
        <w:rPr>
          <w:rFonts w:ascii="Times New Roman" w:hAnsi="Times New Roman"/>
          <w:lang w:val="es-GT"/>
        </w:rPr>
        <w:t>los</w:t>
      </w:r>
      <w:r w:rsidRPr="005557C0">
        <w:rPr>
          <w:rFonts w:ascii="Times New Roman" w:hAnsi="Times New Roman"/>
          <w:lang w:val="es-GT"/>
        </w:rPr>
        <w:t xml:space="preserve"> gobiernos </w:t>
      </w:r>
      <w:r>
        <w:rPr>
          <w:rFonts w:ascii="Times New Roman" w:hAnsi="Times New Roman"/>
          <w:lang w:val="es-GT"/>
        </w:rPr>
        <w:t xml:space="preserve">participantes </w:t>
      </w:r>
      <w:r w:rsidRPr="005557C0">
        <w:rPr>
          <w:rFonts w:ascii="Times New Roman" w:hAnsi="Times New Roman"/>
          <w:lang w:val="es-GT"/>
        </w:rPr>
        <w:t xml:space="preserve">para mejorar </w:t>
      </w:r>
      <w:r>
        <w:rPr>
          <w:rFonts w:ascii="Times New Roman" w:hAnsi="Times New Roman"/>
          <w:lang w:val="es-GT"/>
        </w:rPr>
        <w:t>la</w:t>
      </w:r>
      <w:r w:rsidRPr="005557C0">
        <w:rPr>
          <w:rFonts w:ascii="Times New Roman" w:hAnsi="Times New Roman"/>
          <w:lang w:val="es-GT"/>
        </w:rPr>
        <w:t xml:space="preserve"> transparencia fiscal e implementar mecanismos para </w:t>
      </w:r>
      <w:r>
        <w:rPr>
          <w:rFonts w:ascii="Times New Roman" w:hAnsi="Times New Roman"/>
          <w:lang w:val="es-GT"/>
        </w:rPr>
        <w:t xml:space="preserve">fomentar </w:t>
      </w:r>
      <w:r w:rsidRPr="005557C0">
        <w:rPr>
          <w:rFonts w:ascii="Times New Roman" w:hAnsi="Times New Roman"/>
          <w:lang w:val="es-GT"/>
        </w:rPr>
        <w:t>la participación pública en la elaboración de políticas fiscales, prop</w:t>
      </w:r>
      <w:r>
        <w:rPr>
          <w:rFonts w:ascii="Times New Roman" w:hAnsi="Times New Roman"/>
          <w:lang w:val="es-GT"/>
        </w:rPr>
        <w:t>iciando asimismo,</w:t>
      </w:r>
      <w:r w:rsidRPr="005557C0">
        <w:rPr>
          <w:rFonts w:ascii="Times New Roman" w:hAnsi="Times New Roman"/>
          <w:lang w:val="es-GT"/>
        </w:rPr>
        <w:t xml:space="preserve"> un diálogo entre la sociedad civil y las autoridades de finanzas públicas sobre el </w:t>
      </w:r>
      <w:r>
        <w:rPr>
          <w:rFonts w:ascii="Times New Roman" w:hAnsi="Times New Roman"/>
          <w:lang w:val="es-GT"/>
        </w:rPr>
        <w:t xml:space="preserve">adecuado </w:t>
      </w:r>
      <w:r w:rsidRPr="005557C0">
        <w:rPr>
          <w:rFonts w:ascii="Times New Roman" w:hAnsi="Times New Roman"/>
          <w:lang w:val="es-GT"/>
        </w:rPr>
        <w:t xml:space="preserve">uso </w:t>
      </w:r>
      <w:r>
        <w:rPr>
          <w:rFonts w:ascii="Times New Roman" w:hAnsi="Times New Roman"/>
          <w:lang w:val="es-GT"/>
        </w:rPr>
        <w:t xml:space="preserve">y manejo </w:t>
      </w:r>
      <w:r w:rsidRPr="005557C0">
        <w:rPr>
          <w:rFonts w:ascii="Times New Roman" w:hAnsi="Times New Roman"/>
          <w:lang w:val="es-GT"/>
        </w:rPr>
        <w:t xml:space="preserve">de </w:t>
      </w:r>
      <w:r>
        <w:rPr>
          <w:rFonts w:ascii="Times New Roman" w:hAnsi="Times New Roman"/>
          <w:lang w:val="es-GT"/>
        </w:rPr>
        <w:t xml:space="preserve">los </w:t>
      </w:r>
      <w:r w:rsidRPr="005557C0">
        <w:rPr>
          <w:rFonts w:ascii="Times New Roman" w:hAnsi="Times New Roman"/>
          <w:lang w:val="es-GT"/>
        </w:rPr>
        <w:t xml:space="preserve">recursos </w:t>
      </w:r>
      <w:r>
        <w:rPr>
          <w:rFonts w:ascii="Times New Roman" w:hAnsi="Times New Roman"/>
          <w:lang w:val="es-GT"/>
        </w:rPr>
        <w:t>del Estado, bajo criterios de racionalidad, eficiencia, equidad e inclusión.</w:t>
      </w:r>
    </w:p>
    <w:p w14:paraId="03A36640" w14:textId="77777777" w:rsidR="00EB39B9" w:rsidRPr="00B033F7" w:rsidRDefault="00EB39B9" w:rsidP="00EB39B9">
      <w:pPr>
        <w:pStyle w:val="Sinespaciado"/>
        <w:jc w:val="both"/>
        <w:rPr>
          <w:rFonts w:ascii="Times New Roman" w:hAnsi="Times New Roman"/>
          <w:lang w:val="es-GT"/>
        </w:rPr>
      </w:pPr>
    </w:p>
    <w:p w14:paraId="2E96574E" w14:textId="77BFD8F3" w:rsidR="00EB39B9" w:rsidRPr="00B033F7" w:rsidRDefault="00EB39B9" w:rsidP="00EB39B9">
      <w:pPr>
        <w:jc w:val="both"/>
        <w:rPr>
          <w:lang w:val="es-ES_tradnl"/>
        </w:rPr>
      </w:pPr>
      <w:r>
        <w:rPr>
          <w:lang w:val="es-ES_tradnl"/>
        </w:rPr>
        <w:t xml:space="preserve">Además, en el mes de junio </w:t>
      </w:r>
      <w:r w:rsidR="008931BD">
        <w:rPr>
          <w:lang w:val="es-ES_tradnl"/>
        </w:rPr>
        <w:t xml:space="preserve">de 2023 </w:t>
      </w:r>
      <w:r>
        <w:rPr>
          <w:lang w:val="es-ES_tradnl"/>
        </w:rPr>
        <w:t>se desarrolló por parte de la Dirección de Transparencia Fiscal el quinto informe sobre el ejercicio de autoevaluación de los documentos clave del ciclo presupuestario que evalúa el Índice de Presupuesto Abierto (OBI), con el propósito de contar con una aproximación de cuál podría ser la calificación a obtener en la próxima evaluación, tomando en consideración la calidad, cantidad y exhaustividad de los documentos presupuestarios elaborados y publicados en los dos últimos años. De esa cuenta, se estima que Guatemala podría obtener una calificación por alrededor de los 68.37 puntos.</w:t>
      </w:r>
    </w:p>
    <w:p w14:paraId="7959F4D6" w14:textId="637F92BE" w:rsidR="00164BE7" w:rsidRDefault="00164BE7" w:rsidP="004B5DF5">
      <w:pPr>
        <w:jc w:val="both"/>
        <w:rPr>
          <w:lang w:val="es-ES_tradnl"/>
        </w:rPr>
      </w:pPr>
    </w:p>
    <w:p w14:paraId="302D8061" w14:textId="77777777" w:rsidR="008931BD" w:rsidRDefault="008931BD" w:rsidP="004B5DF5">
      <w:pPr>
        <w:jc w:val="both"/>
        <w:rPr>
          <w:lang w:val="es-ES_tradnl"/>
        </w:rPr>
      </w:pPr>
    </w:p>
    <w:p w14:paraId="36A5A21D" w14:textId="34EA2D14" w:rsidR="003C3B1E" w:rsidRDefault="00C712E5" w:rsidP="004B5DF5">
      <w:pPr>
        <w:jc w:val="both"/>
        <w:rPr>
          <w:lang w:val="es-ES_tradnl"/>
        </w:rPr>
      </w:pPr>
      <w:r>
        <w:rPr>
          <w:b/>
          <w:i/>
          <w:lang w:val="es-ES_tradnl"/>
        </w:rPr>
        <w:t>Acciones de Prevención de la Corrupción</w:t>
      </w:r>
      <w:r w:rsidR="003C3B1E">
        <w:rPr>
          <w:b/>
          <w:i/>
          <w:lang w:val="es-ES_tradnl"/>
        </w:rPr>
        <w:t xml:space="preserve"> en el Ministerio de Finanzas Públicas</w:t>
      </w:r>
      <w:r w:rsidR="004B5DF5" w:rsidRPr="00120B63">
        <w:rPr>
          <w:b/>
          <w:lang w:val="es-ES_tradnl"/>
        </w:rPr>
        <w:t>.</w:t>
      </w:r>
      <w:r w:rsidR="004B5DF5" w:rsidRPr="00120B63">
        <w:rPr>
          <w:lang w:val="es-ES_tradnl"/>
        </w:rPr>
        <w:t xml:space="preserve"> </w:t>
      </w:r>
      <w:r w:rsidR="00BE108E">
        <w:rPr>
          <w:lang w:val="es-ES_tradnl"/>
        </w:rPr>
        <w:t>Con</w:t>
      </w:r>
      <w:r w:rsidR="00CD2F5A">
        <w:rPr>
          <w:lang w:val="es-ES_tradnl"/>
        </w:rPr>
        <w:t xml:space="preserve"> el propósito de </w:t>
      </w:r>
      <w:r w:rsidR="003C3B1E">
        <w:rPr>
          <w:lang w:val="es-ES_tradnl"/>
        </w:rPr>
        <w:t>contribuir al</w:t>
      </w:r>
      <w:r w:rsidR="00CD2F5A">
        <w:rPr>
          <w:lang w:val="es-ES_tradnl"/>
        </w:rPr>
        <w:t xml:space="preserve"> cumplimiento de los compromisos que el Estado de Guatemala adquirió al suscribir la Convención Interamericana contra la Corrupción y la Convención de las Naciones Unidas contra la Corrupción, </w:t>
      </w:r>
      <w:r w:rsidR="003C3B1E">
        <w:rPr>
          <w:lang w:val="es-ES_tradnl"/>
        </w:rPr>
        <w:t xml:space="preserve">el Ministerio de Finanzas Públicas </w:t>
      </w:r>
      <w:r w:rsidR="00CD2F5A">
        <w:rPr>
          <w:lang w:val="es-ES_tradnl"/>
        </w:rPr>
        <w:t>ha implementado una serie de acciones que contribuyen al fomento de la transparencia y la rendición de cuentas</w:t>
      </w:r>
      <w:r w:rsidR="00C82E03">
        <w:rPr>
          <w:lang w:val="es-ES_tradnl"/>
        </w:rPr>
        <w:t xml:space="preserve">, situación que ha propiciado el adecuado cumplimiento de las funciones que </w:t>
      </w:r>
      <w:r w:rsidR="003C3B1E">
        <w:rPr>
          <w:lang w:val="es-ES_tradnl"/>
        </w:rPr>
        <w:t xml:space="preserve">por ley le </w:t>
      </w:r>
      <w:r w:rsidR="00C82E03">
        <w:rPr>
          <w:lang w:val="es-ES_tradnl"/>
        </w:rPr>
        <w:t>compete realizar, bajo los principios fundamentales de integridad</w:t>
      </w:r>
      <w:r w:rsidR="00360512">
        <w:rPr>
          <w:lang w:val="es-ES_tradnl"/>
        </w:rPr>
        <w:t xml:space="preserve">, honestidad y responsabilidad de sus servidores públicos. </w:t>
      </w:r>
      <w:r w:rsidR="003C3B1E">
        <w:rPr>
          <w:lang w:val="es-ES_tradnl"/>
        </w:rPr>
        <w:t xml:space="preserve">El objetivo fundamental consiste en incentivar el </w:t>
      </w:r>
      <w:r w:rsidR="00655CD8">
        <w:rPr>
          <w:lang w:val="es-ES_tradnl"/>
        </w:rPr>
        <w:t>oportuno</w:t>
      </w:r>
      <w:r w:rsidR="003C3B1E">
        <w:rPr>
          <w:lang w:val="es-ES_tradnl"/>
        </w:rPr>
        <w:t xml:space="preserve"> cumplimiento de la gestión pública en un marco de actuación ética, con el fin de asegurar la adecuada calidad de los servicios públicos que se prestan a los ciudadanos.</w:t>
      </w:r>
    </w:p>
    <w:p w14:paraId="0CD40BE5" w14:textId="77777777" w:rsidR="003C3B1E" w:rsidRDefault="003C3B1E" w:rsidP="004B5DF5">
      <w:pPr>
        <w:jc w:val="both"/>
        <w:rPr>
          <w:lang w:val="es-ES_tradnl"/>
        </w:rPr>
      </w:pPr>
    </w:p>
    <w:p w14:paraId="0B4BF2DF" w14:textId="5E30816F" w:rsidR="009251AF" w:rsidRDefault="003C3B1E" w:rsidP="004B5DF5">
      <w:pPr>
        <w:jc w:val="both"/>
        <w:rPr>
          <w:lang w:val="es-ES_tradnl"/>
        </w:rPr>
      </w:pPr>
      <w:r>
        <w:rPr>
          <w:lang w:val="es-ES_tradnl"/>
        </w:rPr>
        <w:t xml:space="preserve">En ese orden de ideas, por medio del Acuerdo Ministerial No. 253-2023 se aprobó la Política de Prevención de la Corrupción </w:t>
      </w:r>
      <w:r w:rsidR="00C23BD2">
        <w:rPr>
          <w:lang w:val="es-ES_tradnl"/>
        </w:rPr>
        <w:t xml:space="preserve">del Ministerio de Finanzas Públicas </w:t>
      </w:r>
      <w:r>
        <w:rPr>
          <w:lang w:val="es-ES_tradnl"/>
        </w:rPr>
        <w:t>con carácter obligatorio y de observancia general para los funcionarios y servidores públicos de la entidad</w:t>
      </w:r>
      <w:r w:rsidR="00E31B1C">
        <w:rPr>
          <w:lang w:val="es-ES_tradnl"/>
        </w:rPr>
        <w:t>. A</w:t>
      </w:r>
      <w:r>
        <w:rPr>
          <w:lang w:val="es-ES_tradnl"/>
        </w:rPr>
        <w:t xml:space="preserve">simismo, mediante el Acuerdo Ministerial No. 484-2023 </w:t>
      </w:r>
      <w:r w:rsidR="009251AF">
        <w:rPr>
          <w:lang w:val="es-ES_tradnl"/>
        </w:rPr>
        <w:t xml:space="preserve">se aprobó el Comité de Ética </w:t>
      </w:r>
      <w:r w:rsidR="00655CD8">
        <w:rPr>
          <w:lang w:val="es-ES_tradnl"/>
        </w:rPr>
        <w:t>del Ministerio de Finanzas Públicas para brindar seguimiento al cumplimiento del</w:t>
      </w:r>
      <w:r w:rsidR="009251AF">
        <w:rPr>
          <w:lang w:val="es-ES_tradnl"/>
        </w:rPr>
        <w:t xml:space="preserve"> Código de Ética</w:t>
      </w:r>
      <w:r w:rsidR="00655CD8">
        <w:rPr>
          <w:lang w:val="es-ES_tradnl"/>
        </w:rPr>
        <w:t xml:space="preserve"> que también se aprobó con est</w:t>
      </w:r>
      <w:r w:rsidR="00E31B1C">
        <w:rPr>
          <w:lang w:val="es-ES_tradnl"/>
        </w:rPr>
        <w:t>a disposición legal</w:t>
      </w:r>
      <w:r w:rsidR="00655CD8">
        <w:rPr>
          <w:lang w:val="es-ES_tradnl"/>
        </w:rPr>
        <w:t xml:space="preserve">, a la Política de Prevención de la Corrupción y </w:t>
      </w:r>
      <w:r w:rsidR="00E31B1C">
        <w:rPr>
          <w:lang w:val="es-ES_tradnl"/>
        </w:rPr>
        <w:t xml:space="preserve">a </w:t>
      </w:r>
      <w:r w:rsidR="00655CD8">
        <w:rPr>
          <w:lang w:val="es-ES_tradnl"/>
        </w:rPr>
        <w:t>cualquier otra política o normativa institucional relacionada con la materia,</w:t>
      </w:r>
      <w:r w:rsidR="009251AF">
        <w:rPr>
          <w:lang w:val="es-ES_tradnl"/>
        </w:rPr>
        <w:t xml:space="preserve"> con el propósito que las funciones y actividades </w:t>
      </w:r>
      <w:r w:rsidR="00655CD8">
        <w:rPr>
          <w:lang w:val="es-ES_tradnl"/>
        </w:rPr>
        <w:t>que co</w:t>
      </w:r>
      <w:r w:rsidR="00E31B1C">
        <w:rPr>
          <w:lang w:val="es-ES_tradnl"/>
        </w:rPr>
        <w:t>rresponde</w:t>
      </w:r>
      <w:r w:rsidR="00655CD8">
        <w:rPr>
          <w:lang w:val="es-ES_tradnl"/>
        </w:rPr>
        <w:t xml:space="preserve"> realizar a cada servidor, </w:t>
      </w:r>
      <w:r w:rsidR="009251AF">
        <w:rPr>
          <w:lang w:val="es-ES_tradnl"/>
        </w:rPr>
        <w:t>puedan ser desarrolladas con eficiencia y calidad, en un marco de justicia, integridad, responsabilidad, transparencia y excelencia.</w:t>
      </w:r>
    </w:p>
    <w:p w14:paraId="4F57EF56" w14:textId="77777777" w:rsidR="009251AF" w:rsidRDefault="009251AF" w:rsidP="004B5DF5">
      <w:pPr>
        <w:jc w:val="both"/>
        <w:rPr>
          <w:lang w:val="es-ES_tradnl"/>
        </w:rPr>
      </w:pPr>
    </w:p>
    <w:p w14:paraId="4CCA54C0" w14:textId="77777777" w:rsidR="009251AF" w:rsidRDefault="009251AF" w:rsidP="004B5DF5">
      <w:pPr>
        <w:jc w:val="both"/>
        <w:rPr>
          <w:lang w:val="es-ES_tradnl"/>
        </w:rPr>
      </w:pPr>
    </w:p>
    <w:p w14:paraId="463A8AFD" w14:textId="6DD21595" w:rsidR="00B5717F" w:rsidRDefault="009352CD" w:rsidP="00B5717F">
      <w:pPr>
        <w:jc w:val="both"/>
        <w:rPr>
          <w:lang w:val="es-ES_tradnl"/>
        </w:rPr>
      </w:pPr>
      <w:r w:rsidRPr="002B005D">
        <w:rPr>
          <w:b/>
          <w:i/>
          <w:lang w:val="es-ES_tradnl"/>
        </w:rPr>
        <w:t xml:space="preserve">Análisis y </w:t>
      </w:r>
      <w:r w:rsidR="00B77826" w:rsidRPr="002B005D">
        <w:rPr>
          <w:b/>
          <w:i/>
          <w:lang w:val="es-ES_tradnl"/>
        </w:rPr>
        <w:t>Gestión de Riesgos Fiscales.</w:t>
      </w:r>
      <w:r w:rsidR="00B77826" w:rsidRPr="002B005D">
        <w:rPr>
          <w:lang w:val="es-ES_tradnl"/>
        </w:rPr>
        <w:t xml:space="preserve"> </w:t>
      </w:r>
      <w:r w:rsidR="00B5717F" w:rsidRPr="00B5717F">
        <w:rPr>
          <w:lang w:val="es-ES_tradnl"/>
        </w:rPr>
        <w:t>El Ministerio de Finanzas</w:t>
      </w:r>
      <w:r w:rsidR="00111626">
        <w:rPr>
          <w:lang w:val="es-ES_tradnl"/>
        </w:rPr>
        <w:t xml:space="preserve"> Públicas</w:t>
      </w:r>
      <w:r w:rsidR="00B5717F" w:rsidRPr="00B5717F">
        <w:rPr>
          <w:lang w:val="es-ES_tradnl"/>
        </w:rPr>
        <w:t>, en el marco de sus competencias de velar por la sostenibilidad y estabilidad económica, a través del manejo prudente y transparente de la</w:t>
      </w:r>
      <w:r w:rsidR="00B5717F">
        <w:rPr>
          <w:lang w:val="es-ES_tradnl"/>
        </w:rPr>
        <w:t xml:space="preserve"> hacienda</w:t>
      </w:r>
      <w:r w:rsidR="00B5717F" w:rsidRPr="00B5717F">
        <w:rPr>
          <w:lang w:val="es-ES_tradnl"/>
        </w:rPr>
        <w:t xml:space="preserve"> pública, ha asumido un rol más activo frente a los riesgos fiscales, desarrollando las acciones que le permitan obtener una posición fiscal más resiliente a través de la gestión de riesgos fiscales.</w:t>
      </w:r>
      <w:r w:rsidR="00B5717F">
        <w:rPr>
          <w:lang w:val="es-ES_tradnl"/>
        </w:rPr>
        <w:t xml:space="preserve"> En ese sentido, c</w:t>
      </w:r>
      <w:r w:rsidR="00B5717F" w:rsidRPr="00B5717F">
        <w:rPr>
          <w:lang w:val="es-ES_tradnl"/>
        </w:rPr>
        <w:t xml:space="preserve">omo parte de su agenda de transparencia fiscal, </w:t>
      </w:r>
      <w:r w:rsidR="00B5717F">
        <w:rPr>
          <w:lang w:val="es-ES_tradnl"/>
        </w:rPr>
        <w:t xml:space="preserve">desde el año 2016 viene incluyendo en </w:t>
      </w:r>
      <w:r w:rsidR="00111626">
        <w:rPr>
          <w:lang w:val="es-ES_tradnl"/>
        </w:rPr>
        <w:t>el</w:t>
      </w:r>
      <w:r w:rsidR="00B5717F" w:rsidRPr="00B5717F">
        <w:rPr>
          <w:lang w:val="es-ES_tradnl"/>
        </w:rPr>
        <w:t xml:space="preserve"> Proyecto de Presupuesto General de Ingresos y Egresos de</w:t>
      </w:r>
      <w:r w:rsidR="00B5717F">
        <w:rPr>
          <w:lang w:val="es-ES_tradnl"/>
        </w:rPr>
        <w:t>l Estado, los</w:t>
      </w:r>
      <w:r w:rsidR="00B5717F" w:rsidRPr="00B5717F">
        <w:rPr>
          <w:lang w:val="es-ES_tradnl"/>
        </w:rPr>
        <w:t xml:space="preserve"> informes dedicados a la identificación</w:t>
      </w:r>
      <w:r w:rsidR="00B5717F">
        <w:rPr>
          <w:lang w:val="es-ES_tradnl"/>
        </w:rPr>
        <w:t>,</w:t>
      </w:r>
      <w:r w:rsidR="00B5717F" w:rsidRPr="00B5717F">
        <w:rPr>
          <w:lang w:val="es-ES_tradnl"/>
        </w:rPr>
        <w:t xml:space="preserve"> análisis y evaluación de los principales riesgos fiscales que enfrenta el país.</w:t>
      </w:r>
    </w:p>
    <w:p w14:paraId="1C3261C9" w14:textId="1CA33AD9" w:rsidR="00B5717F" w:rsidRDefault="00B5717F" w:rsidP="00B5717F">
      <w:pPr>
        <w:jc w:val="both"/>
        <w:rPr>
          <w:lang w:val="es-ES_tradnl"/>
        </w:rPr>
      </w:pPr>
    </w:p>
    <w:p w14:paraId="224463C2" w14:textId="689FD2CD" w:rsidR="00B5717F" w:rsidRDefault="00CE6C9D" w:rsidP="00B5717F">
      <w:pPr>
        <w:jc w:val="both"/>
        <w:rPr>
          <w:lang w:val="es-ES_tradnl"/>
        </w:rPr>
      </w:pPr>
      <w:r>
        <w:rPr>
          <w:lang w:val="es-ES_tradnl"/>
        </w:rPr>
        <w:t xml:space="preserve">Esta buena práctica es resultado de los compromisos que se asumieron durante </w:t>
      </w:r>
      <w:r w:rsidR="001C5B2A">
        <w:rPr>
          <w:lang w:val="es-ES_tradnl"/>
        </w:rPr>
        <w:t>la formulación y aprobación d</w:t>
      </w:r>
      <w:r>
        <w:rPr>
          <w:lang w:val="es-ES_tradnl"/>
        </w:rPr>
        <w:t xml:space="preserve">el Tercer Plan de Acción Nacional de Gobierno Abierto 2016-2018 y por recomendaciones contenidas en el informe sobre la Evaluación de Transparencia Fiscal </w:t>
      </w:r>
      <w:r w:rsidR="001C5B2A">
        <w:rPr>
          <w:lang w:val="es-ES_tradnl"/>
        </w:rPr>
        <w:t xml:space="preserve">que realizó el Fondo Monetario Internacional (FMI) en 2016. </w:t>
      </w:r>
      <w:r w:rsidR="00B5717F" w:rsidRPr="00B5717F">
        <w:rPr>
          <w:lang w:val="es-ES_tradnl"/>
        </w:rPr>
        <w:t>Adicional a los aspectos de transparencia, durante los últimos años, la temática de la Gestión de Riesgos Fiscales ha cobrado una mayor importancia, bajo un enfoque que concibe la problemática del riesgo como un tema de desarrollo concerniente al deber</w:t>
      </w:r>
      <w:r w:rsidR="00111626">
        <w:rPr>
          <w:lang w:val="es-ES_tradnl"/>
        </w:rPr>
        <w:t>,</w:t>
      </w:r>
      <w:r w:rsidR="00B5717F" w:rsidRPr="00B5717F">
        <w:rPr>
          <w:lang w:val="es-ES_tradnl"/>
        </w:rPr>
        <w:t xml:space="preserve"> no solo como perspectiva vinculada a la prevención de los riesgos que las finanzas públicas presentan, sino bajo un enfoque que concibe la problemática del riesgo como un tema de desarrollo, concerniente al deber del Estado de manejarlos adecuada</w:t>
      </w:r>
      <w:r w:rsidR="00111626">
        <w:rPr>
          <w:lang w:val="es-ES_tradnl"/>
        </w:rPr>
        <w:t xml:space="preserve"> y prudentemente</w:t>
      </w:r>
      <w:r w:rsidR="00B5717F" w:rsidRPr="00B5717F">
        <w:rPr>
          <w:lang w:val="es-ES_tradnl"/>
        </w:rPr>
        <w:t>, a través de generar la información que coadyuve a una mejor toma de decisiones ante la ocurrencia de eventos adversos de cualquier origen.</w:t>
      </w:r>
    </w:p>
    <w:p w14:paraId="67DB4320" w14:textId="77777777" w:rsidR="001C5B2A" w:rsidRPr="00B5717F" w:rsidRDefault="001C5B2A" w:rsidP="00B5717F">
      <w:pPr>
        <w:jc w:val="both"/>
        <w:rPr>
          <w:lang w:val="es-ES_tradnl"/>
        </w:rPr>
      </w:pPr>
    </w:p>
    <w:p w14:paraId="42E6C7DF" w14:textId="345A217F" w:rsidR="00B5717F" w:rsidRDefault="00B5717F" w:rsidP="00B5717F">
      <w:pPr>
        <w:jc w:val="both"/>
        <w:rPr>
          <w:lang w:val="es-ES_tradnl"/>
        </w:rPr>
      </w:pPr>
      <w:r w:rsidRPr="00B5717F">
        <w:rPr>
          <w:lang w:val="es-ES_tradnl"/>
        </w:rPr>
        <w:t>Cubierta la etapa inicial del ciclo de la Gestión de Riesgo</w:t>
      </w:r>
      <w:r w:rsidR="00111626">
        <w:rPr>
          <w:lang w:val="es-ES_tradnl"/>
        </w:rPr>
        <w:t>s Fiscales</w:t>
      </w:r>
      <w:r w:rsidRPr="00B5717F">
        <w:rPr>
          <w:lang w:val="es-ES_tradnl"/>
        </w:rPr>
        <w:t>, corresponde en el marco de competencias del M</w:t>
      </w:r>
      <w:r w:rsidR="00111626">
        <w:rPr>
          <w:lang w:val="es-ES_tradnl"/>
        </w:rPr>
        <w:t>inisterio de Finanzas Públicas</w:t>
      </w:r>
      <w:r w:rsidRPr="00B5717F">
        <w:rPr>
          <w:lang w:val="es-ES_tradnl"/>
        </w:rPr>
        <w:t xml:space="preserve">, diseñar e implementar una estrategia de gestión financiera de riesgos que incluya instrumentos para la retención y transferencia del riesgo. El objetivo primordial, es fortalecer la resiliencia económica y fiscal, así como la capacidad de respuesta ante la ocurrencia de shocks derivados de los diversos riesgos identificados u otros que pudieran afectar al país. Su implementación efectiva permitirá, además de fortalecer las finanzas públicas, mantener la estabilidad </w:t>
      </w:r>
      <w:r w:rsidR="001C5B2A">
        <w:rPr>
          <w:lang w:val="es-ES_tradnl"/>
        </w:rPr>
        <w:t>macro</w:t>
      </w:r>
      <w:r w:rsidRPr="00B5717F">
        <w:rPr>
          <w:lang w:val="es-ES_tradnl"/>
        </w:rPr>
        <w:t>económica y promover el crecimiento y desarrollo sostenible</w:t>
      </w:r>
      <w:r w:rsidR="001C5B2A">
        <w:rPr>
          <w:lang w:val="es-ES_tradnl"/>
        </w:rPr>
        <w:t>.</w:t>
      </w:r>
    </w:p>
    <w:p w14:paraId="6634F337" w14:textId="77777777" w:rsidR="00B2076C" w:rsidRDefault="00B2076C" w:rsidP="0069616A">
      <w:pPr>
        <w:autoSpaceDE w:val="0"/>
        <w:autoSpaceDN w:val="0"/>
        <w:adjustRightInd w:val="0"/>
        <w:jc w:val="both"/>
        <w:rPr>
          <w:sz w:val="16"/>
        </w:rPr>
      </w:pPr>
    </w:p>
    <w:p w14:paraId="1863808A" w14:textId="77777777" w:rsidR="00B2076C" w:rsidRDefault="00B2076C" w:rsidP="0069616A">
      <w:pPr>
        <w:autoSpaceDE w:val="0"/>
        <w:autoSpaceDN w:val="0"/>
        <w:adjustRightInd w:val="0"/>
        <w:jc w:val="both"/>
        <w:rPr>
          <w:sz w:val="16"/>
        </w:rPr>
      </w:pPr>
    </w:p>
    <w:p w14:paraId="3C46F5C4" w14:textId="77777777" w:rsidR="00B2076C" w:rsidRDefault="00B2076C" w:rsidP="0069616A">
      <w:pPr>
        <w:autoSpaceDE w:val="0"/>
        <w:autoSpaceDN w:val="0"/>
        <w:adjustRightInd w:val="0"/>
        <w:jc w:val="both"/>
        <w:rPr>
          <w:sz w:val="16"/>
        </w:rPr>
      </w:pPr>
    </w:p>
    <w:p w14:paraId="094F2C8F" w14:textId="7645EA74" w:rsidR="00533929" w:rsidRDefault="00533929">
      <w:pPr>
        <w:rPr>
          <w:sz w:val="16"/>
        </w:rPr>
      </w:pPr>
      <w:r>
        <w:rPr>
          <w:sz w:val="16"/>
        </w:rPr>
        <w:br w:type="page"/>
      </w:r>
    </w:p>
    <w:p w14:paraId="734065B0" w14:textId="77777777" w:rsidR="00B2076C" w:rsidRDefault="00B2076C" w:rsidP="0069616A">
      <w:pPr>
        <w:autoSpaceDE w:val="0"/>
        <w:autoSpaceDN w:val="0"/>
        <w:adjustRightInd w:val="0"/>
        <w:jc w:val="both"/>
        <w:rPr>
          <w:sz w:val="16"/>
        </w:rPr>
      </w:pPr>
    </w:p>
    <w:p w14:paraId="3D6D20F2" w14:textId="77777777" w:rsidR="00B2076C" w:rsidRDefault="00B2076C" w:rsidP="0069616A">
      <w:pPr>
        <w:autoSpaceDE w:val="0"/>
        <w:autoSpaceDN w:val="0"/>
        <w:adjustRightInd w:val="0"/>
        <w:jc w:val="both"/>
        <w:rPr>
          <w:sz w:val="16"/>
        </w:rPr>
      </w:pPr>
    </w:p>
    <w:p w14:paraId="1E95CA32" w14:textId="77777777" w:rsidR="00B2076C" w:rsidRDefault="00B2076C" w:rsidP="0069616A">
      <w:pPr>
        <w:autoSpaceDE w:val="0"/>
        <w:autoSpaceDN w:val="0"/>
        <w:adjustRightInd w:val="0"/>
        <w:jc w:val="both"/>
        <w:rPr>
          <w:sz w:val="16"/>
        </w:rPr>
      </w:pPr>
    </w:p>
    <w:p w14:paraId="737A9150" w14:textId="77777777" w:rsidR="00B2076C" w:rsidRDefault="00B2076C" w:rsidP="0069616A">
      <w:pPr>
        <w:autoSpaceDE w:val="0"/>
        <w:autoSpaceDN w:val="0"/>
        <w:adjustRightInd w:val="0"/>
        <w:jc w:val="both"/>
        <w:rPr>
          <w:sz w:val="16"/>
        </w:rPr>
      </w:pPr>
    </w:p>
    <w:p w14:paraId="4025B042" w14:textId="77777777" w:rsidR="00B2076C" w:rsidRDefault="00B2076C" w:rsidP="0069616A">
      <w:pPr>
        <w:autoSpaceDE w:val="0"/>
        <w:autoSpaceDN w:val="0"/>
        <w:adjustRightInd w:val="0"/>
        <w:jc w:val="both"/>
        <w:rPr>
          <w:sz w:val="16"/>
        </w:rPr>
      </w:pPr>
    </w:p>
    <w:p w14:paraId="00E7BA1C" w14:textId="77777777" w:rsidR="00B2076C" w:rsidRDefault="00B2076C" w:rsidP="0069616A">
      <w:pPr>
        <w:autoSpaceDE w:val="0"/>
        <w:autoSpaceDN w:val="0"/>
        <w:adjustRightInd w:val="0"/>
        <w:jc w:val="both"/>
        <w:rPr>
          <w:sz w:val="16"/>
        </w:rPr>
      </w:pPr>
    </w:p>
    <w:p w14:paraId="54DB6763" w14:textId="77777777" w:rsidR="00B2076C" w:rsidRDefault="00B2076C" w:rsidP="0069616A">
      <w:pPr>
        <w:autoSpaceDE w:val="0"/>
        <w:autoSpaceDN w:val="0"/>
        <w:adjustRightInd w:val="0"/>
        <w:jc w:val="both"/>
        <w:rPr>
          <w:sz w:val="16"/>
        </w:rPr>
      </w:pPr>
    </w:p>
    <w:p w14:paraId="001A290C" w14:textId="77777777" w:rsidR="00B2076C" w:rsidRDefault="00B2076C" w:rsidP="0069616A">
      <w:pPr>
        <w:autoSpaceDE w:val="0"/>
        <w:autoSpaceDN w:val="0"/>
        <w:adjustRightInd w:val="0"/>
        <w:jc w:val="both"/>
        <w:rPr>
          <w:sz w:val="16"/>
        </w:rPr>
      </w:pPr>
    </w:p>
    <w:p w14:paraId="06A55567" w14:textId="77777777" w:rsidR="00650EBB" w:rsidRDefault="00650EBB" w:rsidP="0069616A">
      <w:pPr>
        <w:autoSpaceDE w:val="0"/>
        <w:autoSpaceDN w:val="0"/>
        <w:adjustRightInd w:val="0"/>
        <w:jc w:val="both"/>
        <w:rPr>
          <w:sz w:val="16"/>
        </w:rPr>
      </w:pPr>
    </w:p>
    <w:p w14:paraId="0FCA120F" w14:textId="77777777" w:rsidR="00650EBB" w:rsidRDefault="00650EBB" w:rsidP="0069616A">
      <w:pPr>
        <w:autoSpaceDE w:val="0"/>
        <w:autoSpaceDN w:val="0"/>
        <w:adjustRightInd w:val="0"/>
        <w:jc w:val="both"/>
        <w:rPr>
          <w:sz w:val="16"/>
        </w:rPr>
      </w:pPr>
    </w:p>
    <w:p w14:paraId="56238FCB" w14:textId="77777777" w:rsidR="00650EBB" w:rsidRDefault="00650EBB" w:rsidP="0069616A">
      <w:pPr>
        <w:autoSpaceDE w:val="0"/>
        <w:autoSpaceDN w:val="0"/>
        <w:adjustRightInd w:val="0"/>
        <w:jc w:val="both"/>
        <w:rPr>
          <w:sz w:val="16"/>
        </w:rPr>
      </w:pPr>
    </w:p>
    <w:p w14:paraId="2D503733" w14:textId="77777777" w:rsidR="00650EBB" w:rsidRDefault="00650EBB" w:rsidP="0069616A">
      <w:pPr>
        <w:autoSpaceDE w:val="0"/>
        <w:autoSpaceDN w:val="0"/>
        <w:adjustRightInd w:val="0"/>
        <w:jc w:val="both"/>
        <w:rPr>
          <w:sz w:val="16"/>
        </w:rPr>
      </w:pPr>
    </w:p>
    <w:p w14:paraId="79627697" w14:textId="77777777" w:rsidR="00650EBB" w:rsidRDefault="00650EBB" w:rsidP="0069616A">
      <w:pPr>
        <w:autoSpaceDE w:val="0"/>
        <w:autoSpaceDN w:val="0"/>
        <w:adjustRightInd w:val="0"/>
        <w:jc w:val="both"/>
        <w:rPr>
          <w:sz w:val="16"/>
        </w:rPr>
      </w:pPr>
    </w:p>
    <w:p w14:paraId="516C819B" w14:textId="088A1364" w:rsidR="00650EBB" w:rsidRDefault="00650EBB" w:rsidP="0069616A">
      <w:pPr>
        <w:autoSpaceDE w:val="0"/>
        <w:autoSpaceDN w:val="0"/>
        <w:adjustRightInd w:val="0"/>
        <w:jc w:val="both"/>
        <w:rPr>
          <w:sz w:val="16"/>
        </w:rPr>
      </w:pPr>
    </w:p>
    <w:p w14:paraId="34169FF2" w14:textId="6302DEBA" w:rsidR="00533929" w:rsidRDefault="00533929" w:rsidP="0069616A">
      <w:pPr>
        <w:autoSpaceDE w:val="0"/>
        <w:autoSpaceDN w:val="0"/>
        <w:adjustRightInd w:val="0"/>
        <w:jc w:val="both"/>
        <w:rPr>
          <w:sz w:val="16"/>
        </w:rPr>
      </w:pPr>
    </w:p>
    <w:p w14:paraId="00278148" w14:textId="0697565D" w:rsidR="00533929" w:rsidRDefault="00533929" w:rsidP="0069616A">
      <w:pPr>
        <w:autoSpaceDE w:val="0"/>
        <w:autoSpaceDN w:val="0"/>
        <w:adjustRightInd w:val="0"/>
        <w:jc w:val="both"/>
        <w:rPr>
          <w:sz w:val="16"/>
        </w:rPr>
      </w:pPr>
    </w:p>
    <w:p w14:paraId="76D8F1E5" w14:textId="7BC4CAAC" w:rsidR="00533929" w:rsidRDefault="00533929" w:rsidP="0069616A">
      <w:pPr>
        <w:autoSpaceDE w:val="0"/>
        <w:autoSpaceDN w:val="0"/>
        <w:adjustRightInd w:val="0"/>
        <w:jc w:val="both"/>
        <w:rPr>
          <w:sz w:val="16"/>
        </w:rPr>
      </w:pPr>
    </w:p>
    <w:p w14:paraId="47A01282" w14:textId="62F2DFF7" w:rsidR="00533929" w:rsidRDefault="00533929" w:rsidP="0069616A">
      <w:pPr>
        <w:autoSpaceDE w:val="0"/>
        <w:autoSpaceDN w:val="0"/>
        <w:adjustRightInd w:val="0"/>
        <w:jc w:val="both"/>
        <w:rPr>
          <w:sz w:val="16"/>
        </w:rPr>
      </w:pPr>
    </w:p>
    <w:p w14:paraId="1A86DF4C" w14:textId="433134E9" w:rsidR="00533929" w:rsidRDefault="00533929" w:rsidP="0069616A">
      <w:pPr>
        <w:autoSpaceDE w:val="0"/>
        <w:autoSpaceDN w:val="0"/>
        <w:adjustRightInd w:val="0"/>
        <w:jc w:val="both"/>
        <w:rPr>
          <w:sz w:val="16"/>
        </w:rPr>
      </w:pPr>
    </w:p>
    <w:p w14:paraId="51C7A15D" w14:textId="72865B00" w:rsidR="00533929" w:rsidRDefault="00533929" w:rsidP="0069616A">
      <w:pPr>
        <w:autoSpaceDE w:val="0"/>
        <w:autoSpaceDN w:val="0"/>
        <w:adjustRightInd w:val="0"/>
        <w:jc w:val="both"/>
        <w:rPr>
          <w:sz w:val="16"/>
        </w:rPr>
      </w:pPr>
    </w:p>
    <w:p w14:paraId="275E169F" w14:textId="5F96A2E8" w:rsidR="00533929" w:rsidRDefault="00533929" w:rsidP="0069616A">
      <w:pPr>
        <w:autoSpaceDE w:val="0"/>
        <w:autoSpaceDN w:val="0"/>
        <w:adjustRightInd w:val="0"/>
        <w:jc w:val="both"/>
        <w:rPr>
          <w:sz w:val="16"/>
        </w:rPr>
      </w:pPr>
    </w:p>
    <w:p w14:paraId="30F4939F" w14:textId="31CFFF79" w:rsidR="00533929" w:rsidRDefault="00533929" w:rsidP="0069616A">
      <w:pPr>
        <w:autoSpaceDE w:val="0"/>
        <w:autoSpaceDN w:val="0"/>
        <w:adjustRightInd w:val="0"/>
        <w:jc w:val="both"/>
        <w:rPr>
          <w:sz w:val="16"/>
        </w:rPr>
      </w:pPr>
    </w:p>
    <w:p w14:paraId="13888E17" w14:textId="77777777" w:rsidR="00533929" w:rsidRDefault="00533929" w:rsidP="0069616A">
      <w:pPr>
        <w:autoSpaceDE w:val="0"/>
        <w:autoSpaceDN w:val="0"/>
        <w:adjustRightInd w:val="0"/>
        <w:jc w:val="both"/>
        <w:rPr>
          <w:sz w:val="16"/>
        </w:rPr>
      </w:pPr>
    </w:p>
    <w:p w14:paraId="4AB4EFCC" w14:textId="77777777" w:rsidR="00650EBB" w:rsidRDefault="00650EBB" w:rsidP="0069616A">
      <w:pPr>
        <w:autoSpaceDE w:val="0"/>
        <w:autoSpaceDN w:val="0"/>
        <w:adjustRightInd w:val="0"/>
        <w:jc w:val="both"/>
        <w:rPr>
          <w:sz w:val="16"/>
        </w:rPr>
      </w:pPr>
    </w:p>
    <w:p w14:paraId="5EA028AF" w14:textId="77777777" w:rsidR="00B2076C" w:rsidRDefault="00B2076C" w:rsidP="0069616A">
      <w:pPr>
        <w:autoSpaceDE w:val="0"/>
        <w:autoSpaceDN w:val="0"/>
        <w:adjustRightInd w:val="0"/>
        <w:jc w:val="both"/>
        <w:rPr>
          <w:sz w:val="16"/>
        </w:rPr>
      </w:pPr>
    </w:p>
    <w:p w14:paraId="4145A5D4" w14:textId="77777777" w:rsidR="00B2076C" w:rsidRDefault="00B2076C" w:rsidP="0069616A">
      <w:pPr>
        <w:autoSpaceDE w:val="0"/>
        <w:autoSpaceDN w:val="0"/>
        <w:adjustRightInd w:val="0"/>
        <w:jc w:val="both"/>
        <w:rPr>
          <w:sz w:val="16"/>
        </w:rPr>
      </w:pPr>
    </w:p>
    <w:p w14:paraId="27F79135" w14:textId="77777777" w:rsidR="00B2076C" w:rsidRDefault="00B2076C" w:rsidP="0069616A">
      <w:pPr>
        <w:autoSpaceDE w:val="0"/>
        <w:autoSpaceDN w:val="0"/>
        <w:adjustRightInd w:val="0"/>
        <w:jc w:val="both"/>
        <w:rPr>
          <w:sz w:val="16"/>
        </w:rPr>
      </w:pPr>
    </w:p>
    <w:p w14:paraId="5F8A53E7" w14:textId="77777777" w:rsidR="00164BE7" w:rsidRDefault="00164BE7" w:rsidP="0069616A">
      <w:pPr>
        <w:autoSpaceDE w:val="0"/>
        <w:autoSpaceDN w:val="0"/>
        <w:adjustRightInd w:val="0"/>
        <w:jc w:val="both"/>
        <w:rPr>
          <w:sz w:val="16"/>
        </w:rPr>
      </w:pPr>
    </w:p>
    <w:p w14:paraId="58C1A0DB" w14:textId="77777777" w:rsidR="00164BE7" w:rsidRDefault="00164BE7" w:rsidP="0069616A">
      <w:pPr>
        <w:autoSpaceDE w:val="0"/>
        <w:autoSpaceDN w:val="0"/>
        <w:adjustRightInd w:val="0"/>
        <w:jc w:val="both"/>
        <w:rPr>
          <w:sz w:val="16"/>
        </w:rPr>
      </w:pPr>
    </w:p>
    <w:p w14:paraId="1744C688" w14:textId="77777777" w:rsidR="00164BE7" w:rsidRDefault="00164BE7" w:rsidP="0069616A">
      <w:pPr>
        <w:autoSpaceDE w:val="0"/>
        <w:autoSpaceDN w:val="0"/>
        <w:adjustRightInd w:val="0"/>
        <w:jc w:val="both"/>
        <w:rPr>
          <w:sz w:val="16"/>
        </w:rPr>
      </w:pPr>
    </w:p>
    <w:p w14:paraId="44810222" w14:textId="77777777" w:rsidR="00B2076C" w:rsidRDefault="00B2076C" w:rsidP="0069616A">
      <w:pPr>
        <w:autoSpaceDE w:val="0"/>
        <w:autoSpaceDN w:val="0"/>
        <w:adjustRightInd w:val="0"/>
        <w:jc w:val="both"/>
        <w:rPr>
          <w:sz w:val="16"/>
        </w:rPr>
      </w:pPr>
    </w:p>
    <w:p w14:paraId="243BAB12" w14:textId="77777777" w:rsidR="00B2076C" w:rsidRDefault="00B2076C" w:rsidP="0069616A">
      <w:pPr>
        <w:autoSpaceDE w:val="0"/>
        <w:autoSpaceDN w:val="0"/>
        <w:adjustRightInd w:val="0"/>
        <w:jc w:val="both"/>
        <w:rPr>
          <w:sz w:val="16"/>
        </w:rPr>
      </w:pPr>
    </w:p>
    <w:p w14:paraId="201E876A" w14:textId="77777777" w:rsidR="00B2076C" w:rsidRDefault="00B2076C" w:rsidP="0069616A">
      <w:pPr>
        <w:autoSpaceDE w:val="0"/>
        <w:autoSpaceDN w:val="0"/>
        <w:adjustRightInd w:val="0"/>
        <w:jc w:val="both"/>
        <w:rPr>
          <w:sz w:val="16"/>
        </w:rPr>
      </w:pPr>
    </w:p>
    <w:p w14:paraId="4E3DB7FC" w14:textId="77777777" w:rsidR="0069616A" w:rsidRDefault="0069616A" w:rsidP="0069616A">
      <w:pPr>
        <w:autoSpaceDE w:val="0"/>
        <w:autoSpaceDN w:val="0"/>
        <w:adjustRightInd w:val="0"/>
        <w:jc w:val="both"/>
        <w:rPr>
          <w:sz w:val="16"/>
        </w:rPr>
      </w:pPr>
    </w:p>
    <w:p w14:paraId="30C82D84" w14:textId="77777777" w:rsidR="0069616A" w:rsidRDefault="0069616A" w:rsidP="0069616A">
      <w:pPr>
        <w:autoSpaceDE w:val="0"/>
        <w:autoSpaceDN w:val="0"/>
        <w:adjustRightInd w:val="0"/>
        <w:jc w:val="both"/>
        <w:rPr>
          <w:sz w:val="16"/>
        </w:rPr>
      </w:pPr>
    </w:p>
    <w:p w14:paraId="0A86FB2C" w14:textId="77777777" w:rsidR="0069616A" w:rsidRPr="00C5226D" w:rsidRDefault="0069616A" w:rsidP="009114FA">
      <w:pPr>
        <w:pStyle w:val="Prrafodelista"/>
        <w:numPr>
          <w:ilvl w:val="0"/>
          <w:numId w:val="2"/>
        </w:numPr>
        <w:autoSpaceDE w:val="0"/>
        <w:autoSpaceDN w:val="0"/>
        <w:adjustRightInd w:val="0"/>
        <w:jc w:val="center"/>
        <w:rPr>
          <w:b/>
          <w:sz w:val="36"/>
        </w:rPr>
      </w:pPr>
      <w:r w:rsidRPr="00C5226D">
        <w:rPr>
          <w:b/>
          <w:sz w:val="36"/>
        </w:rPr>
        <w:t>Anexos</w:t>
      </w:r>
    </w:p>
    <w:p w14:paraId="775E6EC5" w14:textId="77777777" w:rsidR="0069616A" w:rsidRDefault="0069616A" w:rsidP="0069616A">
      <w:pPr>
        <w:autoSpaceDE w:val="0"/>
        <w:autoSpaceDN w:val="0"/>
        <w:adjustRightInd w:val="0"/>
        <w:jc w:val="center"/>
        <w:rPr>
          <w:b/>
          <w:sz w:val="36"/>
        </w:rPr>
      </w:pPr>
    </w:p>
    <w:p w14:paraId="7CCC66B6" w14:textId="77777777" w:rsidR="0069616A" w:rsidRDefault="0069616A" w:rsidP="0069616A">
      <w:pPr>
        <w:autoSpaceDE w:val="0"/>
        <w:autoSpaceDN w:val="0"/>
        <w:adjustRightInd w:val="0"/>
        <w:jc w:val="center"/>
        <w:rPr>
          <w:b/>
          <w:sz w:val="36"/>
        </w:rPr>
      </w:pPr>
    </w:p>
    <w:p w14:paraId="488D4ABA" w14:textId="77777777" w:rsidR="0069616A" w:rsidRDefault="0069616A" w:rsidP="0069616A">
      <w:pPr>
        <w:autoSpaceDE w:val="0"/>
        <w:autoSpaceDN w:val="0"/>
        <w:adjustRightInd w:val="0"/>
        <w:jc w:val="center"/>
        <w:rPr>
          <w:b/>
          <w:sz w:val="36"/>
        </w:rPr>
      </w:pPr>
    </w:p>
    <w:p w14:paraId="6F78B016" w14:textId="77777777" w:rsidR="0069616A" w:rsidRDefault="0069616A" w:rsidP="0069616A">
      <w:pPr>
        <w:autoSpaceDE w:val="0"/>
        <w:autoSpaceDN w:val="0"/>
        <w:adjustRightInd w:val="0"/>
        <w:jc w:val="center"/>
        <w:rPr>
          <w:b/>
          <w:sz w:val="36"/>
        </w:rPr>
      </w:pPr>
    </w:p>
    <w:p w14:paraId="04083920" w14:textId="77777777" w:rsidR="0069616A" w:rsidRDefault="0069616A" w:rsidP="0069616A">
      <w:pPr>
        <w:autoSpaceDE w:val="0"/>
        <w:autoSpaceDN w:val="0"/>
        <w:adjustRightInd w:val="0"/>
        <w:jc w:val="center"/>
        <w:rPr>
          <w:b/>
          <w:sz w:val="36"/>
        </w:rPr>
      </w:pPr>
    </w:p>
    <w:p w14:paraId="4A84414A" w14:textId="77777777" w:rsidR="0069616A" w:rsidRDefault="0069616A" w:rsidP="0069616A">
      <w:pPr>
        <w:autoSpaceDE w:val="0"/>
        <w:autoSpaceDN w:val="0"/>
        <w:adjustRightInd w:val="0"/>
        <w:jc w:val="center"/>
        <w:rPr>
          <w:b/>
          <w:sz w:val="36"/>
        </w:rPr>
      </w:pPr>
    </w:p>
    <w:p w14:paraId="4EC9845B" w14:textId="77777777" w:rsidR="0069616A" w:rsidRDefault="0069616A" w:rsidP="0069616A">
      <w:pPr>
        <w:autoSpaceDE w:val="0"/>
        <w:autoSpaceDN w:val="0"/>
        <w:adjustRightInd w:val="0"/>
        <w:jc w:val="center"/>
        <w:rPr>
          <w:b/>
          <w:sz w:val="36"/>
        </w:rPr>
      </w:pPr>
    </w:p>
    <w:p w14:paraId="23E7740C" w14:textId="77777777" w:rsidR="0069616A" w:rsidRDefault="0069616A" w:rsidP="0069616A">
      <w:pPr>
        <w:autoSpaceDE w:val="0"/>
        <w:autoSpaceDN w:val="0"/>
        <w:adjustRightInd w:val="0"/>
        <w:jc w:val="center"/>
        <w:rPr>
          <w:b/>
          <w:sz w:val="36"/>
        </w:rPr>
      </w:pPr>
    </w:p>
    <w:p w14:paraId="015BB3CD" w14:textId="77777777" w:rsidR="0069616A" w:rsidRDefault="0069616A" w:rsidP="0069616A">
      <w:pPr>
        <w:autoSpaceDE w:val="0"/>
        <w:autoSpaceDN w:val="0"/>
        <w:adjustRightInd w:val="0"/>
        <w:jc w:val="center"/>
        <w:rPr>
          <w:b/>
          <w:sz w:val="36"/>
        </w:rPr>
      </w:pPr>
    </w:p>
    <w:p w14:paraId="360D5EDE" w14:textId="77777777" w:rsidR="0069616A" w:rsidRDefault="0069616A" w:rsidP="0069616A">
      <w:pPr>
        <w:autoSpaceDE w:val="0"/>
        <w:autoSpaceDN w:val="0"/>
        <w:adjustRightInd w:val="0"/>
        <w:jc w:val="center"/>
        <w:rPr>
          <w:b/>
          <w:sz w:val="36"/>
        </w:rPr>
      </w:pPr>
    </w:p>
    <w:p w14:paraId="39FD489C" w14:textId="77777777" w:rsidR="0069616A" w:rsidRDefault="0069616A" w:rsidP="0069616A">
      <w:pPr>
        <w:autoSpaceDE w:val="0"/>
        <w:autoSpaceDN w:val="0"/>
        <w:adjustRightInd w:val="0"/>
        <w:jc w:val="center"/>
        <w:rPr>
          <w:b/>
          <w:sz w:val="36"/>
        </w:rPr>
      </w:pPr>
    </w:p>
    <w:p w14:paraId="44D7656F" w14:textId="77777777" w:rsidR="0069616A" w:rsidRDefault="0069616A" w:rsidP="0069616A">
      <w:pPr>
        <w:autoSpaceDE w:val="0"/>
        <w:autoSpaceDN w:val="0"/>
        <w:adjustRightInd w:val="0"/>
        <w:jc w:val="center"/>
        <w:rPr>
          <w:b/>
          <w:sz w:val="36"/>
        </w:rPr>
      </w:pPr>
    </w:p>
    <w:p w14:paraId="165B2839" w14:textId="5827C3BC" w:rsidR="0069616A" w:rsidRDefault="0069616A" w:rsidP="0069616A">
      <w:pPr>
        <w:autoSpaceDE w:val="0"/>
        <w:autoSpaceDN w:val="0"/>
        <w:adjustRightInd w:val="0"/>
        <w:jc w:val="center"/>
        <w:rPr>
          <w:b/>
          <w:sz w:val="36"/>
        </w:rPr>
      </w:pPr>
    </w:p>
    <w:p w14:paraId="088CF9FD" w14:textId="77777777" w:rsidR="00054AA5" w:rsidRDefault="00054AA5" w:rsidP="0069616A">
      <w:pPr>
        <w:autoSpaceDE w:val="0"/>
        <w:autoSpaceDN w:val="0"/>
        <w:adjustRightInd w:val="0"/>
        <w:jc w:val="center"/>
        <w:rPr>
          <w:b/>
          <w:sz w:val="36"/>
        </w:rPr>
      </w:pPr>
    </w:p>
    <w:p w14:paraId="6AF686BE" w14:textId="235F0799" w:rsidR="00A9500E" w:rsidRDefault="00A9500E" w:rsidP="0069616A">
      <w:pPr>
        <w:autoSpaceDE w:val="0"/>
        <w:autoSpaceDN w:val="0"/>
        <w:adjustRightInd w:val="0"/>
        <w:jc w:val="center"/>
        <w:rPr>
          <w:b/>
          <w:sz w:val="28"/>
        </w:rPr>
      </w:pPr>
    </w:p>
    <w:p w14:paraId="0FB34443" w14:textId="77777777" w:rsidR="00054AA5" w:rsidRPr="00A9500E" w:rsidRDefault="00054AA5" w:rsidP="0069616A">
      <w:pPr>
        <w:autoSpaceDE w:val="0"/>
        <w:autoSpaceDN w:val="0"/>
        <w:adjustRightInd w:val="0"/>
        <w:jc w:val="center"/>
        <w:rPr>
          <w:b/>
          <w:sz w:val="28"/>
        </w:rPr>
      </w:pPr>
    </w:p>
    <w:p w14:paraId="04B88DA3" w14:textId="42489A52" w:rsidR="00C6012B" w:rsidRPr="00CF0C9B" w:rsidRDefault="00C6012B" w:rsidP="00C6012B">
      <w:pPr>
        <w:jc w:val="center"/>
        <w:rPr>
          <w:b/>
          <w:lang w:val="es-MX"/>
        </w:rPr>
      </w:pPr>
      <w:r w:rsidRPr="00CF0C9B">
        <w:rPr>
          <w:b/>
          <w:lang w:val="es-MX"/>
        </w:rPr>
        <w:t>Cuadro 2</w:t>
      </w:r>
      <w:r w:rsidR="00BC0150">
        <w:rPr>
          <w:b/>
          <w:lang w:val="es-MX"/>
        </w:rPr>
        <w:t>8</w:t>
      </w:r>
      <w:r w:rsidR="00C120D1">
        <w:rPr>
          <w:b/>
          <w:lang w:val="es-MX"/>
        </w:rPr>
        <w:t xml:space="preserve"> (1/4)</w:t>
      </w:r>
    </w:p>
    <w:p w14:paraId="371E5D10" w14:textId="77777777" w:rsidR="00C6012B" w:rsidRPr="00CF0C9B" w:rsidRDefault="00C6012B" w:rsidP="00C6012B">
      <w:pPr>
        <w:jc w:val="center"/>
        <w:rPr>
          <w:b/>
          <w:lang w:val="es-MX"/>
        </w:rPr>
      </w:pPr>
      <w:r w:rsidRPr="00CF0C9B">
        <w:rPr>
          <w:b/>
          <w:lang w:val="es-MX"/>
        </w:rPr>
        <w:t>Ejecución Presupuestaria por Entidad y Programas Institucionales</w:t>
      </w:r>
    </w:p>
    <w:p w14:paraId="22E50728" w14:textId="15D0738C" w:rsidR="00C6012B" w:rsidRPr="00CF0C9B" w:rsidRDefault="00C6012B" w:rsidP="00C6012B">
      <w:pPr>
        <w:jc w:val="center"/>
        <w:rPr>
          <w:b/>
          <w:lang w:val="es-MX"/>
        </w:rPr>
      </w:pPr>
      <w:r w:rsidRPr="00CF0C9B">
        <w:rPr>
          <w:b/>
          <w:lang w:val="es-MX"/>
        </w:rPr>
        <w:t>Estimación de Cierre 202</w:t>
      </w:r>
      <w:r w:rsidR="003F0D62">
        <w:rPr>
          <w:b/>
          <w:lang w:val="es-MX"/>
        </w:rPr>
        <w:t>3</w:t>
      </w:r>
    </w:p>
    <w:p w14:paraId="475042ED" w14:textId="3F915022" w:rsidR="00C6012B" w:rsidRDefault="00C6012B" w:rsidP="00C6012B">
      <w:pPr>
        <w:pStyle w:val="Prrafodelista"/>
        <w:ind w:left="0"/>
        <w:jc w:val="center"/>
        <w:rPr>
          <w:b/>
          <w:lang w:val="es-MX"/>
        </w:rPr>
      </w:pPr>
      <w:r w:rsidRPr="00CF0C9B">
        <w:rPr>
          <w:b/>
          <w:lang w:val="es-MX"/>
        </w:rPr>
        <w:t>(Cifras en Millones de Quetzales)</w:t>
      </w:r>
    </w:p>
    <w:p w14:paraId="44BC0F4E" w14:textId="40C4C9A0" w:rsidR="00161856" w:rsidRDefault="003F0D62" w:rsidP="00C6012B">
      <w:pPr>
        <w:pStyle w:val="Prrafodelista"/>
        <w:ind w:left="0"/>
        <w:jc w:val="center"/>
        <w:rPr>
          <w:b/>
          <w:lang w:val="es-MX"/>
        </w:rPr>
      </w:pPr>
      <w:r w:rsidRPr="003F0D62">
        <w:rPr>
          <w:noProof/>
        </w:rPr>
        <w:drawing>
          <wp:inline distT="0" distB="0" distL="0" distR="0" wp14:anchorId="78C0E6BC" wp14:editId="61A3D5DF">
            <wp:extent cx="6275501" cy="7117690"/>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82720" cy="7125878"/>
                    </a:xfrm>
                    <a:prstGeom prst="rect">
                      <a:avLst/>
                    </a:prstGeom>
                    <a:noFill/>
                    <a:ln>
                      <a:noFill/>
                    </a:ln>
                  </pic:spPr>
                </pic:pic>
              </a:graphicData>
            </a:graphic>
          </wp:inline>
        </w:drawing>
      </w:r>
    </w:p>
    <w:p w14:paraId="14C1D537" w14:textId="5E71B3AE" w:rsidR="00161856" w:rsidRDefault="00161856" w:rsidP="00C6012B">
      <w:pPr>
        <w:pStyle w:val="Prrafodelista"/>
        <w:ind w:left="0"/>
        <w:jc w:val="center"/>
        <w:rPr>
          <w:b/>
          <w:lang w:val="es-MX"/>
        </w:rPr>
      </w:pPr>
    </w:p>
    <w:p w14:paraId="6397E347" w14:textId="77777777" w:rsidR="00C6012B" w:rsidRDefault="00C6012B" w:rsidP="00400A48">
      <w:pPr>
        <w:pStyle w:val="Prrafodelista"/>
        <w:ind w:left="0"/>
        <w:rPr>
          <w:sz w:val="16"/>
        </w:rPr>
      </w:pPr>
    </w:p>
    <w:p w14:paraId="54F6F6BB" w14:textId="364E9424" w:rsidR="00C6012B" w:rsidRPr="00CF0C9B" w:rsidRDefault="00C6012B" w:rsidP="00C6012B">
      <w:pPr>
        <w:jc w:val="center"/>
        <w:rPr>
          <w:b/>
          <w:lang w:val="es-MX"/>
        </w:rPr>
      </w:pPr>
      <w:r w:rsidRPr="00CF0C9B">
        <w:rPr>
          <w:b/>
          <w:lang w:val="es-MX"/>
        </w:rPr>
        <w:t>Cuadro 2</w:t>
      </w:r>
      <w:r w:rsidR="00BC0150">
        <w:rPr>
          <w:b/>
          <w:lang w:val="es-MX"/>
        </w:rPr>
        <w:t>8</w:t>
      </w:r>
      <w:r w:rsidRPr="00CF0C9B">
        <w:rPr>
          <w:b/>
          <w:lang w:val="es-MX"/>
        </w:rPr>
        <w:t xml:space="preserve"> (</w:t>
      </w:r>
      <w:r w:rsidR="00C120D1">
        <w:rPr>
          <w:b/>
          <w:lang w:val="es-MX"/>
        </w:rPr>
        <w:t>2/4</w:t>
      </w:r>
      <w:r w:rsidRPr="00CF0C9B">
        <w:rPr>
          <w:b/>
          <w:lang w:val="es-MX"/>
        </w:rPr>
        <w:t>)</w:t>
      </w:r>
    </w:p>
    <w:p w14:paraId="216438E8" w14:textId="77777777" w:rsidR="00C6012B" w:rsidRPr="00CF0C9B" w:rsidRDefault="00C6012B" w:rsidP="00C6012B">
      <w:pPr>
        <w:jc w:val="center"/>
        <w:rPr>
          <w:b/>
          <w:lang w:val="es-MX"/>
        </w:rPr>
      </w:pPr>
      <w:r w:rsidRPr="00CF0C9B">
        <w:rPr>
          <w:b/>
          <w:lang w:val="es-MX"/>
        </w:rPr>
        <w:t>Ejecución Presupuestaria por Entidad y Programas Institucionales</w:t>
      </w:r>
    </w:p>
    <w:p w14:paraId="1CE7CF03" w14:textId="4B0B5B46" w:rsidR="00C6012B" w:rsidRPr="00CF0C9B" w:rsidRDefault="00C6012B" w:rsidP="00C6012B">
      <w:pPr>
        <w:jc w:val="center"/>
        <w:rPr>
          <w:b/>
          <w:lang w:val="es-MX"/>
        </w:rPr>
      </w:pPr>
      <w:r w:rsidRPr="00CF0C9B">
        <w:rPr>
          <w:b/>
          <w:lang w:val="es-MX"/>
        </w:rPr>
        <w:t>Estimación de Cierre 202</w:t>
      </w:r>
      <w:r w:rsidR="003F0D62">
        <w:rPr>
          <w:b/>
          <w:lang w:val="es-MX"/>
        </w:rPr>
        <w:t>3</w:t>
      </w:r>
    </w:p>
    <w:p w14:paraId="03FD5872" w14:textId="0DE17020" w:rsidR="00C6012B" w:rsidRDefault="00214988" w:rsidP="00214988">
      <w:pPr>
        <w:pStyle w:val="Prrafodelista"/>
        <w:tabs>
          <w:tab w:val="center" w:pos="4536"/>
          <w:tab w:val="left" w:pos="6649"/>
        </w:tabs>
        <w:ind w:left="0"/>
        <w:rPr>
          <w:b/>
          <w:lang w:val="es-MX"/>
        </w:rPr>
      </w:pPr>
      <w:r>
        <w:rPr>
          <w:b/>
          <w:lang w:val="es-MX"/>
        </w:rPr>
        <w:tab/>
      </w:r>
      <w:r w:rsidR="00C6012B" w:rsidRPr="00CF0C9B">
        <w:rPr>
          <w:b/>
          <w:lang w:val="es-MX"/>
        </w:rPr>
        <w:t>(Cifras en Millones de Quetzales)</w:t>
      </w:r>
      <w:r>
        <w:rPr>
          <w:b/>
          <w:lang w:val="es-MX"/>
        </w:rPr>
        <w:tab/>
      </w:r>
    </w:p>
    <w:p w14:paraId="1C973240" w14:textId="7B0EE4DB" w:rsidR="004B1933" w:rsidRDefault="003F0D62" w:rsidP="00214988">
      <w:pPr>
        <w:pStyle w:val="Prrafodelista"/>
        <w:tabs>
          <w:tab w:val="center" w:pos="4536"/>
          <w:tab w:val="left" w:pos="6649"/>
        </w:tabs>
        <w:ind w:left="0"/>
        <w:rPr>
          <w:b/>
          <w:lang w:val="es-MX"/>
        </w:rPr>
      </w:pPr>
      <w:r w:rsidRPr="003F0D62">
        <w:rPr>
          <w:noProof/>
        </w:rPr>
        <w:drawing>
          <wp:inline distT="0" distB="0" distL="0" distR="0" wp14:anchorId="2FE8A13E" wp14:editId="71F39C62">
            <wp:extent cx="6290945" cy="7293254"/>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02313" cy="7306434"/>
                    </a:xfrm>
                    <a:prstGeom prst="rect">
                      <a:avLst/>
                    </a:prstGeom>
                    <a:noFill/>
                    <a:ln>
                      <a:noFill/>
                    </a:ln>
                  </pic:spPr>
                </pic:pic>
              </a:graphicData>
            </a:graphic>
          </wp:inline>
        </w:drawing>
      </w:r>
    </w:p>
    <w:p w14:paraId="3211987A" w14:textId="77777777" w:rsidR="004B1933" w:rsidRDefault="004B1933" w:rsidP="00214988">
      <w:pPr>
        <w:pStyle w:val="Prrafodelista"/>
        <w:tabs>
          <w:tab w:val="center" w:pos="4536"/>
          <w:tab w:val="left" w:pos="6649"/>
        </w:tabs>
        <w:ind w:left="0"/>
        <w:rPr>
          <w:b/>
          <w:lang w:val="es-MX"/>
        </w:rPr>
      </w:pPr>
    </w:p>
    <w:p w14:paraId="7B1128DE" w14:textId="356E6BE9" w:rsidR="00C6012B" w:rsidRPr="00CF0C9B" w:rsidRDefault="00C6012B" w:rsidP="00C6012B">
      <w:pPr>
        <w:jc w:val="center"/>
        <w:rPr>
          <w:b/>
          <w:lang w:val="es-MX"/>
        </w:rPr>
      </w:pPr>
      <w:r w:rsidRPr="00CF0C9B">
        <w:rPr>
          <w:b/>
          <w:lang w:val="es-MX"/>
        </w:rPr>
        <w:t>Cuadro 2</w:t>
      </w:r>
      <w:r w:rsidR="00BC0150">
        <w:rPr>
          <w:b/>
          <w:lang w:val="es-MX"/>
        </w:rPr>
        <w:t>8</w:t>
      </w:r>
      <w:r w:rsidRPr="00CF0C9B">
        <w:rPr>
          <w:b/>
          <w:lang w:val="es-MX"/>
        </w:rPr>
        <w:t xml:space="preserve"> (</w:t>
      </w:r>
      <w:r w:rsidR="00C120D1">
        <w:rPr>
          <w:b/>
          <w:lang w:val="es-MX"/>
        </w:rPr>
        <w:t>3/4</w:t>
      </w:r>
      <w:r w:rsidRPr="00CF0C9B">
        <w:rPr>
          <w:b/>
          <w:lang w:val="es-MX"/>
        </w:rPr>
        <w:t>)</w:t>
      </w:r>
    </w:p>
    <w:p w14:paraId="5C59B5EC" w14:textId="77777777" w:rsidR="00C6012B" w:rsidRPr="00CF0C9B" w:rsidRDefault="00C6012B" w:rsidP="00C6012B">
      <w:pPr>
        <w:jc w:val="center"/>
        <w:rPr>
          <w:b/>
          <w:lang w:val="es-MX"/>
        </w:rPr>
      </w:pPr>
      <w:r w:rsidRPr="00CF0C9B">
        <w:rPr>
          <w:b/>
          <w:lang w:val="es-MX"/>
        </w:rPr>
        <w:t>Ejecución Presupuestaria por Entidad y Programas Institucionales</w:t>
      </w:r>
    </w:p>
    <w:p w14:paraId="78A50083" w14:textId="2F6F284B" w:rsidR="00C6012B" w:rsidRDefault="00C6012B" w:rsidP="00C6012B">
      <w:pPr>
        <w:jc w:val="center"/>
        <w:rPr>
          <w:b/>
          <w:lang w:val="es-MX"/>
        </w:rPr>
      </w:pPr>
      <w:r w:rsidRPr="00CF0C9B">
        <w:rPr>
          <w:b/>
          <w:lang w:val="es-MX"/>
        </w:rPr>
        <w:t>Estimación de Cierre 202</w:t>
      </w:r>
      <w:r w:rsidR="007B0314">
        <w:rPr>
          <w:b/>
          <w:lang w:val="es-MX"/>
        </w:rPr>
        <w:t>3</w:t>
      </w:r>
    </w:p>
    <w:p w14:paraId="6D11A35D" w14:textId="74E773FA" w:rsidR="00C6012B" w:rsidRDefault="00C6012B" w:rsidP="00C6012B">
      <w:pPr>
        <w:pStyle w:val="Prrafodelista"/>
        <w:ind w:left="0"/>
        <w:jc w:val="center"/>
        <w:rPr>
          <w:b/>
          <w:lang w:val="es-MX"/>
        </w:rPr>
      </w:pPr>
      <w:r w:rsidRPr="00CF0C9B">
        <w:rPr>
          <w:b/>
          <w:lang w:val="es-MX"/>
        </w:rPr>
        <w:t>(Cifras en Millones de Quetzales)</w:t>
      </w:r>
    </w:p>
    <w:p w14:paraId="24E91BA7" w14:textId="07D68A52" w:rsidR="004B1933" w:rsidRDefault="003F0D62" w:rsidP="00C6012B">
      <w:pPr>
        <w:pStyle w:val="Prrafodelista"/>
        <w:ind w:left="0"/>
        <w:jc w:val="center"/>
        <w:rPr>
          <w:b/>
          <w:lang w:val="es-MX"/>
        </w:rPr>
      </w:pPr>
      <w:r w:rsidRPr="003F0D62">
        <w:rPr>
          <w:noProof/>
        </w:rPr>
        <w:drawing>
          <wp:inline distT="0" distB="0" distL="0" distR="0" wp14:anchorId="53D961CF" wp14:editId="03F0E23B">
            <wp:extent cx="6305550" cy="6854342"/>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22782" cy="6873073"/>
                    </a:xfrm>
                    <a:prstGeom prst="rect">
                      <a:avLst/>
                    </a:prstGeom>
                    <a:noFill/>
                    <a:ln>
                      <a:noFill/>
                    </a:ln>
                  </pic:spPr>
                </pic:pic>
              </a:graphicData>
            </a:graphic>
          </wp:inline>
        </w:drawing>
      </w:r>
    </w:p>
    <w:p w14:paraId="365B240A" w14:textId="77777777" w:rsidR="007C206C" w:rsidRPr="007C206C" w:rsidRDefault="007C206C" w:rsidP="00C6012B">
      <w:pPr>
        <w:pStyle w:val="Prrafodelista"/>
        <w:ind w:left="0"/>
        <w:jc w:val="center"/>
        <w:rPr>
          <w:b/>
          <w:sz w:val="36"/>
          <w:lang w:val="es-MX"/>
        </w:rPr>
      </w:pPr>
    </w:p>
    <w:p w14:paraId="618270B1" w14:textId="77777777" w:rsidR="007C206C" w:rsidRPr="007C206C" w:rsidRDefault="007C206C" w:rsidP="00C6012B">
      <w:pPr>
        <w:pStyle w:val="Prrafodelista"/>
        <w:ind w:left="0"/>
        <w:jc w:val="center"/>
        <w:rPr>
          <w:b/>
          <w:sz w:val="36"/>
          <w:lang w:val="es-MX"/>
        </w:rPr>
      </w:pPr>
    </w:p>
    <w:p w14:paraId="642A2711" w14:textId="5FE6A1DB" w:rsidR="00A0443E" w:rsidRPr="00CF0C9B" w:rsidRDefault="00A0443E" w:rsidP="00400A48">
      <w:pPr>
        <w:pStyle w:val="Prrafodelista"/>
        <w:ind w:left="0"/>
        <w:jc w:val="center"/>
        <w:rPr>
          <w:b/>
          <w:lang w:val="es-MX"/>
        </w:rPr>
      </w:pPr>
      <w:r w:rsidRPr="00CF0C9B">
        <w:rPr>
          <w:b/>
          <w:lang w:val="es-MX"/>
        </w:rPr>
        <w:t>Cuadro 2</w:t>
      </w:r>
      <w:r w:rsidR="00BC0150">
        <w:rPr>
          <w:b/>
          <w:lang w:val="es-MX"/>
        </w:rPr>
        <w:t>8</w:t>
      </w:r>
      <w:r w:rsidRPr="00CF0C9B">
        <w:rPr>
          <w:b/>
          <w:lang w:val="es-MX"/>
        </w:rPr>
        <w:t xml:space="preserve"> (</w:t>
      </w:r>
      <w:r w:rsidR="00C120D1">
        <w:rPr>
          <w:b/>
          <w:lang w:val="es-MX"/>
        </w:rPr>
        <w:t>4/4</w:t>
      </w:r>
      <w:r w:rsidRPr="00CF0C9B">
        <w:rPr>
          <w:b/>
          <w:lang w:val="es-MX"/>
        </w:rPr>
        <w:t>)</w:t>
      </w:r>
    </w:p>
    <w:p w14:paraId="40299F2D" w14:textId="77777777" w:rsidR="00A0443E" w:rsidRPr="00CF0C9B" w:rsidRDefault="00A0443E" w:rsidP="00A0443E">
      <w:pPr>
        <w:jc w:val="center"/>
        <w:rPr>
          <w:b/>
          <w:lang w:val="es-MX"/>
        </w:rPr>
      </w:pPr>
      <w:r w:rsidRPr="00CF0C9B">
        <w:rPr>
          <w:b/>
          <w:lang w:val="es-MX"/>
        </w:rPr>
        <w:t>Ejecución Presupuestaria por Entidad y Programas Institucionales</w:t>
      </w:r>
    </w:p>
    <w:p w14:paraId="17CC5FAF" w14:textId="293A6C82" w:rsidR="00A0443E" w:rsidRDefault="00A0443E" w:rsidP="00A0443E">
      <w:pPr>
        <w:jc w:val="center"/>
        <w:rPr>
          <w:b/>
          <w:lang w:val="es-MX"/>
        </w:rPr>
      </w:pPr>
      <w:r w:rsidRPr="00CF0C9B">
        <w:rPr>
          <w:b/>
          <w:lang w:val="es-MX"/>
        </w:rPr>
        <w:t>Estimación de Cierre 202</w:t>
      </w:r>
      <w:r w:rsidR="007B0314">
        <w:rPr>
          <w:b/>
          <w:lang w:val="es-MX"/>
        </w:rPr>
        <w:t>3</w:t>
      </w:r>
    </w:p>
    <w:p w14:paraId="167F8A5A" w14:textId="2B6BF609" w:rsidR="00A0443E" w:rsidRDefault="00A0443E" w:rsidP="00A0443E">
      <w:pPr>
        <w:pStyle w:val="Prrafodelista"/>
        <w:ind w:left="0"/>
        <w:jc w:val="center"/>
        <w:rPr>
          <w:b/>
          <w:lang w:val="es-MX"/>
        </w:rPr>
      </w:pPr>
      <w:r w:rsidRPr="00CF0C9B">
        <w:rPr>
          <w:b/>
          <w:lang w:val="es-MX"/>
        </w:rPr>
        <w:t>(Cifras en Millones de Quetzales)</w:t>
      </w:r>
    </w:p>
    <w:p w14:paraId="67CA9228" w14:textId="25A83251" w:rsidR="004B1933" w:rsidRDefault="003F0D62" w:rsidP="00A0443E">
      <w:pPr>
        <w:pStyle w:val="Prrafodelista"/>
        <w:ind w:left="0"/>
        <w:jc w:val="center"/>
        <w:rPr>
          <w:b/>
          <w:lang w:val="es-MX"/>
        </w:rPr>
      </w:pPr>
      <w:r w:rsidRPr="003F0D62">
        <w:rPr>
          <w:noProof/>
        </w:rPr>
        <w:drawing>
          <wp:inline distT="0" distB="0" distL="0" distR="0" wp14:anchorId="436A2174" wp14:editId="17FF8CCF">
            <wp:extent cx="6254115" cy="362833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79881" cy="3643287"/>
                    </a:xfrm>
                    <a:prstGeom prst="rect">
                      <a:avLst/>
                    </a:prstGeom>
                    <a:noFill/>
                    <a:ln>
                      <a:noFill/>
                    </a:ln>
                  </pic:spPr>
                </pic:pic>
              </a:graphicData>
            </a:graphic>
          </wp:inline>
        </w:drawing>
      </w:r>
    </w:p>
    <w:p w14:paraId="22DB4FB5" w14:textId="77777777" w:rsidR="00C6012B" w:rsidRPr="00416F2B" w:rsidRDefault="007C206C" w:rsidP="00C6012B">
      <w:pPr>
        <w:autoSpaceDE w:val="0"/>
        <w:autoSpaceDN w:val="0"/>
        <w:adjustRightInd w:val="0"/>
        <w:ind w:left="-142"/>
        <w:rPr>
          <w:sz w:val="18"/>
        </w:rPr>
      </w:pPr>
      <w:r>
        <w:rPr>
          <w:sz w:val="18"/>
        </w:rPr>
        <w:t xml:space="preserve">   </w:t>
      </w:r>
      <w:r w:rsidR="00C6012B" w:rsidRPr="00416F2B">
        <w:rPr>
          <w:sz w:val="18"/>
        </w:rPr>
        <w:t xml:space="preserve">Fuente: </w:t>
      </w:r>
      <w:r w:rsidR="00C6012B">
        <w:rPr>
          <w:sz w:val="18"/>
        </w:rPr>
        <w:t>Ministerio de Finanzas Públicas.</w:t>
      </w:r>
    </w:p>
    <w:p w14:paraId="528D8B06" w14:textId="77777777" w:rsidR="00C6012B" w:rsidRDefault="00C6012B" w:rsidP="0069616A">
      <w:pPr>
        <w:autoSpaceDE w:val="0"/>
        <w:autoSpaceDN w:val="0"/>
        <w:adjustRightInd w:val="0"/>
        <w:jc w:val="center"/>
        <w:rPr>
          <w:b/>
          <w:sz w:val="36"/>
        </w:rPr>
      </w:pPr>
    </w:p>
    <w:p w14:paraId="1B1B4ED5" w14:textId="77777777" w:rsidR="00A0443E" w:rsidRDefault="00A0443E" w:rsidP="0069616A">
      <w:pPr>
        <w:autoSpaceDE w:val="0"/>
        <w:autoSpaceDN w:val="0"/>
        <w:adjustRightInd w:val="0"/>
        <w:jc w:val="center"/>
        <w:rPr>
          <w:b/>
          <w:sz w:val="36"/>
        </w:rPr>
      </w:pPr>
    </w:p>
    <w:p w14:paraId="01ABF934" w14:textId="77777777" w:rsidR="00A0443E" w:rsidRDefault="00A0443E" w:rsidP="0069616A">
      <w:pPr>
        <w:autoSpaceDE w:val="0"/>
        <w:autoSpaceDN w:val="0"/>
        <w:adjustRightInd w:val="0"/>
        <w:jc w:val="center"/>
        <w:rPr>
          <w:b/>
          <w:sz w:val="36"/>
        </w:rPr>
      </w:pPr>
    </w:p>
    <w:p w14:paraId="3D83FFBB" w14:textId="77777777" w:rsidR="00A0443E" w:rsidRDefault="00A0443E" w:rsidP="0069616A">
      <w:pPr>
        <w:autoSpaceDE w:val="0"/>
        <w:autoSpaceDN w:val="0"/>
        <w:adjustRightInd w:val="0"/>
        <w:jc w:val="center"/>
        <w:rPr>
          <w:b/>
          <w:sz w:val="36"/>
        </w:rPr>
      </w:pPr>
    </w:p>
    <w:p w14:paraId="0BF6797D" w14:textId="77777777" w:rsidR="00A0443E" w:rsidRDefault="00A0443E" w:rsidP="0069616A">
      <w:pPr>
        <w:autoSpaceDE w:val="0"/>
        <w:autoSpaceDN w:val="0"/>
        <w:adjustRightInd w:val="0"/>
        <w:jc w:val="center"/>
        <w:rPr>
          <w:b/>
          <w:sz w:val="36"/>
        </w:rPr>
      </w:pPr>
    </w:p>
    <w:p w14:paraId="099F5EA5" w14:textId="77777777" w:rsidR="00A0443E" w:rsidRDefault="00A0443E" w:rsidP="0069616A">
      <w:pPr>
        <w:autoSpaceDE w:val="0"/>
        <w:autoSpaceDN w:val="0"/>
        <w:adjustRightInd w:val="0"/>
        <w:jc w:val="center"/>
        <w:rPr>
          <w:b/>
          <w:sz w:val="36"/>
        </w:rPr>
      </w:pPr>
    </w:p>
    <w:p w14:paraId="41FE9631" w14:textId="77777777" w:rsidR="00A0443E" w:rsidRDefault="00A0443E" w:rsidP="0069616A">
      <w:pPr>
        <w:autoSpaceDE w:val="0"/>
        <w:autoSpaceDN w:val="0"/>
        <w:adjustRightInd w:val="0"/>
        <w:jc w:val="center"/>
        <w:rPr>
          <w:b/>
          <w:sz w:val="36"/>
        </w:rPr>
      </w:pPr>
    </w:p>
    <w:p w14:paraId="5ED49CC2" w14:textId="77777777" w:rsidR="00A0443E" w:rsidRDefault="00A0443E" w:rsidP="0069616A">
      <w:pPr>
        <w:autoSpaceDE w:val="0"/>
        <w:autoSpaceDN w:val="0"/>
        <w:adjustRightInd w:val="0"/>
        <w:jc w:val="center"/>
        <w:rPr>
          <w:b/>
          <w:sz w:val="36"/>
        </w:rPr>
      </w:pPr>
    </w:p>
    <w:p w14:paraId="1D8E98D8" w14:textId="77777777" w:rsidR="00A0443E" w:rsidRDefault="00A0443E" w:rsidP="0069616A">
      <w:pPr>
        <w:autoSpaceDE w:val="0"/>
        <w:autoSpaceDN w:val="0"/>
        <w:adjustRightInd w:val="0"/>
        <w:jc w:val="center"/>
        <w:rPr>
          <w:b/>
          <w:sz w:val="36"/>
        </w:rPr>
      </w:pPr>
    </w:p>
    <w:p w14:paraId="028A4C32" w14:textId="77777777" w:rsidR="00A0443E" w:rsidRDefault="00A0443E" w:rsidP="0069616A">
      <w:pPr>
        <w:autoSpaceDE w:val="0"/>
        <w:autoSpaceDN w:val="0"/>
        <w:adjustRightInd w:val="0"/>
        <w:jc w:val="center"/>
        <w:rPr>
          <w:b/>
          <w:sz w:val="36"/>
        </w:rPr>
      </w:pPr>
    </w:p>
    <w:p w14:paraId="0E99D6B6" w14:textId="77777777" w:rsidR="00A0443E" w:rsidRDefault="00A0443E" w:rsidP="0069616A">
      <w:pPr>
        <w:autoSpaceDE w:val="0"/>
        <w:autoSpaceDN w:val="0"/>
        <w:adjustRightInd w:val="0"/>
        <w:jc w:val="center"/>
        <w:rPr>
          <w:b/>
          <w:sz w:val="36"/>
        </w:rPr>
      </w:pPr>
    </w:p>
    <w:p w14:paraId="3ECEAE9B" w14:textId="77777777" w:rsidR="00A0443E" w:rsidRDefault="00A0443E" w:rsidP="0069616A">
      <w:pPr>
        <w:autoSpaceDE w:val="0"/>
        <w:autoSpaceDN w:val="0"/>
        <w:adjustRightInd w:val="0"/>
        <w:jc w:val="center"/>
        <w:rPr>
          <w:b/>
          <w:sz w:val="36"/>
        </w:rPr>
      </w:pPr>
    </w:p>
    <w:p w14:paraId="1A0D3A6A" w14:textId="41C9A995" w:rsidR="00650EBB" w:rsidRDefault="00650EBB" w:rsidP="0069616A">
      <w:pPr>
        <w:autoSpaceDE w:val="0"/>
        <w:autoSpaceDN w:val="0"/>
        <w:adjustRightInd w:val="0"/>
        <w:jc w:val="center"/>
        <w:rPr>
          <w:b/>
          <w:sz w:val="36"/>
        </w:rPr>
      </w:pPr>
    </w:p>
    <w:p w14:paraId="707B7E6F" w14:textId="77777777" w:rsidR="00A9500E" w:rsidRDefault="00A9500E" w:rsidP="0069616A">
      <w:pPr>
        <w:autoSpaceDE w:val="0"/>
        <w:autoSpaceDN w:val="0"/>
        <w:adjustRightInd w:val="0"/>
        <w:jc w:val="center"/>
        <w:rPr>
          <w:b/>
          <w:sz w:val="36"/>
        </w:rPr>
      </w:pPr>
    </w:p>
    <w:p w14:paraId="0886C0A3" w14:textId="3DB65F72" w:rsidR="00A74391" w:rsidRPr="00A27A47" w:rsidRDefault="00A74391" w:rsidP="004E7459">
      <w:pPr>
        <w:jc w:val="center"/>
        <w:rPr>
          <w:b/>
          <w:lang w:val="es-MX"/>
        </w:rPr>
      </w:pPr>
      <w:r w:rsidRPr="00A27A47">
        <w:rPr>
          <w:b/>
          <w:lang w:val="es-MX"/>
        </w:rPr>
        <w:t>Cuadr</w:t>
      </w:r>
      <w:r w:rsidR="002F3785">
        <w:rPr>
          <w:b/>
          <w:lang w:val="es-MX"/>
        </w:rPr>
        <w:t>o</w:t>
      </w:r>
      <w:r w:rsidRPr="00A27A47">
        <w:rPr>
          <w:b/>
          <w:lang w:val="es-MX"/>
        </w:rPr>
        <w:t xml:space="preserve"> </w:t>
      </w:r>
      <w:r w:rsidR="002B5EF3" w:rsidRPr="00A27A47">
        <w:rPr>
          <w:b/>
          <w:lang w:val="es-MX"/>
        </w:rPr>
        <w:t>2</w:t>
      </w:r>
      <w:r w:rsidR="002F3785">
        <w:rPr>
          <w:b/>
          <w:lang w:val="es-MX"/>
        </w:rPr>
        <w:t>9</w:t>
      </w:r>
      <w:r w:rsidR="00C120D1">
        <w:rPr>
          <w:b/>
          <w:lang w:val="es-MX"/>
        </w:rPr>
        <w:t xml:space="preserve"> (1/2)</w:t>
      </w:r>
    </w:p>
    <w:p w14:paraId="3498F5AC" w14:textId="77777777" w:rsidR="00A74391" w:rsidRPr="00A27A47" w:rsidRDefault="00A74391" w:rsidP="004E7459">
      <w:pPr>
        <w:jc w:val="center"/>
        <w:rPr>
          <w:b/>
          <w:lang w:val="es-MX"/>
        </w:rPr>
      </w:pPr>
      <w:r w:rsidRPr="00A27A47">
        <w:rPr>
          <w:b/>
          <w:lang w:val="es-MX"/>
        </w:rPr>
        <w:t>Situación Financiera</w:t>
      </w:r>
    </w:p>
    <w:p w14:paraId="6B1593C2" w14:textId="539A524B" w:rsidR="00A74391" w:rsidRPr="00A27A47" w:rsidRDefault="00A74391" w:rsidP="004E7459">
      <w:pPr>
        <w:jc w:val="center"/>
        <w:rPr>
          <w:b/>
          <w:lang w:val="es-MX"/>
        </w:rPr>
      </w:pPr>
      <w:r w:rsidRPr="00A27A47">
        <w:rPr>
          <w:b/>
          <w:lang w:val="es-MX"/>
        </w:rPr>
        <w:t>Presupuesto Aprobado y Estimación de Cierre 20</w:t>
      </w:r>
      <w:r w:rsidR="002339F0" w:rsidRPr="00A27A47">
        <w:rPr>
          <w:b/>
          <w:lang w:val="es-MX"/>
        </w:rPr>
        <w:t>2</w:t>
      </w:r>
      <w:r w:rsidR="007B0314">
        <w:rPr>
          <w:b/>
          <w:lang w:val="es-MX"/>
        </w:rPr>
        <w:t>3</w:t>
      </w:r>
    </w:p>
    <w:p w14:paraId="35D2763C" w14:textId="4AF47571" w:rsidR="00A74391" w:rsidRDefault="00A74391" w:rsidP="004E7459">
      <w:pPr>
        <w:pStyle w:val="Prrafodelista"/>
        <w:ind w:left="0"/>
        <w:jc w:val="center"/>
        <w:rPr>
          <w:b/>
          <w:lang w:val="es-MX"/>
        </w:rPr>
      </w:pPr>
      <w:r w:rsidRPr="00A27A47">
        <w:rPr>
          <w:b/>
          <w:lang w:val="es-MX"/>
        </w:rPr>
        <w:t>(Cifras en Millones de Quetzales)</w:t>
      </w:r>
    </w:p>
    <w:tbl>
      <w:tblPr>
        <w:tblW w:w="9346" w:type="dxa"/>
        <w:tblCellMar>
          <w:left w:w="70" w:type="dxa"/>
          <w:right w:w="70" w:type="dxa"/>
        </w:tblCellMar>
        <w:tblLook w:val="04A0" w:firstRow="1" w:lastRow="0" w:firstColumn="1" w:lastColumn="0" w:noHBand="0" w:noVBand="1"/>
      </w:tblPr>
      <w:tblGrid>
        <w:gridCol w:w="5235"/>
        <w:gridCol w:w="2126"/>
        <w:gridCol w:w="1985"/>
      </w:tblGrid>
      <w:tr w:rsidR="009B5E50" w:rsidRPr="007B0314" w14:paraId="675BE316" w14:textId="77777777" w:rsidTr="007B0314">
        <w:trPr>
          <w:trHeight w:val="420"/>
        </w:trPr>
        <w:tc>
          <w:tcPr>
            <w:tcW w:w="5235"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14:paraId="588851C7" w14:textId="77777777" w:rsidR="009B5E50" w:rsidRPr="007B0314" w:rsidRDefault="009B5E50" w:rsidP="009B5E50">
            <w:pPr>
              <w:jc w:val="center"/>
              <w:rPr>
                <w:b/>
                <w:bCs/>
                <w:lang w:val="es-GT" w:eastAsia="es-GT"/>
              </w:rPr>
            </w:pPr>
            <w:r w:rsidRPr="007B0314">
              <w:rPr>
                <w:b/>
                <w:bCs/>
                <w:lang w:val="es-GT" w:eastAsia="es-GT"/>
              </w:rPr>
              <w:t>Concepto</w:t>
            </w:r>
          </w:p>
        </w:tc>
        <w:tc>
          <w:tcPr>
            <w:tcW w:w="4111" w:type="dxa"/>
            <w:gridSpan w:val="2"/>
            <w:tcBorders>
              <w:top w:val="single" w:sz="8" w:space="0" w:color="auto"/>
              <w:left w:val="nil"/>
              <w:bottom w:val="single" w:sz="8" w:space="0" w:color="auto"/>
              <w:right w:val="single" w:sz="8" w:space="0" w:color="000000"/>
            </w:tcBorders>
            <w:shd w:val="clear" w:color="000000" w:fill="00B0F0"/>
            <w:noWrap/>
            <w:vAlign w:val="center"/>
            <w:hideMark/>
          </w:tcPr>
          <w:p w14:paraId="00B62952" w14:textId="77777777" w:rsidR="009B5E50" w:rsidRPr="007B0314" w:rsidRDefault="009B5E50" w:rsidP="009B5E50">
            <w:pPr>
              <w:jc w:val="center"/>
              <w:rPr>
                <w:b/>
                <w:bCs/>
                <w:lang w:val="es-GT" w:eastAsia="es-GT"/>
              </w:rPr>
            </w:pPr>
            <w:r w:rsidRPr="007B0314">
              <w:rPr>
                <w:b/>
                <w:bCs/>
                <w:lang w:val="es-GT" w:eastAsia="es-GT"/>
              </w:rPr>
              <w:t>2023</w:t>
            </w:r>
          </w:p>
        </w:tc>
      </w:tr>
      <w:tr w:rsidR="009B5E50" w:rsidRPr="007B0314" w14:paraId="75DFEE8A" w14:textId="77777777" w:rsidTr="007B0314">
        <w:trPr>
          <w:trHeight w:val="570"/>
        </w:trPr>
        <w:tc>
          <w:tcPr>
            <w:tcW w:w="5235" w:type="dxa"/>
            <w:vMerge/>
            <w:tcBorders>
              <w:top w:val="single" w:sz="8" w:space="0" w:color="auto"/>
              <w:left w:val="single" w:sz="8" w:space="0" w:color="auto"/>
              <w:bottom w:val="single" w:sz="8" w:space="0" w:color="000000"/>
              <w:right w:val="single" w:sz="8" w:space="0" w:color="auto"/>
            </w:tcBorders>
            <w:vAlign w:val="center"/>
            <w:hideMark/>
          </w:tcPr>
          <w:p w14:paraId="4B23BAF4" w14:textId="77777777" w:rsidR="009B5E50" w:rsidRPr="007B0314" w:rsidRDefault="009B5E50" w:rsidP="009B5E50">
            <w:pPr>
              <w:rPr>
                <w:b/>
                <w:bCs/>
                <w:lang w:val="es-GT" w:eastAsia="es-GT"/>
              </w:rPr>
            </w:pPr>
          </w:p>
        </w:tc>
        <w:tc>
          <w:tcPr>
            <w:tcW w:w="2126" w:type="dxa"/>
            <w:tcBorders>
              <w:top w:val="nil"/>
              <w:left w:val="nil"/>
              <w:bottom w:val="single" w:sz="8" w:space="0" w:color="auto"/>
              <w:right w:val="single" w:sz="4" w:space="0" w:color="auto"/>
            </w:tcBorders>
            <w:shd w:val="clear" w:color="000000" w:fill="00B0F0"/>
            <w:vAlign w:val="center"/>
            <w:hideMark/>
          </w:tcPr>
          <w:p w14:paraId="34C80087" w14:textId="77777777" w:rsidR="009B5E50" w:rsidRPr="007B0314" w:rsidRDefault="009B5E50" w:rsidP="009B5E50">
            <w:pPr>
              <w:jc w:val="center"/>
              <w:rPr>
                <w:b/>
                <w:bCs/>
                <w:lang w:val="es-GT" w:eastAsia="es-GT"/>
              </w:rPr>
            </w:pPr>
            <w:r w:rsidRPr="007B0314">
              <w:rPr>
                <w:b/>
                <w:bCs/>
                <w:lang w:val="es-GT" w:eastAsia="es-GT"/>
              </w:rPr>
              <w:t xml:space="preserve">Presupuesto </w:t>
            </w:r>
          </w:p>
        </w:tc>
        <w:tc>
          <w:tcPr>
            <w:tcW w:w="1985" w:type="dxa"/>
            <w:tcBorders>
              <w:top w:val="nil"/>
              <w:left w:val="nil"/>
              <w:bottom w:val="single" w:sz="8" w:space="0" w:color="auto"/>
              <w:right w:val="single" w:sz="8" w:space="0" w:color="auto"/>
            </w:tcBorders>
            <w:shd w:val="clear" w:color="000000" w:fill="00B0F0"/>
            <w:vAlign w:val="center"/>
            <w:hideMark/>
          </w:tcPr>
          <w:p w14:paraId="77C9055E" w14:textId="77777777" w:rsidR="009B5E50" w:rsidRPr="007B0314" w:rsidRDefault="009B5E50" w:rsidP="009B5E50">
            <w:pPr>
              <w:jc w:val="center"/>
              <w:rPr>
                <w:b/>
                <w:bCs/>
                <w:lang w:val="es-GT" w:eastAsia="es-GT"/>
              </w:rPr>
            </w:pPr>
            <w:r w:rsidRPr="007B0314">
              <w:rPr>
                <w:b/>
                <w:bCs/>
                <w:lang w:val="es-GT" w:eastAsia="es-GT"/>
              </w:rPr>
              <w:t>Estimación</w:t>
            </w:r>
          </w:p>
        </w:tc>
      </w:tr>
      <w:tr w:rsidR="009B5E50" w:rsidRPr="007B0314" w14:paraId="6858E2B0" w14:textId="77777777" w:rsidTr="007B0314">
        <w:trPr>
          <w:trHeight w:val="435"/>
        </w:trPr>
        <w:tc>
          <w:tcPr>
            <w:tcW w:w="5235" w:type="dxa"/>
            <w:tcBorders>
              <w:top w:val="nil"/>
              <w:left w:val="single" w:sz="8" w:space="0" w:color="auto"/>
              <w:bottom w:val="nil"/>
              <w:right w:val="single" w:sz="8" w:space="0" w:color="auto"/>
            </w:tcBorders>
            <w:shd w:val="clear" w:color="auto" w:fill="auto"/>
            <w:noWrap/>
            <w:vAlign w:val="bottom"/>
            <w:hideMark/>
          </w:tcPr>
          <w:p w14:paraId="2ACF2D07" w14:textId="77777777" w:rsidR="009B5E50" w:rsidRPr="007B0314" w:rsidRDefault="009B5E50" w:rsidP="009B5E50">
            <w:pPr>
              <w:rPr>
                <w:b/>
                <w:bCs/>
                <w:lang w:val="es-GT" w:eastAsia="es-GT"/>
              </w:rPr>
            </w:pPr>
            <w:r w:rsidRPr="007B0314">
              <w:rPr>
                <w:b/>
                <w:bCs/>
                <w:lang w:val="es-GT" w:eastAsia="es-GT"/>
              </w:rPr>
              <w:t xml:space="preserve">Ingresos totales </w:t>
            </w:r>
          </w:p>
        </w:tc>
        <w:tc>
          <w:tcPr>
            <w:tcW w:w="2126" w:type="dxa"/>
            <w:tcBorders>
              <w:top w:val="nil"/>
              <w:left w:val="single" w:sz="8" w:space="0" w:color="auto"/>
              <w:bottom w:val="nil"/>
              <w:right w:val="single" w:sz="4" w:space="0" w:color="auto"/>
            </w:tcBorders>
            <w:shd w:val="clear" w:color="auto" w:fill="auto"/>
            <w:noWrap/>
            <w:vAlign w:val="bottom"/>
            <w:hideMark/>
          </w:tcPr>
          <w:p w14:paraId="68FF39FC" w14:textId="77777777" w:rsidR="009B5E50" w:rsidRPr="007B0314" w:rsidRDefault="009B5E50" w:rsidP="009B5E50">
            <w:pPr>
              <w:jc w:val="center"/>
              <w:rPr>
                <w:b/>
                <w:bCs/>
                <w:lang w:val="es-GT" w:eastAsia="es-GT"/>
              </w:rPr>
            </w:pPr>
            <w:r w:rsidRPr="007B0314">
              <w:rPr>
                <w:b/>
                <w:bCs/>
                <w:lang w:val="es-GT" w:eastAsia="es-GT"/>
              </w:rPr>
              <w:t>11.4</w:t>
            </w:r>
          </w:p>
        </w:tc>
        <w:tc>
          <w:tcPr>
            <w:tcW w:w="1985" w:type="dxa"/>
            <w:tcBorders>
              <w:top w:val="nil"/>
              <w:left w:val="nil"/>
              <w:bottom w:val="nil"/>
              <w:right w:val="single" w:sz="8" w:space="0" w:color="auto"/>
            </w:tcBorders>
            <w:shd w:val="clear" w:color="auto" w:fill="auto"/>
            <w:noWrap/>
            <w:vAlign w:val="bottom"/>
            <w:hideMark/>
          </w:tcPr>
          <w:p w14:paraId="22606D96" w14:textId="77777777" w:rsidR="009B5E50" w:rsidRPr="007B0314" w:rsidRDefault="009B5E50" w:rsidP="009B5E50">
            <w:pPr>
              <w:jc w:val="center"/>
              <w:rPr>
                <w:b/>
                <w:bCs/>
                <w:lang w:val="es-GT" w:eastAsia="es-GT"/>
              </w:rPr>
            </w:pPr>
            <w:r w:rsidRPr="007B0314">
              <w:rPr>
                <w:b/>
                <w:bCs/>
                <w:lang w:val="es-GT" w:eastAsia="es-GT"/>
              </w:rPr>
              <w:t>12.3</w:t>
            </w:r>
          </w:p>
        </w:tc>
      </w:tr>
      <w:tr w:rsidR="009B5E50" w:rsidRPr="007B0314" w14:paraId="3853CDD8" w14:textId="77777777" w:rsidTr="007B0314">
        <w:trPr>
          <w:trHeight w:val="420"/>
        </w:trPr>
        <w:tc>
          <w:tcPr>
            <w:tcW w:w="5235" w:type="dxa"/>
            <w:tcBorders>
              <w:top w:val="nil"/>
              <w:left w:val="single" w:sz="8" w:space="0" w:color="auto"/>
              <w:bottom w:val="nil"/>
              <w:right w:val="single" w:sz="8" w:space="0" w:color="auto"/>
            </w:tcBorders>
            <w:shd w:val="clear" w:color="auto" w:fill="auto"/>
            <w:noWrap/>
            <w:vAlign w:val="bottom"/>
            <w:hideMark/>
          </w:tcPr>
          <w:p w14:paraId="34FD79EB" w14:textId="77777777" w:rsidR="009B5E50" w:rsidRPr="007B0314" w:rsidRDefault="009B5E50" w:rsidP="009B5E50">
            <w:pPr>
              <w:ind w:firstLineChars="100" w:firstLine="241"/>
              <w:rPr>
                <w:b/>
                <w:bCs/>
                <w:lang w:val="es-GT" w:eastAsia="es-GT"/>
              </w:rPr>
            </w:pPr>
            <w:r w:rsidRPr="007B0314">
              <w:rPr>
                <w:b/>
                <w:bCs/>
                <w:lang w:val="es-GT" w:eastAsia="es-GT"/>
              </w:rPr>
              <w:t>Ingresos corrientes</w:t>
            </w:r>
          </w:p>
        </w:tc>
        <w:tc>
          <w:tcPr>
            <w:tcW w:w="2126" w:type="dxa"/>
            <w:tcBorders>
              <w:top w:val="nil"/>
              <w:left w:val="single" w:sz="8" w:space="0" w:color="auto"/>
              <w:bottom w:val="nil"/>
              <w:right w:val="single" w:sz="4" w:space="0" w:color="auto"/>
            </w:tcBorders>
            <w:shd w:val="clear" w:color="auto" w:fill="auto"/>
            <w:noWrap/>
            <w:vAlign w:val="bottom"/>
            <w:hideMark/>
          </w:tcPr>
          <w:p w14:paraId="7B3AE922" w14:textId="77777777" w:rsidR="009B5E50" w:rsidRPr="007B0314" w:rsidRDefault="009B5E50" w:rsidP="009B5E50">
            <w:pPr>
              <w:jc w:val="center"/>
              <w:rPr>
                <w:b/>
                <w:bCs/>
                <w:lang w:val="es-GT" w:eastAsia="es-GT"/>
              </w:rPr>
            </w:pPr>
            <w:r w:rsidRPr="007B0314">
              <w:rPr>
                <w:b/>
                <w:bCs/>
                <w:lang w:val="es-GT" w:eastAsia="es-GT"/>
              </w:rPr>
              <w:t>11.4</w:t>
            </w:r>
          </w:p>
        </w:tc>
        <w:tc>
          <w:tcPr>
            <w:tcW w:w="1985" w:type="dxa"/>
            <w:tcBorders>
              <w:top w:val="nil"/>
              <w:left w:val="nil"/>
              <w:bottom w:val="nil"/>
              <w:right w:val="single" w:sz="8" w:space="0" w:color="auto"/>
            </w:tcBorders>
            <w:shd w:val="clear" w:color="auto" w:fill="auto"/>
            <w:noWrap/>
            <w:vAlign w:val="bottom"/>
            <w:hideMark/>
          </w:tcPr>
          <w:p w14:paraId="1E0EC978" w14:textId="77777777" w:rsidR="009B5E50" w:rsidRPr="007B0314" w:rsidRDefault="009B5E50" w:rsidP="009B5E50">
            <w:pPr>
              <w:jc w:val="center"/>
              <w:rPr>
                <w:b/>
                <w:bCs/>
                <w:lang w:val="es-GT" w:eastAsia="es-GT"/>
              </w:rPr>
            </w:pPr>
            <w:r w:rsidRPr="007B0314">
              <w:rPr>
                <w:b/>
                <w:bCs/>
                <w:lang w:val="es-GT" w:eastAsia="es-GT"/>
              </w:rPr>
              <w:t>12.3</w:t>
            </w:r>
          </w:p>
        </w:tc>
      </w:tr>
      <w:tr w:rsidR="009B5E50" w:rsidRPr="007B0314" w14:paraId="6D7F0D54" w14:textId="77777777" w:rsidTr="007B0314">
        <w:trPr>
          <w:trHeight w:val="420"/>
        </w:trPr>
        <w:tc>
          <w:tcPr>
            <w:tcW w:w="5235" w:type="dxa"/>
            <w:tcBorders>
              <w:top w:val="nil"/>
              <w:left w:val="single" w:sz="8" w:space="0" w:color="auto"/>
              <w:bottom w:val="nil"/>
              <w:right w:val="single" w:sz="8" w:space="0" w:color="auto"/>
            </w:tcBorders>
            <w:shd w:val="clear" w:color="auto" w:fill="auto"/>
            <w:noWrap/>
            <w:vAlign w:val="bottom"/>
            <w:hideMark/>
          </w:tcPr>
          <w:p w14:paraId="020CBBBA" w14:textId="77777777" w:rsidR="009B5E50" w:rsidRPr="007B0314" w:rsidRDefault="009B5E50" w:rsidP="009B5E50">
            <w:pPr>
              <w:ind w:firstLineChars="200" w:firstLine="482"/>
              <w:rPr>
                <w:b/>
                <w:bCs/>
                <w:lang w:val="es-GT" w:eastAsia="es-GT"/>
              </w:rPr>
            </w:pPr>
            <w:r w:rsidRPr="007B0314">
              <w:rPr>
                <w:b/>
                <w:bCs/>
                <w:lang w:val="es-GT" w:eastAsia="es-GT"/>
              </w:rPr>
              <w:t>Ingresos tributarios*</w:t>
            </w:r>
          </w:p>
        </w:tc>
        <w:tc>
          <w:tcPr>
            <w:tcW w:w="2126" w:type="dxa"/>
            <w:tcBorders>
              <w:top w:val="nil"/>
              <w:left w:val="single" w:sz="8" w:space="0" w:color="auto"/>
              <w:bottom w:val="nil"/>
              <w:right w:val="single" w:sz="4" w:space="0" w:color="auto"/>
            </w:tcBorders>
            <w:shd w:val="clear" w:color="auto" w:fill="auto"/>
            <w:noWrap/>
            <w:vAlign w:val="bottom"/>
            <w:hideMark/>
          </w:tcPr>
          <w:p w14:paraId="3D8A8365" w14:textId="77777777" w:rsidR="009B5E50" w:rsidRPr="007B0314" w:rsidRDefault="009B5E50" w:rsidP="009B5E50">
            <w:pPr>
              <w:jc w:val="center"/>
              <w:rPr>
                <w:b/>
                <w:bCs/>
                <w:lang w:val="es-GT" w:eastAsia="es-GT"/>
              </w:rPr>
            </w:pPr>
            <w:r w:rsidRPr="007B0314">
              <w:rPr>
                <w:b/>
                <w:bCs/>
                <w:lang w:val="es-GT" w:eastAsia="es-GT"/>
              </w:rPr>
              <w:t>10.8</w:t>
            </w:r>
          </w:p>
        </w:tc>
        <w:tc>
          <w:tcPr>
            <w:tcW w:w="1985" w:type="dxa"/>
            <w:tcBorders>
              <w:top w:val="nil"/>
              <w:left w:val="nil"/>
              <w:bottom w:val="nil"/>
              <w:right w:val="single" w:sz="8" w:space="0" w:color="auto"/>
            </w:tcBorders>
            <w:shd w:val="clear" w:color="auto" w:fill="auto"/>
            <w:noWrap/>
            <w:vAlign w:val="bottom"/>
            <w:hideMark/>
          </w:tcPr>
          <w:p w14:paraId="05DF95B6" w14:textId="77777777" w:rsidR="009B5E50" w:rsidRPr="007B0314" w:rsidRDefault="009B5E50" w:rsidP="009B5E50">
            <w:pPr>
              <w:jc w:val="center"/>
              <w:rPr>
                <w:b/>
                <w:bCs/>
                <w:lang w:val="es-GT" w:eastAsia="es-GT"/>
              </w:rPr>
            </w:pPr>
            <w:r w:rsidRPr="007B0314">
              <w:rPr>
                <w:b/>
                <w:bCs/>
                <w:lang w:val="es-GT" w:eastAsia="es-GT"/>
              </w:rPr>
              <w:t>11.7</w:t>
            </w:r>
          </w:p>
        </w:tc>
      </w:tr>
      <w:tr w:rsidR="009B5E50" w:rsidRPr="007B0314" w14:paraId="60DDAE5E" w14:textId="77777777" w:rsidTr="007B0314">
        <w:trPr>
          <w:trHeight w:val="480"/>
        </w:trPr>
        <w:tc>
          <w:tcPr>
            <w:tcW w:w="5235" w:type="dxa"/>
            <w:tcBorders>
              <w:top w:val="nil"/>
              <w:left w:val="single" w:sz="8" w:space="0" w:color="auto"/>
              <w:bottom w:val="nil"/>
              <w:right w:val="single" w:sz="8" w:space="0" w:color="auto"/>
            </w:tcBorders>
            <w:shd w:val="clear" w:color="auto" w:fill="auto"/>
            <w:noWrap/>
            <w:vAlign w:val="bottom"/>
            <w:hideMark/>
          </w:tcPr>
          <w:p w14:paraId="3E2F41C8" w14:textId="77777777" w:rsidR="009B5E50" w:rsidRPr="007B0314" w:rsidRDefault="009B5E50" w:rsidP="009B5E50">
            <w:pPr>
              <w:ind w:firstLineChars="300" w:firstLine="723"/>
              <w:rPr>
                <w:b/>
                <w:bCs/>
                <w:lang w:val="es-GT" w:eastAsia="es-GT"/>
              </w:rPr>
            </w:pPr>
            <w:r w:rsidRPr="007B0314">
              <w:rPr>
                <w:b/>
                <w:bCs/>
                <w:lang w:val="es-GT" w:eastAsia="es-GT"/>
              </w:rPr>
              <w:t>Impuestos directos</w:t>
            </w:r>
          </w:p>
        </w:tc>
        <w:tc>
          <w:tcPr>
            <w:tcW w:w="2126" w:type="dxa"/>
            <w:tcBorders>
              <w:top w:val="nil"/>
              <w:left w:val="single" w:sz="8" w:space="0" w:color="auto"/>
              <w:bottom w:val="nil"/>
              <w:right w:val="single" w:sz="4" w:space="0" w:color="auto"/>
            </w:tcBorders>
            <w:shd w:val="clear" w:color="auto" w:fill="auto"/>
            <w:noWrap/>
            <w:vAlign w:val="bottom"/>
            <w:hideMark/>
          </w:tcPr>
          <w:p w14:paraId="35FB6FA5" w14:textId="77777777" w:rsidR="009B5E50" w:rsidRPr="007B0314" w:rsidRDefault="009B5E50" w:rsidP="009B5E50">
            <w:pPr>
              <w:jc w:val="center"/>
              <w:rPr>
                <w:b/>
                <w:bCs/>
                <w:lang w:val="es-GT" w:eastAsia="es-GT"/>
              </w:rPr>
            </w:pPr>
            <w:r w:rsidRPr="007B0314">
              <w:rPr>
                <w:b/>
                <w:bCs/>
                <w:lang w:val="es-GT" w:eastAsia="es-GT"/>
              </w:rPr>
              <w:t>3.8</w:t>
            </w:r>
          </w:p>
        </w:tc>
        <w:tc>
          <w:tcPr>
            <w:tcW w:w="1985" w:type="dxa"/>
            <w:tcBorders>
              <w:top w:val="nil"/>
              <w:left w:val="nil"/>
              <w:bottom w:val="nil"/>
              <w:right w:val="single" w:sz="8" w:space="0" w:color="auto"/>
            </w:tcBorders>
            <w:shd w:val="clear" w:color="auto" w:fill="auto"/>
            <w:noWrap/>
            <w:vAlign w:val="bottom"/>
            <w:hideMark/>
          </w:tcPr>
          <w:p w14:paraId="09F6EC8E" w14:textId="77777777" w:rsidR="009B5E50" w:rsidRPr="007B0314" w:rsidRDefault="009B5E50" w:rsidP="009B5E50">
            <w:pPr>
              <w:jc w:val="center"/>
              <w:rPr>
                <w:b/>
                <w:bCs/>
                <w:lang w:val="es-GT" w:eastAsia="es-GT"/>
              </w:rPr>
            </w:pPr>
            <w:r w:rsidRPr="007B0314">
              <w:rPr>
                <w:b/>
                <w:bCs/>
                <w:lang w:val="es-GT" w:eastAsia="es-GT"/>
              </w:rPr>
              <w:t>4.3</w:t>
            </w:r>
          </w:p>
        </w:tc>
      </w:tr>
      <w:tr w:rsidR="009B5E50" w:rsidRPr="007B0314" w14:paraId="531C9BF5"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3377417D" w14:textId="77777777" w:rsidR="009B5E50" w:rsidRPr="007B0314" w:rsidRDefault="009B5E50" w:rsidP="009B5E50">
            <w:pPr>
              <w:ind w:firstLineChars="400" w:firstLine="960"/>
              <w:rPr>
                <w:lang w:val="es-GT" w:eastAsia="es-GT"/>
              </w:rPr>
            </w:pPr>
            <w:r w:rsidRPr="007B0314">
              <w:rPr>
                <w:lang w:val="es-GT" w:eastAsia="es-GT"/>
              </w:rPr>
              <w:t xml:space="preserve">  Impuesto sobre la renta</w:t>
            </w:r>
          </w:p>
        </w:tc>
        <w:tc>
          <w:tcPr>
            <w:tcW w:w="2126" w:type="dxa"/>
            <w:tcBorders>
              <w:top w:val="nil"/>
              <w:left w:val="single" w:sz="8" w:space="0" w:color="auto"/>
              <w:bottom w:val="nil"/>
              <w:right w:val="single" w:sz="4" w:space="0" w:color="auto"/>
            </w:tcBorders>
            <w:shd w:val="clear" w:color="auto" w:fill="auto"/>
            <w:noWrap/>
            <w:vAlign w:val="bottom"/>
            <w:hideMark/>
          </w:tcPr>
          <w:p w14:paraId="01181D20" w14:textId="77777777" w:rsidR="009B5E50" w:rsidRPr="007B0314" w:rsidRDefault="009B5E50" w:rsidP="009B5E50">
            <w:pPr>
              <w:jc w:val="center"/>
              <w:rPr>
                <w:color w:val="000000"/>
                <w:lang w:val="es-GT" w:eastAsia="es-GT"/>
              </w:rPr>
            </w:pPr>
            <w:r w:rsidRPr="007B0314">
              <w:rPr>
                <w:color w:val="000000"/>
                <w:lang w:val="es-GT" w:eastAsia="es-GT"/>
              </w:rPr>
              <w:t>3.0</w:t>
            </w:r>
          </w:p>
        </w:tc>
        <w:tc>
          <w:tcPr>
            <w:tcW w:w="1985" w:type="dxa"/>
            <w:tcBorders>
              <w:top w:val="nil"/>
              <w:left w:val="nil"/>
              <w:bottom w:val="nil"/>
              <w:right w:val="single" w:sz="8" w:space="0" w:color="auto"/>
            </w:tcBorders>
            <w:shd w:val="clear" w:color="auto" w:fill="auto"/>
            <w:noWrap/>
            <w:vAlign w:val="bottom"/>
            <w:hideMark/>
          </w:tcPr>
          <w:p w14:paraId="1521F765" w14:textId="77777777" w:rsidR="009B5E50" w:rsidRPr="007B0314" w:rsidRDefault="009B5E50" w:rsidP="009B5E50">
            <w:pPr>
              <w:jc w:val="center"/>
              <w:rPr>
                <w:lang w:val="es-GT" w:eastAsia="es-GT"/>
              </w:rPr>
            </w:pPr>
            <w:r w:rsidRPr="007B0314">
              <w:rPr>
                <w:lang w:val="es-GT" w:eastAsia="es-GT"/>
              </w:rPr>
              <w:t>3.4</w:t>
            </w:r>
          </w:p>
        </w:tc>
      </w:tr>
      <w:tr w:rsidR="009B5E50" w:rsidRPr="007B0314" w14:paraId="7987271D"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0B97E92D" w14:textId="77777777" w:rsidR="009B5E50" w:rsidRPr="007B0314" w:rsidRDefault="009B5E50" w:rsidP="009B5E50">
            <w:pPr>
              <w:ind w:firstLineChars="400" w:firstLine="960"/>
              <w:rPr>
                <w:lang w:val="es-GT" w:eastAsia="es-GT"/>
              </w:rPr>
            </w:pPr>
            <w:r w:rsidRPr="007B0314">
              <w:rPr>
                <w:lang w:val="es-GT" w:eastAsia="es-GT"/>
              </w:rPr>
              <w:t xml:space="preserve">  Impuesto sobre la propiedad y otros</w:t>
            </w:r>
          </w:p>
        </w:tc>
        <w:tc>
          <w:tcPr>
            <w:tcW w:w="2126" w:type="dxa"/>
            <w:tcBorders>
              <w:top w:val="nil"/>
              <w:left w:val="single" w:sz="8" w:space="0" w:color="auto"/>
              <w:bottom w:val="nil"/>
              <w:right w:val="single" w:sz="4" w:space="0" w:color="auto"/>
            </w:tcBorders>
            <w:shd w:val="clear" w:color="auto" w:fill="auto"/>
            <w:noWrap/>
            <w:vAlign w:val="bottom"/>
            <w:hideMark/>
          </w:tcPr>
          <w:p w14:paraId="5DD91300"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6BBAD4EB" w14:textId="77777777" w:rsidR="009B5E50" w:rsidRPr="007B0314" w:rsidRDefault="009B5E50" w:rsidP="009B5E50">
            <w:pPr>
              <w:jc w:val="center"/>
              <w:rPr>
                <w:lang w:val="es-GT" w:eastAsia="es-GT"/>
              </w:rPr>
            </w:pPr>
            <w:r w:rsidRPr="007B0314">
              <w:rPr>
                <w:lang w:val="es-GT" w:eastAsia="es-GT"/>
              </w:rPr>
              <w:t>0.0</w:t>
            </w:r>
          </w:p>
        </w:tc>
      </w:tr>
      <w:tr w:rsidR="009B5E50" w:rsidRPr="007B0314" w14:paraId="27ED7546"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50F48B88" w14:textId="77777777" w:rsidR="009B5E50" w:rsidRPr="007B0314" w:rsidRDefault="009B5E50" w:rsidP="009B5E50">
            <w:pPr>
              <w:ind w:firstLineChars="400" w:firstLine="960"/>
              <w:rPr>
                <w:lang w:val="es-GT" w:eastAsia="es-GT"/>
              </w:rPr>
            </w:pPr>
            <w:r w:rsidRPr="007B0314">
              <w:rPr>
                <w:lang w:val="es-GT" w:eastAsia="es-GT"/>
              </w:rPr>
              <w:t xml:space="preserve">  Impuesto a las empresas mercantiles</w:t>
            </w:r>
          </w:p>
        </w:tc>
        <w:tc>
          <w:tcPr>
            <w:tcW w:w="2126" w:type="dxa"/>
            <w:tcBorders>
              <w:top w:val="nil"/>
              <w:left w:val="single" w:sz="8" w:space="0" w:color="auto"/>
              <w:bottom w:val="nil"/>
              <w:right w:val="single" w:sz="4" w:space="0" w:color="auto"/>
            </w:tcBorders>
            <w:shd w:val="clear" w:color="auto" w:fill="auto"/>
            <w:noWrap/>
            <w:vAlign w:val="bottom"/>
            <w:hideMark/>
          </w:tcPr>
          <w:p w14:paraId="5099ADF5"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32B369C5" w14:textId="77777777" w:rsidR="009B5E50" w:rsidRPr="007B0314" w:rsidRDefault="009B5E50" w:rsidP="009B5E50">
            <w:pPr>
              <w:jc w:val="center"/>
              <w:rPr>
                <w:lang w:val="es-GT" w:eastAsia="es-GT"/>
              </w:rPr>
            </w:pPr>
            <w:r w:rsidRPr="007B0314">
              <w:rPr>
                <w:lang w:val="es-GT" w:eastAsia="es-GT"/>
              </w:rPr>
              <w:t>0.0</w:t>
            </w:r>
          </w:p>
        </w:tc>
      </w:tr>
      <w:tr w:rsidR="009B5E50" w:rsidRPr="007B0314" w14:paraId="0F994F12"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5BB8B593" w14:textId="77777777" w:rsidR="009B5E50" w:rsidRPr="007B0314" w:rsidRDefault="009B5E50" w:rsidP="009B5E50">
            <w:pPr>
              <w:ind w:firstLineChars="400" w:firstLine="960"/>
              <w:rPr>
                <w:lang w:val="es-GT" w:eastAsia="es-GT"/>
              </w:rPr>
            </w:pPr>
            <w:r w:rsidRPr="007B0314">
              <w:rPr>
                <w:lang w:val="es-GT" w:eastAsia="es-GT"/>
              </w:rPr>
              <w:t xml:space="preserve">  IETAAP</w:t>
            </w:r>
          </w:p>
        </w:tc>
        <w:tc>
          <w:tcPr>
            <w:tcW w:w="2126" w:type="dxa"/>
            <w:tcBorders>
              <w:top w:val="nil"/>
              <w:left w:val="single" w:sz="8" w:space="0" w:color="auto"/>
              <w:bottom w:val="nil"/>
              <w:right w:val="single" w:sz="4" w:space="0" w:color="auto"/>
            </w:tcBorders>
            <w:shd w:val="clear" w:color="auto" w:fill="auto"/>
            <w:noWrap/>
            <w:vAlign w:val="bottom"/>
            <w:hideMark/>
          </w:tcPr>
          <w:p w14:paraId="581ABC9D"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14C2C8AD" w14:textId="77777777" w:rsidR="009B5E50" w:rsidRPr="007B0314" w:rsidRDefault="009B5E50" w:rsidP="009B5E50">
            <w:pPr>
              <w:jc w:val="center"/>
              <w:rPr>
                <w:lang w:val="es-GT" w:eastAsia="es-GT"/>
              </w:rPr>
            </w:pPr>
            <w:r w:rsidRPr="007B0314">
              <w:rPr>
                <w:lang w:val="es-GT" w:eastAsia="es-GT"/>
              </w:rPr>
              <w:t>0.0</w:t>
            </w:r>
          </w:p>
        </w:tc>
      </w:tr>
      <w:tr w:rsidR="009B5E50" w:rsidRPr="007B0314" w14:paraId="58FD76AB"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077B1E30" w14:textId="77777777" w:rsidR="009B5E50" w:rsidRPr="007B0314" w:rsidRDefault="009B5E50" w:rsidP="009B5E50">
            <w:pPr>
              <w:ind w:firstLineChars="400" w:firstLine="960"/>
              <w:rPr>
                <w:lang w:val="es-GT" w:eastAsia="es-GT"/>
              </w:rPr>
            </w:pPr>
            <w:r w:rsidRPr="007B0314">
              <w:rPr>
                <w:lang w:val="es-GT" w:eastAsia="es-GT"/>
              </w:rPr>
              <w:t xml:space="preserve">  ISO</w:t>
            </w:r>
          </w:p>
        </w:tc>
        <w:tc>
          <w:tcPr>
            <w:tcW w:w="2126" w:type="dxa"/>
            <w:tcBorders>
              <w:top w:val="nil"/>
              <w:left w:val="single" w:sz="8" w:space="0" w:color="auto"/>
              <w:bottom w:val="nil"/>
              <w:right w:val="single" w:sz="4" w:space="0" w:color="auto"/>
            </w:tcBorders>
            <w:shd w:val="clear" w:color="auto" w:fill="auto"/>
            <w:noWrap/>
            <w:vAlign w:val="bottom"/>
            <w:hideMark/>
          </w:tcPr>
          <w:p w14:paraId="1941D734" w14:textId="77777777" w:rsidR="009B5E50" w:rsidRPr="007B0314" w:rsidRDefault="009B5E50" w:rsidP="009B5E50">
            <w:pPr>
              <w:jc w:val="center"/>
              <w:rPr>
                <w:lang w:val="es-GT" w:eastAsia="es-GT"/>
              </w:rPr>
            </w:pPr>
            <w:r w:rsidRPr="007B0314">
              <w:rPr>
                <w:lang w:val="es-GT" w:eastAsia="es-GT"/>
              </w:rPr>
              <w:t>0.7</w:t>
            </w:r>
          </w:p>
        </w:tc>
        <w:tc>
          <w:tcPr>
            <w:tcW w:w="1985" w:type="dxa"/>
            <w:tcBorders>
              <w:top w:val="nil"/>
              <w:left w:val="nil"/>
              <w:bottom w:val="nil"/>
              <w:right w:val="single" w:sz="8" w:space="0" w:color="auto"/>
            </w:tcBorders>
            <w:shd w:val="clear" w:color="auto" w:fill="auto"/>
            <w:noWrap/>
            <w:vAlign w:val="bottom"/>
            <w:hideMark/>
          </w:tcPr>
          <w:p w14:paraId="0DE9AF79" w14:textId="77777777" w:rsidR="009B5E50" w:rsidRPr="007B0314" w:rsidRDefault="009B5E50" w:rsidP="009B5E50">
            <w:pPr>
              <w:jc w:val="center"/>
              <w:rPr>
                <w:lang w:val="es-GT" w:eastAsia="es-GT"/>
              </w:rPr>
            </w:pPr>
            <w:r w:rsidRPr="007B0314">
              <w:rPr>
                <w:lang w:val="es-GT" w:eastAsia="es-GT"/>
              </w:rPr>
              <w:t>0.9</w:t>
            </w:r>
          </w:p>
        </w:tc>
      </w:tr>
      <w:tr w:rsidR="009B5E50" w:rsidRPr="007B0314" w14:paraId="54FB126D"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0EBE636D" w14:textId="77777777" w:rsidR="009B5E50" w:rsidRPr="007B0314" w:rsidRDefault="009B5E50" w:rsidP="009B5E50">
            <w:pPr>
              <w:ind w:firstLineChars="400" w:firstLine="960"/>
              <w:rPr>
                <w:lang w:val="es-GT" w:eastAsia="es-GT"/>
              </w:rPr>
            </w:pPr>
            <w:r w:rsidRPr="007B0314">
              <w:rPr>
                <w:lang w:val="es-GT" w:eastAsia="es-GT"/>
              </w:rPr>
              <w:t>Otros directos</w:t>
            </w:r>
          </w:p>
        </w:tc>
        <w:tc>
          <w:tcPr>
            <w:tcW w:w="2126" w:type="dxa"/>
            <w:tcBorders>
              <w:top w:val="nil"/>
              <w:left w:val="single" w:sz="8" w:space="0" w:color="auto"/>
              <w:bottom w:val="nil"/>
              <w:right w:val="single" w:sz="4" w:space="0" w:color="auto"/>
            </w:tcBorders>
            <w:shd w:val="clear" w:color="auto" w:fill="auto"/>
            <w:noWrap/>
            <w:vAlign w:val="bottom"/>
            <w:hideMark/>
          </w:tcPr>
          <w:p w14:paraId="38F91641" w14:textId="77777777" w:rsidR="009B5E50" w:rsidRPr="007B0314" w:rsidRDefault="009B5E50" w:rsidP="009B5E50">
            <w:pPr>
              <w:jc w:val="center"/>
              <w:rPr>
                <w:lang w:val="es-GT" w:eastAsia="es-GT"/>
              </w:rPr>
            </w:pPr>
            <w:r w:rsidRPr="007B0314">
              <w:rPr>
                <w:lang w:val="es-GT" w:eastAsia="es-GT"/>
              </w:rPr>
              <w:t>0.1</w:t>
            </w:r>
          </w:p>
        </w:tc>
        <w:tc>
          <w:tcPr>
            <w:tcW w:w="1985" w:type="dxa"/>
            <w:tcBorders>
              <w:top w:val="nil"/>
              <w:left w:val="nil"/>
              <w:bottom w:val="nil"/>
              <w:right w:val="single" w:sz="8" w:space="0" w:color="auto"/>
            </w:tcBorders>
            <w:shd w:val="clear" w:color="auto" w:fill="auto"/>
            <w:noWrap/>
            <w:vAlign w:val="bottom"/>
            <w:hideMark/>
          </w:tcPr>
          <w:p w14:paraId="46D7844B" w14:textId="77777777" w:rsidR="009B5E50" w:rsidRPr="007B0314" w:rsidRDefault="009B5E50" w:rsidP="009B5E50">
            <w:pPr>
              <w:jc w:val="center"/>
              <w:rPr>
                <w:lang w:val="es-GT" w:eastAsia="es-GT"/>
              </w:rPr>
            </w:pPr>
            <w:r w:rsidRPr="007B0314">
              <w:rPr>
                <w:lang w:val="es-GT" w:eastAsia="es-GT"/>
              </w:rPr>
              <w:t>0.0</w:t>
            </w:r>
          </w:p>
        </w:tc>
      </w:tr>
      <w:tr w:rsidR="009B5E50" w:rsidRPr="007B0314" w14:paraId="0A10A7D3" w14:textId="77777777" w:rsidTr="007B0314">
        <w:trPr>
          <w:trHeight w:val="405"/>
        </w:trPr>
        <w:tc>
          <w:tcPr>
            <w:tcW w:w="5235" w:type="dxa"/>
            <w:tcBorders>
              <w:top w:val="nil"/>
              <w:left w:val="single" w:sz="8" w:space="0" w:color="auto"/>
              <w:bottom w:val="nil"/>
              <w:right w:val="single" w:sz="8" w:space="0" w:color="auto"/>
            </w:tcBorders>
            <w:shd w:val="clear" w:color="auto" w:fill="auto"/>
            <w:noWrap/>
            <w:vAlign w:val="bottom"/>
            <w:hideMark/>
          </w:tcPr>
          <w:p w14:paraId="3EFECFFE" w14:textId="77777777" w:rsidR="009B5E50" w:rsidRPr="007B0314" w:rsidRDefault="009B5E50" w:rsidP="009B5E50">
            <w:pPr>
              <w:ind w:firstLineChars="300" w:firstLine="723"/>
              <w:rPr>
                <w:b/>
                <w:bCs/>
                <w:lang w:val="es-GT" w:eastAsia="es-GT"/>
              </w:rPr>
            </w:pPr>
            <w:r w:rsidRPr="007B0314">
              <w:rPr>
                <w:b/>
                <w:bCs/>
                <w:lang w:val="es-GT" w:eastAsia="es-GT"/>
              </w:rPr>
              <w:t>Impuestos indirectos</w:t>
            </w:r>
          </w:p>
        </w:tc>
        <w:tc>
          <w:tcPr>
            <w:tcW w:w="2126" w:type="dxa"/>
            <w:tcBorders>
              <w:top w:val="nil"/>
              <w:left w:val="single" w:sz="8" w:space="0" w:color="auto"/>
              <w:bottom w:val="nil"/>
              <w:right w:val="single" w:sz="4" w:space="0" w:color="auto"/>
            </w:tcBorders>
            <w:shd w:val="clear" w:color="auto" w:fill="auto"/>
            <w:noWrap/>
            <w:vAlign w:val="bottom"/>
            <w:hideMark/>
          </w:tcPr>
          <w:p w14:paraId="507E086E" w14:textId="77777777" w:rsidR="009B5E50" w:rsidRPr="007B0314" w:rsidRDefault="009B5E50" w:rsidP="009B5E50">
            <w:pPr>
              <w:jc w:val="center"/>
              <w:rPr>
                <w:b/>
                <w:bCs/>
                <w:lang w:val="es-GT" w:eastAsia="es-GT"/>
              </w:rPr>
            </w:pPr>
            <w:r w:rsidRPr="007B0314">
              <w:rPr>
                <w:b/>
                <w:bCs/>
                <w:lang w:val="es-GT" w:eastAsia="es-GT"/>
              </w:rPr>
              <w:t>7.0</w:t>
            </w:r>
          </w:p>
        </w:tc>
        <w:tc>
          <w:tcPr>
            <w:tcW w:w="1985" w:type="dxa"/>
            <w:tcBorders>
              <w:top w:val="nil"/>
              <w:left w:val="nil"/>
              <w:bottom w:val="nil"/>
              <w:right w:val="single" w:sz="8" w:space="0" w:color="auto"/>
            </w:tcBorders>
            <w:shd w:val="clear" w:color="auto" w:fill="auto"/>
            <w:noWrap/>
            <w:vAlign w:val="bottom"/>
            <w:hideMark/>
          </w:tcPr>
          <w:p w14:paraId="0E1656E8" w14:textId="77777777" w:rsidR="009B5E50" w:rsidRPr="007B0314" w:rsidRDefault="009B5E50" w:rsidP="009B5E50">
            <w:pPr>
              <w:jc w:val="center"/>
              <w:rPr>
                <w:b/>
                <w:bCs/>
                <w:lang w:val="es-GT" w:eastAsia="es-GT"/>
              </w:rPr>
            </w:pPr>
            <w:r w:rsidRPr="007B0314">
              <w:rPr>
                <w:b/>
                <w:bCs/>
                <w:lang w:val="es-GT" w:eastAsia="es-GT"/>
              </w:rPr>
              <w:t>7.4</w:t>
            </w:r>
          </w:p>
        </w:tc>
      </w:tr>
      <w:tr w:rsidR="009B5E50" w:rsidRPr="007B0314" w14:paraId="097D4573"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3C02FD34" w14:textId="77777777" w:rsidR="009B5E50" w:rsidRPr="007B0314" w:rsidRDefault="009B5E50" w:rsidP="009B5E50">
            <w:pPr>
              <w:ind w:firstLineChars="400" w:firstLine="960"/>
              <w:rPr>
                <w:lang w:val="es-GT" w:eastAsia="es-GT"/>
              </w:rPr>
            </w:pPr>
            <w:r w:rsidRPr="007B0314">
              <w:rPr>
                <w:lang w:val="es-GT" w:eastAsia="es-GT"/>
              </w:rPr>
              <w:t>Impuesto al Valor Agregado</w:t>
            </w:r>
          </w:p>
        </w:tc>
        <w:tc>
          <w:tcPr>
            <w:tcW w:w="2126" w:type="dxa"/>
            <w:tcBorders>
              <w:top w:val="nil"/>
              <w:left w:val="single" w:sz="8" w:space="0" w:color="auto"/>
              <w:bottom w:val="nil"/>
              <w:right w:val="single" w:sz="4" w:space="0" w:color="auto"/>
            </w:tcBorders>
            <w:shd w:val="clear" w:color="auto" w:fill="auto"/>
            <w:noWrap/>
            <w:vAlign w:val="bottom"/>
            <w:hideMark/>
          </w:tcPr>
          <w:p w14:paraId="59B88C88" w14:textId="77777777" w:rsidR="009B5E50" w:rsidRPr="007B0314" w:rsidRDefault="009B5E50" w:rsidP="009B5E50">
            <w:pPr>
              <w:jc w:val="center"/>
              <w:rPr>
                <w:lang w:val="es-GT" w:eastAsia="es-GT"/>
              </w:rPr>
            </w:pPr>
            <w:r w:rsidRPr="007B0314">
              <w:rPr>
                <w:lang w:val="es-GT" w:eastAsia="es-GT"/>
              </w:rPr>
              <w:t>5.1</w:t>
            </w:r>
          </w:p>
        </w:tc>
        <w:tc>
          <w:tcPr>
            <w:tcW w:w="1985" w:type="dxa"/>
            <w:tcBorders>
              <w:top w:val="nil"/>
              <w:left w:val="nil"/>
              <w:bottom w:val="nil"/>
              <w:right w:val="single" w:sz="8" w:space="0" w:color="auto"/>
            </w:tcBorders>
            <w:shd w:val="clear" w:color="auto" w:fill="auto"/>
            <w:noWrap/>
            <w:vAlign w:val="bottom"/>
            <w:hideMark/>
          </w:tcPr>
          <w:p w14:paraId="17F412AD" w14:textId="77777777" w:rsidR="009B5E50" w:rsidRPr="007B0314" w:rsidRDefault="009B5E50" w:rsidP="009B5E50">
            <w:pPr>
              <w:jc w:val="center"/>
              <w:rPr>
                <w:lang w:val="es-GT" w:eastAsia="es-GT"/>
              </w:rPr>
            </w:pPr>
            <w:r w:rsidRPr="007B0314">
              <w:rPr>
                <w:lang w:val="es-GT" w:eastAsia="es-GT"/>
              </w:rPr>
              <w:t>5.7</w:t>
            </w:r>
          </w:p>
        </w:tc>
      </w:tr>
      <w:tr w:rsidR="009B5E50" w:rsidRPr="007B0314" w14:paraId="56DBCD09"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25DE1503" w14:textId="77777777" w:rsidR="009B5E50" w:rsidRPr="007B0314" w:rsidRDefault="009B5E50" w:rsidP="009B5E50">
            <w:pPr>
              <w:ind w:firstLineChars="500" w:firstLine="1200"/>
              <w:rPr>
                <w:lang w:val="es-GT" w:eastAsia="es-GT"/>
              </w:rPr>
            </w:pPr>
            <w:r w:rsidRPr="007B0314">
              <w:rPr>
                <w:lang w:val="es-GT" w:eastAsia="es-GT"/>
              </w:rPr>
              <w:t>Doméstico</w:t>
            </w:r>
          </w:p>
        </w:tc>
        <w:tc>
          <w:tcPr>
            <w:tcW w:w="2126" w:type="dxa"/>
            <w:tcBorders>
              <w:top w:val="nil"/>
              <w:left w:val="single" w:sz="8" w:space="0" w:color="auto"/>
              <w:bottom w:val="nil"/>
              <w:right w:val="single" w:sz="4" w:space="0" w:color="auto"/>
            </w:tcBorders>
            <w:shd w:val="clear" w:color="auto" w:fill="auto"/>
            <w:noWrap/>
            <w:vAlign w:val="bottom"/>
            <w:hideMark/>
          </w:tcPr>
          <w:p w14:paraId="53D8CB76" w14:textId="77777777" w:rsidR="009B5E50" w:rsidRPr="007B0314" w:rsidRDefault="009B5E50" w:rsidP="009B5E50">
            <w:pPr>
              <w:jc w:val="center"/>
              <w:rPr>
                <w:lang w:val="es-GT" w:eastAsia="es-GT"/>
              </w:rPr>
            </w:pPr>
            <w:r w:rsidRPr="007B0314">
              <w:rPr>
                <w:lang w:val="es-GT" w:eastAsia="es-GT"/>
              </w:rPr>
              <w:t>2.2</w:t>
            </w:r>
          </w:p>
        </w:tc>
        <w:tc>
          <w:tcPr>
            <w:tcW w:w="1985" w:type="dxa"/>
            <w:tcBorders>
              <w:top w:val="nil"/>
              <w:left w:val="nil"/>
              <w:bottom w:val="nil"/>
              <w:right w:val="single" w:sz="8" w:space="0" w:color="auto"/>
            </w:tcBorders>
            <w:shd w:val="clear" w:color="auto" w:fill="auto"/>
            <w:noWrap/>
            <w:vAlign w:val="bottom"/>
            <w:hideMark/>
          </w:tcPr>
          <w:p w14:paraId="3F0250A0" w14:textId="77777777" w:rsidR="009B5E50" w:rsidRPr="007B0314" w:rsidRDefault="009B5E50" w:rsidP="009B5E50">
            <w:pPr>
              <w:jc w:val="center"/>
              <w:rPr>
                <w:lang w:val="es-GT" w:eastAsia="es-GT"/>
              </w:rPr>
            </w:pPr>
            <w:r w:rsidRPr="007B0314">
              <w:rPr>
                <w:lang w:val="es-GT" w:eastAsia="es-GT"/>
              </w:rPr>
              <w:t>2.5</w:t>
            </w:r>
          </w:p>
        </w:tc>
      </w:tr>
      <w:tr w:rsidR="009B5E50" w:rsidRPr="007B0314" w14:paraId="38B05D97"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4955B3FA" w14:textId="77777777" w:rsidR="009B5E50" w:rsidRPr="007B0314" w:rsidRDefault="009B5E50" w:rsidP="009B5E50">
            <w:pPr>
              <w:ind w:firstLineChars="500" w:firstLine="1200"/>
              <w:rPr>
                <w:lang w:val="es-GT" w:eastAsia="es-GT"/>
              </w:rPr>
            </w:pPr>
            <w:r w:rsidRPr="007B0314">
              <w:rPr>
                <w:lang w:val="es-GT" w:eastAsia="es-GT"/>
              </w:rPr>
              <w:t>Importaciones</w:t>
            </w:r>
          </w:p>
        </w:tc>
        <w:tc>
          <w:tcPr>
            <w:tcW w:w="2126" w:type="dxa"/>
            <w:tcBorders>
              <w:top w:val="nil"/>
              <w:left w:val="single" w:sz="8" w:space="0" w:color="auto"/>
              <w:bottom w:val="nil"/>
              <w:right w:val="single" w:sz="4" w:space="0" w:color="auto"/>
            </w:tcBorders>
            <w:shd w:val="clear" w:color="auto" w:fill="auto"/>
            <w:noWrap/>
            <w:vAlign w:val="bottom"/>
            <w:hideMark/>
          </w:tcPr>
          <w:p w14:paraId="77E65243" w14:textId="77777777" w:rsidR="009B5E50" w:rsidRPr="007B0314" w:rsidRDefault="009B5E50" w:rsidP="009B5E50">
            <w:pPr>
              <w:jc w:val="center"/>
              <w:rPr>
                <w:lang w:val="es-GT" w:eastAsia="es-GT"/>
              </w:rPr>
            </w:pPr>
            <w:r w:rsidRPr="007B0314">
              <w:rPr>
                <w:lang w:val="es-GT" w:eastAsia="es-GT"/>
              </w:rPr>
              <w:t>2.9</w:t>
            </w:r>
          </w:p>
        </w:tc>
        <w:tc>
          <w:tcPr>
            <w:tcW w:w="1985" w:type="dxa"/>
            <w:tcBorders>
              <w:top w:val="nil"/>
              <w:left w:val="nil"/>
              <w:bottom w:val="nil"/>
              <w:right w:val="single" w:sz="8" w:space="0" w:color="auto"/>
            </w:tcBorders>
            <w:shd w:val="clear" w:color="auto" w:fill="auto"/>
            <w:noWrap/>
            <w:vAlign w:val="bottom"/>
            <w:hideMark/>
          </w:tcPr>
          <w:p w14:paraId="59EEC960" w14:textId="77777777" w:rsidR="009B5E50" w:rsidRPr="007B0314" w:rsidRDefault="009B5E50" w:rsidP="009B5E50">
            <w:pPr>
              <w:jc w:val="center"/>
              <w:rPr>
                <w:lang w:val="es-GT" w:eastAsia="es-GT"/>
              </w:rPr>
            </w:pPr>
            <w:r w:rsidRPr="007B0314">
              <w:rPr>
                <w:lang w:val="es-GT" w:eastAsia="es-GT"/>
              </w:rPr>
              <w:t>3.2</w:t>
            </w:r>
          </w:p>
        </w:tc>
      </w:tr>
      <w:tr w:rsidR="009B5E50" w:rsidRPr="007B0314" w14:paraId="2EC38B5E"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61032B0B" w14:textId="77777777" w:rsidR="009B5E50" w:rsidRPr="007B0314" w:rsidRDefault="009B5E50" w:rsidP="009B5E50">
            <w:pPr>
              <w:ind w:firstLineChars="400" w:firstLine="960"/>
              <w:rPr>
                <w:lang w:val="es-GT" w:eastAsia="es-GT"/>
              </w:rPr>
            </w:pPr>
            <w:r w:rsidRPr="007B0314">
              <w:rPr>
                <w:lang w:val="es-GT" w:eastAsia="es-GT"/>
              </w:rPr>
              <w:t>Derechos arancelarios</w:t>
            </w:r>
          </w:p>
        </w:tc>
        <w:tc>
          <w:tcPr>
            <w:tcW w:w="2126" w:type="dxa"/>
            <w:tcBorders>
              <w:top w:val="nil"/>
              <w:left w:val="single" w:sz="8" w:space="0" w:color="auto"/>
              <w:bottom w:val="nil"/>
              <w:right w:val="single" w:sz="4" w:space="0" w:color="auto"/>
            </w:tcBorders>
            <w:shd w:val="clear" w:color="auto" w:fill="auto"/>
            <w:noWrap/>
            <w:vAlign w:val="bottom"/>
            <w:hideMark/>
          </w:tcPr>
          <w:p w14:paraId="51971FE2" w14:textId="77777777" w:rsidR="009B5E50" w:rsidRPr="007B0314" w:rsidRDefault="009B5E50" w:rsidP="009B5E50">
            <w:pPr>
              <w:jc w:val="center"/>
              <w:rPr>
                <w:lang w:val="es-GT" w:eastAsia="es-GT"/>
              </w:rPr>
            </w:pPr>
            <w:r w:rsidRPr="007B0314">
              <w:rPr>
                <w:lang w:val="es-GT" w:eastAsia="es-GT"/>
              </w:rPr>
              <w:t>0.5</w:t>
            </w:r>
          </w:p>
        </w:tc>
        <w:tc>
          <w:tcPr>
            <w:tcW w:w="1985" w:type="dxa"/>
            <w:tcBorders>
              <w:top w:val="nil"/>
              <w:left w:val="nil"/>
              <w:bottom w:val="nil"/>
              <w:right w:val="single" w:sz="8" w:space="0" w:color="auto"/>
            </w:tcBorders>
            <w:shd w:val="clear" w:color="auto" w:fill="auto"/>
            <w:noWrap/>
            <w:vAlign w:val="bottom"/>
            <w:hideMark/>
          </w:tcPr>
          <w:p w14:paraId="2DAF079B" w14:textId="77777777" w:rsidR="009B5E50" w:rsidRPr="007B0314" w:rsidRDefault="009B5E50" w:rsidP="009B5E50">
            <w:pPr>
              <w:jc w:val="center"/>
              <w:rPr>
                <w:lang w:val="es-GT" w:eastAsia="es-GT"/>
              </w:rPr>
            </w:pPr>
            <w:r w:rsidRPr="007B0314">
              <w:rPr>
                <w:lang w:val="es-GT" w:eastAsia="es-GT"/>
              </w:rPr>
              <w:t>0.5</w:t>
            </w:r>
          </w:p>
        </w:tc>
      </w:tr>
      <w:tr w:rsidR="009B5E50" w:rsidRPr="007B0314" w14:paraId="34F36D4F"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1EC6689F" w14:textId="77777777" w:rsidR="009B5E50" w:rsidRPr="007B0314" w:rsidRDefault="009B5E50" w:rsidP="009B5E50">
            <w:pPr>
              <w:ind w:firstLineChars="400" w:firstLine="960"/>
              <w:rPr>
                <w:lang w:val="es-GT" w:eastAsia="es-GT"/>
              </w:rPr>
            </w:pPr>
            <w:r w:rsidRPr="007B0314">
              <w:rPr>
                <w:lang w:val="es-GT" w:eastAsia="es-GT"/>
              </w:rPr>
              <w:t>Petróleo</w:t>
            </w:r>
          </w:p>
        </w:tc>
        <w:tc>
          <w:tcPr>
            <w:tcW w:w="2126" w:type="dxa"/>
            <w:tcBorders>
              <w:top w:val="nil"/>
              <w:left w:val="single" w:sz="8" w:space="0" w:color="auto"/>
              <w:bottom w:val="nil"/>
              <w:right w:val="single" w:sz="4" w:space="0" w:color="auto"/>
            </w:tcBorders>
            <w:shd w:val="clear" w:color="auto" w:fill="auto"/>
            <w:noWrap/>
            <w:vAlign w:val="bottom"/>
            <w:hideMark/>
          </w:tcPr>
          <w:p w14:paraId="3CA85C93" w14:textId="77777777" w:rsidR="009B5E50" w:rsidRPr="007B0314" w:rsidRDefault="009B5E50" w:rsidP="009B5E50">
            <w:pPr>
              <w:jc w:val="center"/>
              <w:rPr>
                <w:lang w:val="es-GT" w:eastAsia="es-GT"/>
              </w:rPr>
            </w:pPr>
            <w:r w:rsidRPr="007B0314">
              <w:rPr>
                <w:lang w:val="es-GT" w:eastAsia="es-GT"/>
              </w:rPr>
              <w:t>0.6</w:t>
            </w:r>
          </w:p>
        </w:tc>
        <w:tc>
          <w:tcPr>
            <w:tcW w:w="1985" w:type="dxa"/>
            <w:tcBorders>
              <w:top w:val="nil"/>
              <w:left w:val="nil"/>
              <w:bottom w:val="nil"/>
              <w:right w:val="single" w:sz="8" w:space="0" w:color="auto"/>
            </w:tcBorders>
            <w:shd w:val="clear" w:color="auto" w:fill="auto"/>
            <w:noWrap/>
            <w:vAlign w:val="bottom"/>
            <w:hideMark/>
          </w:tcPr>
          <w:p w14:paraId="21F451D0" w14:textId="77777777" w:rsidR="009B5E50" w:rsidRPr="007B0314" w:rsidRDefault="009B5E50" w:rsidP="009B5E50">
            <w:pPr>
              <w:jc w:val="center"/>
              <w:rPr>
                <w:lang w:val="es-GT" w:eastAsia="es-GT"/>
              </w:rPr>
            </w:pPr>
            <w:r w:rsidRPr="007B0314">
              <w:rPr>
                <w:lang w:val="es-GT" w:eastAsia="es-GT"/>
              </w:rPr>
              <w:t>0.5</w:t>
            </w:r>
          </w:p>
        </w:tc>
      </w:tr>
      <w:tr w:rsidR="009B5E50" w:rsidRPr="007B0314" w14:paraId="33C5D091"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79B533E1" w14:textId="77777777" w:rsidR="009B5E50" w:rsidRPr="007B0314" w:rsidRDefault="009B5E50" w:rsidP="009B5E50">
            <w:pPr>
              <w:ind w:firstLineChars="400" w:firstLine="960"/>
              <w:rPr>
                <w:lang w:val="es-GT" w:eastAsia="es-GT"/>
              </w:rPr>
            </w:pPr>
            <w:r w:rsidRPr="007B0314">
              <w:rPr>
                <w:lang w:val="es-GT" w:eastAsia="es-GT"/>
              </w:rPr>
              <w:t>Timbres fiscales</w:t>
            </w:r>
          </w:p>
        </w:tc>
        <w:tc>
          <w:tcPr>
            <w:tcW w:w="2126" w:type="dxa"/>
            <w:tcBorders>
              <w:top w:val="nil"/>
              <w:left w:val="single" w:sz="8" w:space="0" w:color="auto"/>
              <w:bottom w:val="nil"/>
              <w:right w:val="single" w:sz="4" w:space="0" w:color="auto"/>
            </w:tcBorders>
            <w:shd w:val="clear" w:color="auto" w:fill="auto"/>
            <w:noWrap/>
            <w:vAlign w:val="bottom"/>
            <w:hideMark/>
          </w:tcPr>
          <w:p w14:paraId="37944A2E" w14:textId="77777777" w:rsidR="009B5E50" w:rsidRPr="007B0314" w:rsidRDefault="009B5E50" w:rsidP="009B5E50">
            <w:pPr>
              <w:jc w:val="center"/>
              <w:rPr>
                <w:lang w:val="es-GT" w:eastAsia="es-GT"/>
              </w:rPr>
            </w:pPr>
            <w:r w:rsidRPr="007B0314">
              <w:rPr>
                <w:lang w:val="es-GT" w:eastAsia="es-GT"/>
              </w:rPr>
              <w:t>0.1</w:t>
            </w:r>
          </w:p>
        </w:tc>
        <w:tc>
          <w:tcPr>
            <w:tcW w:w="1985" w:type="dxa"/>
            <w:tcBorders>
              <w:top w:val="nil"/>
              <w:left w:val="nil"/>
              <w:bottom w:val="nil"/>
              <w:right w:val="single" w:sz="8" w:space="0" w:color="auto"/>
            </w:tcBorders>
            <w:shd w:val="clear" w:color="auto" w:fill="auto"/>
            <w:noWrap/>
            <w:vAlign w:val="bottom"/>
            <w:hideMark/>
          </w:tcPr>
          <w:p w14:paraId="4EEEA1E6" w14:textId="77777777" w:rsidR="009B5E50" w:rsidRPr="007B0314" w:rsidRDefault="009B5E50" w:rsidP="009B5E50">
            <w:pPr>
              <w:jc w:val="center"/>
              <w:rPr>
                <w:lang w:val="es-GT" w:eastAsia="es-GT"/>
              </w:rPr>
            </w:pPr>
            <w:r w:rsidRPr="007B0314">
              <w:rPr>
                <w:lang w:val="es-GT" w:eastAsia="es-GT"/>
              </w:rPr>
              <w:t>0.1</w:t>
            </w:r>
          </w:p>
        </w:tc>
      </w:tr>
      <w:tr w:rsidR="009B5E50" w:rsidRPr="007B0314" w14:paraId="3234D7EF"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46DF269D" w14:textId="77777777" w:rsidR="009B5E50" w:rsidRPr="007B0314" w:rsidRDefault="009B5E50" w:rsidP="009B5E50">
            <w:pPr>
              <w:ind w:firstLineChars="400" w:firstLine="960"/>
              <w:rPr>
                <w:lang w:val="es-GT" w:eastAsia="es-GT"/>
              </w:rPr>
            </w:pPr>
            <w:r w:rsidRPr="007B0314">
              <w:rPr>
                <w:lang w:val="es-GT" w:eastAsia="es-GT"/>
              </w:rPr>
              <w:t>Vehículos</w:t>
            </w:r>
          </w:p>
        </w:tc>
        <w:tc>
          <w:tcPr>
            <w:tcW w:w="2126" w:type="dxa"/>
            <w:tcBorders>
              <w:top w:val="nil"/>
              <w:left w:val="single" w:sz="8" w:space="0" w:color="auto"/>
              <w:bottom w:val="nil"/>
              <w:right w:val="single" w:sz="4" w:space="0" w:color="auto"/>
            </w:tcBorders>
            <w:shd w:val="clear" w:color="auto" w:fill="auto"/>
            <w:noWrap/>
            <w:vAlign w:val="bottom"/>
            <w:hideMark/>
          </w:tcPr>
          <w:p w14:paraId="79D92A00" w14:textId="77777777" w:rsidR="009B5E50" w:rsidRPr="007B0314" w:rsidRDefault="009B5E50" w:rsidP="009B5E50">
            <w:pPr>
              <w:jc w:val="center"/>
              <w:rPr>
                <w:lang w:val="es-GT" w:eastAsia="es-GT"/>
              </w:rPr>
            </w:pPr>
            <w:r w:rsidRPr="007B0314">
              <w:rPr>
                <w:lang w:val="es-GT" w:eastAsia="es-GT"/>
              </w:rPr>
              <w:t>0.1</w:t>
            </w:r>
          </w:p>
        </w:tc>
        <w:tc>
          <w:tcPr>
            <w:tcW w:w="1985" w:type="dxa"/>
            <w:tcBorders>
              <w:top w:val="nil"/>
              <w:left w:val="nil"/>
              <w:bottom w:val="nil"/>
              <w:right w:val="single" w:sz="8" w:space="0" w:color="auto"/>
            </w:tcBorders>
            <w:shd w:val="clear" w:color="auto" w:fill="auto"/>
            <w:noWrap/>
            <w:vAlign w:val="bottom"/>
            <w:hideMark/>
          </w:tcPr>
          <w:p w14:paraId="1B2D4175" w14:textId="77777777" w:rsidR="009B5E50" w:rsidRPr="007B0314" w:rsidRDefault="009B5E50" w:rsidP="009B5E50">
            <w:pPr>
              <w:jc w:val="center"/>
              <w:rPr>
                <w:lang w:val="es-GT" w:eastAsia="es-GT"/>
              </w:rPr>
            </w:pPr>
            <w:r w:rsidRPr="007B0314">
              <w:rPr>
                <w:lang w:val="es-GT" w:eastAsia="es-GT"/>
              </w:rPr>
              <w:t>0.1</w:t>
            </w:r>
          </w:p>
        </w:tc>
      </w:tr>
      <w:tr w:rsidR="009B5E50" w:rsidRPr="007B0314" w14:paraId="28DAA974"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304CA8AB" w14:textId="77777777" w:rsidR="009B5E50" w:rsidRPr="007B0314" w:rsidRDefault="009B5E50" w:rsidP="009B5E50">
            <w:pPr>
              <w:ind w:firstLineChars="400" w:firstLine="960"/>
              <w:rPr>
                <w:lang w:val="es-GT" w:eastAsia="es-GT"/>
              </w:rPr>
            </w:pPr>
            <w:r w:rsidRPr="007B0314">
              <w:rPr>
                <w:lang w:val="es-GT" w:eastAsia="es-GT"/>
              </w:rPr>
              <w:t>IPRIMA</w:t>
            </w:r>
          </w:p>
        </w:tc>
        <w:tc>
          <w:tcPr>
            <w:tcW w:w="2126" w:type="dxa"/>
            <w:tcBorders>
              <w:top w:val="nil"/>
              <w:left w:val="single" w:sz="8" w:space="0" w:color="auto"/>
              <w:bottom w:val="nil"/>
              <w:right w:val="single" w:sz="4" w:space="0" w:color="auto"/>
            </w:tcBorders>
            <w:shd w:val="clear" w:color="auto" w:fill="auto"/>
            <w:noWrap/>
            <w:vAlign w:val="bottom"/>
            <w:hideMark/>
          </w:tcPr>
          <w:p w14:paraId="07EF6E7C" w14:textId="77777777" w:rsidR="009B5E50" w:rsidRPr="007B0314" w:rsidRDefault="009B5E50" w:rsidP="009B5E50">
            <w:pPr>
              <w:jc w:val="center"/>
              <w:rPr>
                <w:lang w:val="es-GT" w:eastAsia="es-GT"/>
              </w:rPr>
            </w:pPr>
            <w:r w:rsidRPr="007B0314">
              <w:rPr>
                <w:lang w:val="es-GT" w:eastAsia="es-GT"/>
              </w:rPr>
              <w:t>0.2</w:t>
            </w:r>
          </w:p>
        </w:tc>
        <w:tc>
          <w:tcPr>
            <w:tcW w:w="1985" w:type="dxa"/>
            <w:tcBorders>
              <w:top w:val="nil"/>
              <w:left w:val="nil"/>
              <w:bottom w:val="nil"/>
              <w:right w:val="single" w:sz="8" w:space="0" w:color="auto"/>
            </w:tcBorders>
            <w:shd w:val="clear" w:color="auto" w:fill="auto"/>
            <w:noWrap/>
            <w:vAlign w:val="bottom"/>
            <w:hideMark/>
          </w:tcPr>
          <w:p w14:paraId="076E2DAB" w14:textId="77777777" w:rsidR="009B5E50" w:rsidRPr="007B0314" w:rsidRDefault="009B5E50" w:rsidP="009B5E50">
            <w:pPr>
              <w:jc w:val="center"/>
              <w:rPr>
                <w:lang w:val="es-GT" w:eastAsia="es-GT"/>
              </w:rPr>
            </w:pPr>
            <w:r w:rsidRPr="007B0314">
              <w:rPr>
                <w:lang w:val="es-GT" w:eastAsia="es-GT"/>
              </w:rPr>
              <w:t>0.2</w:t>
            </w:r>
          </w:p>
        </w:tc>
      </w:tr>
      <w:tr w:rsidR="009B5E50" w:rsidRPr="007B0314" w14:paraId="1789711D"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67A380AF" w14:textId="77777777" w:rsidR="009B5E50" w:rsidRPr="007B0314" w:rsidRDefault="009B5E50" w:rsidP="009B5E50">
            <w:pPr>
              <w:ind w:firstLineChars="400" w:firstLine="960"/>
              <w:rPr>
                <w:lang w:val="es-GT" w:eastAsia="es-GT"/>
              </w:rPr>
            </w:pPr>
            <w:r w:rsidRPr="007B0314">
              <w:rPr>
                <w:lang w:val="es-GT" w:eastAsia="es-GT"/>
              </w:rPr>
              <w:t>Regalías</w:t>
            </w:r>
          </w:p>
        </w:tc>
        <w:tc>
          <w:tcPr>
            <w:tcW w:w="2126" w:type="dxa"/>
            <w:tcBorders>
              <w:top w:val="nil"/>
              <w:left w:val="single" w:sz="8" w:space="0" w:color="auto"/>
              <w:bottom w:val="nil"/>
              <w:right w:val="single" w:sz="4" w:space="0" w:color="auto"/>
            </w:tcBorders>
            <w:shd w:val="clear" w:color="auto" w:fill="auto"/>
            <w:noWrap/>
            <w:vAlign w:val="bottom"/>
            <w:hideMark/>
          </w:tcPr>
          <w:p w14:paraId="068CA699"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5CDFFA12" w14:textId="77777777" w:rsidR="009B5E50" w:rsidRPr="007B0314" w:rsidRDefault="009B5E50" w:rsidP="009B5E50">
            <w:pPr>
              <w:jc w:val="center"/>
              <w:rPr>
                <w:lang w:val="es-GT" w:eastAsia="es-GT"/>
              </w:rPr>
            </w:pPr>
            <w:r w:rsidRPr="007B0314">
              <w:rPr>
                <w:lang w:val="es-GT" w:eastAsia="es-GT"/>
              </w:rPr>
              <w:t>0.0</w:t>
            </w:r>
          </w:p>
        </w:tc>
      </w:tr>
      <w:tr w:rsidR="009B5E50" w:rsidRPr="007B0314" w14:paraId="2A25B524"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0EC52095" w14:textId="77777777" w:rsidR="009B5E50" w:rsidRPr="007B0314" w:rsidRDefault="009B5E50" w:rsidP="009B5E50">
            <w:pPr>
              <w:ind w:firstLineChars="400" w:firstLine="960"/>
              <w:rPr>
                <w:lang w:val="es-GT" w:eastAsia="es-GT"/>
              </w:rPr>
            </w:pPr>
            <w:r w:rsidRPr="007B0314">
              <w:rPr>
                <w:lang w:val="es-GT" w:eastAsia="es-GT"/>
              </w:rPr>
              <w:t>Salida del país</w:t>
            </w:r>
          </w:p>
        </w:tc>
        <w:tc>
          <w:tcPr>
            <w:tcW w:w="2126" w:type="dxa"/>
            <w:tcBorders>
              <w:top w:val="nil"/>
              <w:left w:val="single" w:sz="8" w:space="0" w:color="auto"/>
              <w:bottom w:val="nil"/>
              <w:right w:val="single" w:sz="4" w:space="0" w:color="auto"/>
            </w:tcBorders>
            <w:shd w:val="clear" w:color="auto" w:fill="auto"/>
            <w:noWrap/>
            <w:vAlign w:val="bottom"/>
            <w:hideMark/>
          </w:tcPr>
          <w:p w14:paraId="3B7FACB3"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2C112E30" w14:textId="77777777" w:rsidR="009B5E50" w:rsidRPr="007B0314" w:rsidRDefault="009B5E50" w:rsidP="009B5E50">
            <w:pPr>
              <w:jc w:val="center"/>
              <w:rPr>
                <w:lang w:val="es-GT" w:eastAsia="es-GT"/>
              </w:rPr>
            </w:pPr>
            <w:r w:rsidRPr="007B0314">
              <w:rPr>
                <w:lang w:val="es-GT" w:eastAsia="es-GT"/>
              </w:rPr>
              <w:t>0.0</w:t>
            </w:r>
          </w:p>
        </w:tc>
      </w:tr>
      <w:tr w:rsidR="009B5E50" w:rsidRPr="007B0314" w14:paraId="7C8260E2"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03A2E76B" w14:textId="77777777" w:rsidR="009B5E50" w:rsidRPr="007B0314" w:rsidRDefault="009B5E50" w:rsidP="009B5E50">
            <w:pPr>
              <w:ind w:firstLineChars="400" w:firstLine="960"/>
              <w:rPr>
                <w:lang w:val="es-GT" w:eastAsia="es-GT"/>
              </w:rPr>
            </w:pPr>
            <w:r w:rsidRPr="007B0314">
              <w:rPr>
                <w:lang w:val="es-GT" w:eastAsia="es-GT"/>
              </w:rPr>
              <w:t>Impuestos específicos</w:t>
            </w:r>
          </w:p>
        </w:tc>
        <w:tc>
          <w:tcPr>
            <w:tcW w:w="2126" w:type="dxa"/>
            <w:tcBorders>
              <w:top w:val="nil"/>
              <w:left w:val="single" w:sz="8" w:space="0" w:color="auto"/>
              <w:bottom w:val="nil"/>
              <w:right w:val="single" w:sz="4" w:space="0" w:color="auto"/>
            </w:tcBorders>
            <w:shd w:val="clear" w:color="auto" w:fill="auto"/>
            <w:noWrap/>
            <w:vAlign w:val="bottom"/>
            <w:hideMark/>
          </w:tcPr>
          <w:p w14:paraId="1B94B656" w14:textId="77777777" w:rsidR="009B5E50" w:rsidRPr="007B0314" w:rsidRDefault="009B5E50" w:rsidP="009B5E50">
            <w:pPr>
              <w:jc w:val="center"/>
              <w:rPr>
                <w:lang w:val="es-GT" w:eastAsia="es-GT"/>
              </w:rPr>
            </w:pPr>
            <w:r w:rsidRPr="007B0314">
              <w:rPr>
                <w:lang w:val="es-GT" w:eastAsia="es-GT"/>
              </w:rPr>
              <w:t>0.2</w:t>
            </w:r>
          </w:p>
        </w:tc>
        <w:tc>
          <w:tcPr>
            <w:tcW w:w="1985" w:type="dxa"/>
            <w:tcBorders>
              <w:top w:val="nil"/>
              <w:left w:val="nil"/>
              <w:bottom w:val="nil"/>
              <w:right w:val="single" w:sz="8" w:space="0" w:color="auto"/>
            </w:tcBorders>
            <w:shd w:val="clear" w:color="auto" w:fill="auto"/>
            <w:noWrap/>
            <w:vAlign w:val="bottom"/>
            <w:hideMark/>
          </w:tcPr>
          <w:p w14:paraId="3323B924" w14:textId="77777777" w:rsidR="009B5E50" w:rsidRPr="007B0314" w:rsidRDefault="009B5E50" w:rsidP="009B5E50">
            <w:pPr>
              <w:jc w:val="center"/>
              <w:rPr>
                <w:lang w:val="es-GT" w:eastAsia="es-GT"/>
              </w:rPr>
            </w:pPr>
            <w:r w:rsidRPr="007B0314">
              <w:rPr>
                <w:lang w:val="es-GT" w:eastAsia="es-GT"/>
              </w:rPr>
              <w:t>0.2</w:t>
            </w:r>
          </w:p>
        </w:tc>
      </w:tr>
      <w:tr w:rsidR="009B5E50" w:rsidRPr="007B0314" w14:paraId="2AC2CED4"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30CBB0E5" w14:textId="77777777" w:rsidR="009B5E50" w:rsidRPr="007B0314" w:rsidRDefault="009B5E50" w:rsidP="009B5E50">
            <w:pPr>
              <w:ind w:firstLineChars="500" w:firstLine="1200"/>
              <w:rPr>
                <w:lang w:val="es-GT" w:eastAsia="es-GT"/>
              </w:rPr>
            </w:pPr>
            <w:r w:rsidRPr="007B0314">
              <w:rPr>
                <w:lang w:val="es-GT" w:eastAsia="es-GT"/>
              </w:rPr>
              <w:t>Alcoholes y bebidas</w:t>
            </w:r>
          </w:p>
        </w:tc>
        <w:tc>
          <w:tcPr>
            <w:tcW w:w="2126" w:type="dxa"/>
            <w:tcBorders>
              <w:top w:val="nil"/>
              <w:left w:val="single" w:sz="8" w:space="0" w:color="auto"/>
              <w:bottom w:val="nil"/>
              <w:right w:val="single" w:sz="4" w:space="0" w:color="auto"/>
            </w:tcBorders>
            <w:shd w:val="clear" w:color="auto" w:fill="auto"/>
            <w:noWrap/>
            <w:vAlign w:val="bottom"/>
            <w:hideMark/>
          </w:tcPr>
          <w:p w14:paraId="114DFF29" w14:textId="77777777" w:rsidR="009B5E50" w:rsidRPr="007B0314" w:rsidRDefault="009B5E50" w:rsidP="009B5E50">
            <w:pPr>
              <w:jc w:val="center"/>
              <w:rPr>
                <w:lang w:val="es-GT" w:eastAsia="es-GT"/>
              </w:rPr>
            </w:pPr>
            <w:r w:rsidRPr="007B0314">
              <w:rPr>
                <w:lang w:val="es-GT" w:eastAsia="es-GT"/>
              </w:rPr>
              <w:t>0.1</w:t>
            </w:r>
          </w:p>
        </w:tc>
        <w:tc>
          <w:tcPr>
            <w:tcW w:w="1985" w:type="dxa"/>
            <w:tcBorders>
              <w:top w:val="nil"/>
              <w:left w:val="nil"/>
              <w:bottom w:val="nil"/>
              <w:right w:val="single" w:sz="8" w:space="0" w:color="auto"/>
            </w:tcBorders>
            <w:shd w:val="clear" w:color="auto" w:fill="auto"/>
            <w:noWrap/>
            <w:vAlign w:val="bottom"/>
            <w:hideMark/>
          </w:tcPr>
          <w:p w14:paraId="784283AF" w14:textId="77777777" w:rsidR="009B5E50" w:rsidRPr="007B0314" w:rsidRDefault="009B5E50" w:rsidP="009B5E50">
            <w:pPr>
              <w:jc w:val="center"/>
              <w:rPr>
                <w:lang w:val="es-GT" w:eastAsia="es-GT"/>
              </w:rPr>
            </w:pPr>
            <w:r w:rsidRPr="007B0314">
              <w:rPr>
                <w:lang w:val="es-GT" w:eastAsia="es-GT"/>
              </w:rPr>
              <w:t>0.2</w:t>
            </w:r>
          </w:p>
        </w:tc>
      </w:tr>
      <w:tr w:rsidR="009B5E50" w:rsidRPr="007B0314" w14:paraId="66B742C5"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0E857768" w14:textId="77777777" w:rsidR="009B5E50" w:rsidRPr="007B0314" w:rsidRDefault="009B5E50" w:rsidP="009B5E50">
            <w:pPr>
              <w:ind w:firstLineChars="500" w:firstLine="1200"/>
              <w:rPr>
                <w:lang w:val="es-GT" w:eastAsia="es-GT"/>
              </w:rPr>
            </w:pPr>
            <w:r w:rsidRPr="007B0314">
              <w:rPr>
                <w:lang w:val="es-GT" w:eastAsia="es-GT"/>
              </w:rPr>
              <w:t>Tabaco</w:t>
            </w:r>
          </w:p>
        </w:tc>
        <w:tc>
          <w:tcPr>
            <w:tcW w:w="2126" w:type="dxa"/>
            <w:tcBorders>
              <w:top w:val="nil"/>
              <w:left w:val="single" w:sz="8" w:space="0" w:color="auto"/>
              <w:bottom w:val="nil"/>
              <w:right w:val="single" w:sz="4" w:space="0" w:color="auto"/>
            </w:tcBorders>
            <w:shd w:val="clear" w:color="auto" w:fill="auto"/>
            <w:noWrap/>
            <w:vAlign w:val="bottom"/>
            <w:hideMark/>
          </w:tcPr>
          <w:p w14:paraId="314282D6"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5FA20C1B" w14:textId="77777777" w:rsidR="009B5E50" w:rsidRPr="007B0314" w:rsidRDefault="009B5E50" w:rsidP="009B5E50">
            <w:pPr>
              <w:jc w:val="center"/>
              <w:rPr>
                <w:lang w:val="es-GT" w:eastAsia="es-GT"/>
              </w:rPr>
            </w:pPr>
            <w:r w:rsidRPr="007B0314">
              <w:rPr>
                <w:lang w:val="es-GT" w:eastAsia="es-GT"/>
              </w:rPr>
              <w:t>0.0</w:t>
            </w:r>
          </w:p>
        </w:tc>
      </w:tr>
      <w:tr w:rsidR="009B5E50" w:rsidRPr="007B0314" w14:paraId="32874FD5"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1F896D0A" w14:textId="77777777" w:rsidR="009B5E50" w:rsidRPr="007B0314" w:rsidRDefault="009B5E50" w:rsidP="009B5E50">
            <w:pPr>
              <w:ind w:firstLineChars="400" w:firstLine="960"/>
              <w:rPr>
                <w:lang w:val="es-GT" w:eastAsia="es-GT"/>
              </w:rPr>
            </w:pPr>
            <w:r w:rsidRPr="007B0314">
              <w:rPr>
                <w:lang w:val="es-GT" w:eastAsia="es-GT"/>
              </w:rPr>
              <w:t>Distribución de cemento</w:t>
            </w:r>
          </w:p>
        </w:tc>
        <w:tc>
          <w:tcPr>
            <w:tcW w:w="2126" w:type="dxa"/>
            <w:tcBorders>
              <w:top w:val="nil"/>
              <w:left w:val="single" w:sz="8" w:space="0" w:color="auto"/>
              <w:bottom w:val="nil"/>
              <w:right w:val="single" w:sz="4" w:space="0" w:color="auto"/>
            </w:tcBorders>
            <w:shd w:val="clear" w:color="auto" w:fill="auto"/>
            <w:noWrap/>
            <w:vAlign w:val="bottom"/>
            <w:hideMark/>
          </w:tcPr>
          <w:p w14:paraId="7628DA91"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1855E6E3" w14:textId="77777777" w:rsidR="009B5E50" w:rsidRPr="007B0314" w:rsidRDefault="009B5E50" w:rsidP="009B5E50">
            <w:pPr>
              <w:jc w:val="center"/>
              <w:rPr>
                <w:lang w:val="es-GT" w:eastAsia="es-GT"/>
              </w:rPr>
            </w:pPr>
            <w:r w:rsidRPr="007B0314">
              <w:rPr>
                <w:lang w:val="es-GT" w:eastAsia="es-GT"/>
              </w:rPr>
              <w:t>0.0</w:t>
            </w:r>
          </w:p>
        </w:tc>
      </w:tr>
      <w:tr w:rsidR="009B5E50" w:rsidRPr="007B0314" w14:paraId="07776C2A"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0C0E6F28" w14:textId="77777777" w:rsidR="009B5E50" w:rsidRPr="007B0314" w:rsidRDefault="009B5E50" w:rsidP="009B5E50">
            <w:pPr>
              <w:ind w:firstLineChars="400" w:firstLine="960"/>
              <w:rPr>
                <w:lang w:val="es-GT" w:eastAsia="es-GT"/>
              </w:rPr>
            </w:pPr>
            <w:r w:rsidRPr="007B0314">
              <w:rPr>
                <w:lang w:val="es-GT" w:eastAsia="es-GT"/>
              </w:rPr>
              <w:t>Otros indirectos</w:t>
            </w:r>
          </w:p>
        </w:tc>
        <w:tc>
          <w:tcPr>
            <w:tcW w:w="2126" w:type="dxa"/>
            <w:tcBorders>
              <w:top w:val="nil"/>
              <w:left w:val="single" w:sz="8" w:space="0" w:color="auto"/>
              <w:bottom w:val="nil"/>
              <w:right w:val="single" w:sz="4" w:space="0" w:color="auto"/>
            </w:tcBorders>
            <w:shd w:val="clear" w:color="auto" w:fill="auto"/>
            <w:noWrap/>
            <w:vAlign w:val="bottom"/>
            <w:hideMark/>
          </w:tcPr>
          <w:p w14:paraId="20CAFDAB" w14:textId="77777777" w:rsidR="009B5E50" w:rsidRPr="007B0314" w:rsidRDefault="009B5E50" w:rsidP="009B5E50">
            <w:pPr>
              <w:jc w:val="center"/>
              <w:rPr>
                <w:lang w:val="es-GT" w:eastAsia="es-GT"/>
              </w:rPr>
            </w:pPr>
            <w:r w:rsidRPr="007B0314">
              <w:rPr>
                <w:lang w:val="es-GT" w:eastAsia="es-GT"/>
              </w:rPr>
              <w:t>0.3</w:t>
            </w:r>
          </w:p>
        </w:tc>
        <w:tc>
          <w:tcPr>
            <w:tcW w:w="1985" w:type="dxa"/>
            <w:tcBorders>
              <w:top w:val="nil"/>
              <w:left w:val="nil"/>
              <w:bottom w:val="nil"/>
              <w:right w:val="single" w:sz="8" w:space="0" w:color="auto"/>
            </w:tcBorders>
            <w:shd w:val="clear" w:color="auto" w:fill="auto"/>
            <w:noWrap/>
            <w:vAlign w:val="bottom"/>
            <w:hideMark/>
          </w:tcPr>
          <w:p w14:paraId="26723C13" w14:textId="77777777" w:rsidR="009B5E50" w:rsidRPr="007B0314" w:rsidRDefault="009B5E50" w:rsidP="009B5E50">
            <w:pPr>
              <w:jc w:val="center"/>
              <w:rPr>
                <w:lang w:val="es-GT" w:eastAsia="es-GT"/>
              </w:rPr>
            </w:pPr>
            <w:r w:rsidRPr="007B0314">
              <w:rPr>
                <w:lang w:val="es-GT" w:eastAsia="es-GT"/>
              </w:rPr>
              <w:t>0.0</w:t>
            </w:r>
          </w:p>
        </w:tc>
      </w:tr>
      <w:tr w:rsidR="009B5E50" w:rsidRPr="007B0314" w14:paraId="67D0964D" w14:textId="77777777" w:rsidTr="007B0314">
        <w:trPr>
          <w:trHeight w:val="435"/>
        </w:trPr>
        <w:tc>
          <w:tcPr>
            <w:tcW w:w="5235" w:type="dxa"/>
            <w:tcBorders>
              <w:top w:val="nil"/>
              <w:left w:val="single" w:sz="8" w:space="0" w:color="auto"/>
              <w:bottom w:val="nil"/>
              <w:right w:val="single" w:sz="8" w:space="0" w:color="auto"/>
            </w:tcBorders>
            <w:shd w:val="clear" w:color="auto" w:fill="auto"/>
            <w:noWrap/>
            <w:vAlign w:val="bottom"/>
            <w:hideMark/>
          </w:tcPr>
          <w:p w14:paraId="0B7D30C6" w14:textId="77777777" w:rsidR="009B5E50" w:rsidRPr="007B0314" w:rsidRDefault="009B5E50" w:rsidP="009B5E50">
            <w:pPr>
              <w:ind w:firstLineChars="200" w:firstLine="482"/>
              <w:rPr>
                <w:b/>
                <w:bCs/>
                <w:lang w:val="es-GT" w:eastAsia="es-GT"/>
              </w:rPr>
            </w:pPr>
            <w:r w:rsidRPr="007B0314">
              <w:rPr>
                <w:b/>
                <w:bCs/>
                <w:lang w:val="es-GT" w:eastAsia="es-GT"/>
              </w:rPr>
              <w:t xml:space="preserve">No Tributarios y transferencias </w:t>
            </w:r>
          </w:p>
        </w:tc>
        <w:tc>
          <w:tcPr>
            <w:tcW w:w="2126" w:type="dxa"/>
            <w:tcBorders>
              <w:top w:val="nil"/>
              <w:left w:val="single" w:sz="8" w:space="0" w:color="auto"/>
              <w:bottom w:val="nil"/>
              <w:right w:val="single" w:sz="4" w:space="0" w:color="auto"/>
            </w:tcBorders>
            <w:shd w:val="clear" w:color="auto" w:fill="auto"/>
            <w:noWrap/>
            <w:vAlign w:val="bottom"/>
            <w:hideMark/>
          </w:tcPr>
          <w:p w14:paraId="5CC4C12B" w14:textId="77777777" w:rsidR="009B5E50" w:rsidRPr="007B0314" w:rsidRDefault="009B5E50" w:rsidP="009B5E50">
            <w:pPr>
              <w:jc w:val="center"/>
              <w:rPr>
                <w:b/>
                <w:bCs/>
                <w:lang w:val="es-GT" w:eastAsia="es-GT"/>
              </w:rPr>
            </w:pPr>
            <w:r w:rsidRPr="007B0314">
              <w:rPr>
                <w:b/>
                <w:bCs/>
                <w:lang w:val="es-GT" w:eastAsia="es-GT"/>
              </w:rPr>
              <w:t>0.6</w:t>
            </w:r>
          </w:p>
        </w:tc>
        <w:tc>
          <w:tcPr>
            <w:tcW w:w="1985" w:type="dxa"/>
            <w:tcBorders>
              <w:top w:val="nil"/>
              <w:left w:val="nil"/>
              <w:bottom w:val="nil"/>
              <w:right w:val="single" w:sz="8" w:space="0" w:color="auto"/>
            </w:tcBorders>
            <w:shd w:val="clear" w:color="auto" w:fill="auto"/>
            <w:noWrap/>
            <w:vAlign w:val="bottom"/>
            <w:hideMark/>
          </w:tcPr>
          <w:p w14:paraId="03337307" w14:textId="77777777" w:rsidR="009B5E50" w:rsidRPr="007B0314" w:rsidRDefault="009B5E50" w:rsidP="009B5E50">
            <w:pPr>
              <w:jc w:val="center"/>
              <w:rPr>
                <w:b/>
                <w:bCs/>
                <w:color w:val="000000"/>
                <w:lang w:val="es-GT" w:eastAsia="es-GT"/>
              </w:rPr>
            </w:pPr>
            <w:r w:rsidRPr="007B0314">
              <w:rPr>
                <w:b/>
                <w:bCs/>
                <w:color w:val="000000"/>
                <w:lang w:val="es-GT" w:eastAsia="es-GT"/>
              </w:rPr>
              <w:t>0.6</w:t>
            </w:r>
          </w:p>
        </w:tc>
      </w:tr>
      <w:tr w:rsidR="009B5E50" w:rsidRPr="007B0314" w14:paraId="29A2287E"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4823021C" w14:textId="77777777" w:rsidR="009B5E50" w:rsidRPr="007B0314" w:rsidRDefault="009B5E50" w:rsidP="009B5E50">
            <w:pPr>
              <w:ind w:firstLineChars="300" w:firstLine="720"/>
              <w:rPr>
                <w:lang w:val="es-GT" w:eastAsia="es-GT"/>
              </w:rPr>
            </w:pPr>
            <w:r w:rsidRPr="007B0314">
              <w:rPr>
                <w:lang w:val="es-GT" w:eastAsia="es-GT"/>
              </w:rPr>
              <w:t>Contribuciones a la seguridad social</w:t>
            </w:r>
          </w:p>
        </w:tc>
        <w:tc>
          <w:tcPr>
            <w:tcW w:w="2126" w:type="dxa"/>
            <w:tcBorders>
              <w:top w:val="nil"/>
              <w:left w:val="single" w:sz="8" w:space="0" w:color="auto"/>
              <w:bottom w:val="nil"/>
              <w:right w:val="single" w:sz="4" w:space="0" w:color="auto"/>
            </w:tcBorders>
            <w:shd w:val="clear" w:color="auto" w:fill="auto"/>
            <w:noWrap/>
            <w:vAlign w:val="bottom"/>
            <w:hideMark/>
          </w:tcPr>
          <w:p w14:paraId="0214B981" w14:textId="77777777" w:rsidR="009B5E50" w:rsidRPr="007B0314" w:rsidRDefault="009B5E50" w:rsidP="009B5E50">
            <w:pPr>
              <w:jc w:val="center"/>
              <w:rPr>
                <w:lang w:val="es-GT" w:eastAsia="es-GT"/>
              </w:rPr>
            </w:pPr>
            <w:r w:rsidRPr="007B0314">
              <w:rPr>
                <w:lang w:val="es-GT" w:eastAsia="es-GT"/>
              </w:rPr>
              <w:t>0.4</w:t>
            </w:r>
          </w:p>
        </w:tc>
        <w:tc>
          <w:tcPr>
            <w:tcW w:w="1985" w:type="dxa"/>
            <w:tcBorders>
              <w:top w:val="nil"/>
              <w:left w:val="nil"/>
              <w:bottom w:val="nil"/>
              <w:right w:val="single" w:sz="8" w:space="0" w:color="auto"/>
            </w:tcBorders>
            <w:shd w:val="clear" w:color="auto" w:fill="auto"/>
            <w:noWrap/>
            <w:vAlign w:val="bottom"/>
            <w:hideMark/>
          </w:tcPr>
          <w:p w14:paraId="701D285B" w14:textId="77777777" w:rsidR="009B5E50" w:rsidRPr="007B0314" w:rsidRDefault="009B5E50" w:rsidP="009B5E50">
            <w:pPr>
              <w:jc w:val="center"/>
              <w:rPr>
                <w:lang w:val="es-GT" w:eastAsia="es-GT"/>
              </w:rPr>
            </w:pPr>
            <w:r w:rsidRPr="007B0314">
              <w:rPr>
                <w:lang w:val="es-GT" w:eastAsia="es-GT"/>
              </w:rPr>
              <w:t>0.4</w:t>
            </w:r>
          </w:p>
        </w:tc>
      </w:tr>
      <w:tr w:rsidR="009B5E50" w:rsidRPr="007B0314" w14:paraId="3192F333"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4CF836E0" w14:textId="77777777" w:rsidR="009B5E50" w:rsidRPr="007B0314" w:rsidRDefault="009B5E50" w:rsidP="009B5E50">
            <w:pPr>
              <w:ind w:firstLineChars="300" w:firstLine="720"/>
              <w:rPr>
                <w:lang w:val="es-GT" w:eastAsia="es-GT"/>
              </w:rPr>
            </w:pPr>
            <w:r w:rsidRPr="007B0314">
              <w:rPr>
                <w:lang w:val="es-GT" w:eastAsia="es-GT"/>
              </w:rPr>
              <w:t>Donaciones</w:t>
            </w:r>
          </w:p>
        </w:tc>
        <w:tc>
          <w:tcPr>
            <w:tcW w:w="2126" w:type="dxa"/>
            <w:tcBorders>
              <w:top w:val="nil"/>
              <w:left w:val="single" w:sz="8" w:space="0" w:color="auto"/>
              <w:bottom w:val="nil"/>
              <w:right w:val="single" w:sz="4" w:space="0" w:color="auto"/>
            </w:tcBorders>
            <w:shd w:val="clear" w:color="auto" w:fill="auto"/>
            <w:noWrap/>
            <w:vAlign w:val="bottom"/>
            <w:hideMark/>
          </w:tcPr>
          <w:p w14:paraId="695E05B1"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570D3ABB" w14:textId="77777777" w:rsidR="009B5E50" w:rsidRPr="007B0314" w:rsidRDefault="009B5E50" w:rsidP="009B5E50">
            <w:pPr>
              <w:jc w:val="center"/>
              <w:rPr>
                <w:lang w:val="es-GT" w:eastAsia="es-GT"/>
              </w:rPr>
            </w:pPr>
            <w:r w:rsidRPr="007B0314">
              <w:rPr>
                <w:lang w:val="es-GT" w:eastAsia="es-GT"/>
              </w:rPr>
              <w:t>0.0</w:t>
            </w:r>
          </w:p>
        </w:tc>
      </w:tr>
      <w:tr w:rsidR="009B5E50" w:rsidRPr="007B0314" w14:paraId="6242575B" w14:textId="77777777" w:rsidTr="007B0314">
        <w:trPr>
          <w:trHeight w:val="255"/>
        </w:trPr>
        <w:tc>
          <w:tcPr>
            <w:tcW w:w="5235" w:type="dxa"/>
            <w:tcBorders>
              <w:top w:val="nil"/>
              <w:left w:val="single" w:sz="8" w:space="0" w:color="auto"/>
              <w:bottom w:val="nil"/>
              <w:right w:val="single" w:sz="8" w:space="0" w:color="auto"/>
            </w:tcBorders>
            <w:shd w:val="clear" w:color="auto" w:fill="auto"/>
            <w:noWrap/>
            <w:vAlign w:val="bottom"/>
            <w:hideMark/>
          </w:tcPr>
          <w:p w14:paraId="6D88A824" w14:textId="77777777" w:rsidR="009B5E50" w:rsidRPr="007B0314" w:rsidRDefault="009B5E50" w:rsidP="009B5E50">
            <w:pPr>
              <w:ind w:firstLineChars="300" w:firstLine="720"/>
              <w:rPr>
                <w:lang w:val="es-GT" w:eastAsia="es-GT"/>
              </w:rPr>
            </w:pPr>
            <w:r w:rsidRPr="007B0314">
              <w:rPr>
                <w:lang w:val="es-GT" w:eastAsia="es-GT"/>
              </w:rPr>
              <w:t>Otros</w:t>
            </w:r>
          </w:p>
        </w:tc>
        <w:tc>
          <w:tcPr>
            <w:tcW w:w="2126" w:type="dxa"/>
            <w:tcBorders>
              <w:top w:val="nil"/>
              <w:left w:val="single" w:sz="8" w:space="0" w:color="auto"/>
              <w:bottom w:val="nil"/>
              <w:right w:val="single" w:sz="4" w:space="0" w:color="auto"/>
            </w:tcBorders>
            <w:shd w:val="clear" w:color="auto" w:fill="auto"/>
            <w:noWrap/>
            <w:vAlign w:val="bottom"/>
            <w:hideMark/>
          </w:tcPr>
          <w:p w14:paraId="2EA76B42" w14:textId="77777777" w:rsidR="009B5E50" w:rsidRPr="007B0314" w:rsidRDefault="009B5E50" w:rsidP="009B5E50">
            <w:pPr>
              <w:jc w:val="center"/>
              <w:rPr>
                <w:lang w:val="es-GT" w:eastAsia="es-GT"/>
              </w:rPr>
            </w:pPr>
            <w:r w:rsidRPr="007B0314">
              <w:rPr>
                <w:lang w:val="es-GT" w:eastAsia="es-GT"/>
              </w:rPr>
              <w:t>0.2</w:t>
            </w:r>
          </w:p>
        </w:tc>
        <w:tc>
          <w:tcPr>
            <w:tcW w:w="1985" w:type="dxa"/>
            <w:tcBorders>
              <w:top w:val="nil"/>
              <w:left w:val="nil"/>
              <w:bottom w:val="nil"/>
              <w:right w:val="single" w:sz="8" w:space="0" w:color="auto"/>
            </w:tcBorders>
            <w:shd w:val="clear" w:color="auto" w:fill="auto"/>
            <w:noWrap/>
            <w:vAlign w:val="bottom"/>
            <w:hideMark/>
          </w:tcPr>
          <w:p w14:paraId="67CA9851" w14:textId="77777777" w:rsidR="009B5E50" w:rsidRPr="007B0314" w:rsidRDefault="009B5E50" w:rsidP="009B5E50">
            <w:pPr>
              <w:jc w:val="center"/>
              <w:rPr>
                <w:lang w:val="es-GT" w:eastAsia="es-GT"/>
              </w:rPr>
            </w:pPr>
            <w:r w:rsidRPr="007B0314">
              <w:rPr>
                <w:lang w:val="es-GT" w:eastAsia="es-GT"/>
              </w:rPr>
              <w:t>0.2</w:t>
            </w:r>
          </w:p>
        </w:tc>
      </w:tr>
      <w:tr w:rsidR="009B5E50" w:rsidRPr="007B0314" w14:paraId="6E2EF02E" w14:textId="77777777" w:rsidTr="007B0314">
        <w:trPr>
          <w:trHeight w:val="360"/>
        </w:trPr>
        <w:tc>
          <w:tcPr>
            <w:tcW w:w="5235" w:type="dxa"/>
            <w:tcBorders>
              <w:top w:val="nil"/>
              <w:left w:val="single" w:sz="8" w:space="0" w:color="auto"/>
              <w:bottom w:val="single" w:sz="8" w:space="0" w:color="auto"/>
              <w:right w:val="single" w:sz="8" w:space="0" w:color="auto"/>
            </w:tcBorders>
            <w:shd w:val="clear" w:color="auto" w:fill="auto"/>
            <w:noWrap/>
            <w:vAlign w:val="bottom"/>
            <w:hideMark/>
          </w:tcPr>
          <w:p w14:paraId="261E2889" w14:textId="77777777" w:rsidR="009B5E50" w:rsidRPr="007B0314" w:rsidRDefault="009B5E50" w:rsidP="009B5E50">
            <w:pPr>
              <w:ind w:firstLineChars="100" w:firstLine="241"/>
              <w:rPr>
                <w:b/>
                <w:bCs/>
                <w:lang w:val="es-GT" w:eastAsia="es-GT"/>
              </w:rPr>
            </w:pPr>
            <w:r w:rsidRPr="007B0314">
              <w:rPr>
                <w:b/>
                <w:bCs/>
                <w:lang w:val="es-GT" w:eastAsia="es-GT"/>
              </w:rPr>
              <w:t>Ingresos de capital</w:t>
            </w:r>
          </w:p>
        </w:tc>
        <w:tc>
          <w:tcPr>
            <w:tcW w:w="2126" w:type="dxa"/>
            <w:tcBorders>
              <w:top w:val="nil"/>
              <w:left w:val="nil"/>
              <w:bottom w:val="single" w:sz="8" w:space="0" w:color="auto"/>
              <w:right w:val="single" w:sz="4" w:space="0" w:color="auto"/>
            </w:tcBorders>
            <w:shd w:val="clear" w:color="auto" w:fill="auto"/>
            <w:noWrap/>
            <w:vAlign w:val="bottom"/>
            <w:hideMark/>
          </w:tcPr>
          <w:p w14:paraId="6E05C784" w14:textId="77777777" w:rsidR="009B5E50" w:rsidRPr="007B0314" w:rsidRDefault="009B5E50" w:rsidP="009B5E50">
            <w:pPr>
              <w:jc w:val="center"/>
              <w:rPr>
                <w:b/>
                <w:bCs/>
                <w:lang w:val="es-GT" w:eastAsia="es-GT"/>
              </w:rPr>
            </w:pPr>
            <w:r w:rsidRPr="007B0314">
              <w:rPr>
                <w:b/>
                <w:bCs/>
                <w:lang w:val="es-GT" w:eastAsia="es-GT"/>
              </w:rPr>
              <w:t>0.0</w:t>
            </w:r>
          </w:p>
        </w:tc>
        <w:tc>
          <w:tcPr>
            <w:tcW w:w="1985" w:type="dxa"/>
            <w:tcBorders>
              <w:top w:val="nil"/>
              <w:left w:val="nil"/>
              <w:bottom w:val="single" w:sz="8" w:space="0" w:color="auto"/>
              <w:right w:val="single" w:sz="8" w:space="0" w:color="auto"/>
            </w:tcBorders>
            <w:shd w:val="clear" w:color="auto" w:fill="auto"/>
            <w:noWrap/>
            <w:vAlign w:val="bottom"/>
            <w:hideMark/>
          </w:tcPr>
          <w:p w14:paraId="6EC3F22F" w14:textId="77777777" w:rsidR="009B5E50" w:rsidRPr="007B0314" w:rsidRDefault="009B5E50" w:rsidP="009B5E50">
            <w:pPr>
              <w:jc w:val="center"/>
              <w:rPr>
                <w:b/>
                <w:bCs/>
                <w:lang w:val="es-GT" w:eastAsia="es-GT"/>
              </w:rPr>
            </w:pPr>
            <w:r w:rsidRPr="007B0314">
              <w:rPr>
                <w:b/>
                <w:bCs/>
                <w:lang w:val="es-GT" w:eastAsia="es-GT"/>
              </w:rPr>
              <w:t>0.0</w:t>
            </w:r>
          </w:p>
        </w:tc>
      </w:tr>
    </w:tbl>
    <w:p w14:paraId="1F4A3F1A" w14:textId="7E63941F" w:rsidR="009B5E50" w:rsidRDefault="009B5E50" w:rsidP="004E7459">
      <w:pPr>
        <w:pStyle w:val="Prrafodelista"/>
        <w:ind w:left="0"/>
        <w:jc w:val="center"/>
        <w:rPr>
          <w:b/>
          <w:lang w:val="es-MX"/>
        </w:rPr>
      </w:pPr>
    </w:p>
    <w:p w14:paraId="4D3654A2" w14:textId="3859AFEE" w:rsidR="009B5E50" w:rsidRDefault="009B5E50" w:rsidP="004E7459">
      <w:pPr>
        <w:pStyle w:val="Prrafodelista"/>
        <w:ind w:left="0"/>
        <w:jc w:val="center"/>
        <w:rPr>
          <w:b/>
          <w:lang w:val="es-MX"/>
        </w:rPr>
      </w:pPr>
    </w:p>
    <w:p w14:paraId="63BF1892" w14:textId="351E9472" w:rsidR="009B5E50" w:rsidRDefault="009B5E50" w:rsidP="004E7459">
      <w:pPr>
        <w:pStyle w:val="Prrafodelista"/>
        <w:ind w:left="0"/>
        <w:jc w:val="center"/>
        <w:rPr>
          <w:b/>
          <w:lang w:val="es-MX"/>
        </w:rPr>
      </w:pPr>
    </w:p>
    <w:p w14:paraId="39EF5013" w14:textId="1E1801DF" w:rsidR="00A74391" w:rsidRPr="00A27A47" w:rsidRDefault="00A74391" w:rsidP="004E7459">
      <w:pPr>
        <w:jc w:val="center"/>
        <w:rPr>
          <w:b/>
          <w:lang w:val="es-MX"/>
        </w:rPr>
      </w:pPr>
      <w:r w:rsidRPr="00A27A47">
        <w:rPr>
          <w:b/>
          <w:lang w:val="es-MX"/>
        </w:rPr>
        <w:t xml:space="preserve">Cuadro </w:t>
      </w:r>
      <w:r w:rsidR="002B5EF3" w:rsidRPr="00A27A47">
        <w:rPr>
          <w:b/>
          <w:lang w:val="es-MX"/>
        </w:rPr>
        <w:t>2</w:t>
      </w:r>
      <w:r w:rsidR="00BC0150">
        <w:rPr>
          <w:b/>
          <w:lang w:val="es-MX"/>
        </w:rPr>
        <w:t>9</w:t>
      </w:r>
      <w:r w:rsidRPr="00A27A47">
        <w:rPr>
          <w:b/>
          <w:lang w:val="es-MX"/>
        </w:rPr>
        <w:t xml:space="preserve"> (</w:t>
      </w:r>
      <w:r w:rsidR="00C120D1">
        <w:rPr>
          <w:b/>
          <w:lang w:val="es-MX"/>
        </w:rPr>
        <w:t>2/2</w:t>
      </w:r>
      <w:r w:rsidRPr="00A27A47">
        <w:rPr>
          <w:b/>
          <w:lang w:val="es-MX"/>
        </w:rPr>
        <w:t>)</w:t>
      </w:r>
    </w:p>
    <w:p w14:paraId="2CDFB302" w14:textId="77777777" w:rsidR="00A74391" w:rsidRPr="00A27A47" w:rsidRDefault="00A74391" w:rsidP="004E7459">
      <w:pPr>
        <w:jc w:val="center"/>
        <w:rPr>
          <w:b/>
          <w:lang w:val="es-MX"/>
        </w:rPr>
      </w:pPr>
      <w:r w:rsidRPr="00A27A47">
        <w:rPr>
          <w:b/>
          <w:lang w:val="es-MX"/>
        </w:rPr>
        <w:t>Situación Financiera</w:t>
      </w:r>
    </w:p>
    <w:p w14:paraId="1CE31FDB" w14:textId="16593D57" w:rsidR="00A74391" w:rsidRPr="00A27A47" w:rsidRDefault="00A74391" w:rsidP="004E7459">
      <w:pPr>
        <w:jc w:val="center"/>
        <w:rPr>
          <w:b/>
          <w:lang w:val="es-MX"/>
        </w:rPr>
      </w:pPr>
      <w:r w:rsidRPr="00A27A47">
        <w:rPr>
          <w:b/>
          <w:lang w:val="es-MX"/>
        </w:rPr>
        <w:t>Presupuesto Aprobado y Estimación de Cierre 20</w:t>
      </w:r>
      <w:r w:rsidR="002339F0" w:rsidRPr="00A27A47">
        <w:rPr>
          <w:b/>
          <w:lang w:val="es-MX"/>
        </w:rPr>
        <w:t>2</w:t>
      </w:r>
      <w:r w:rsidR="007B0314">
        <w:rPr>
          <w:b/>
          <w:lang w:val="es-MX"/>
        </w:rPr>
        <w:t>3</w:t>
      </w:r>
    </w:p>
    <w:p w14:paraId="5049DD03" w14:textId="19C0FF56" w:rsidR="00A74391" w:rsidRDefault="00A74391" w:rsidP="004E7459">
      <w:pPr>
        <w:pStyle w:val="Prrafodelista"/>
        <w:ind w:left="0"/>
        <w:jc w:val="center"/>
        <w:rPr>
          <w:b/>
          <w:lang w:val="es-MX"/>
        </w:rPr>
      </w:pPr>
      <w:r w:rsidRPr="00A27A47">
        <w:rPr>
          <w:b/>
          <w:lang w:val="es-MX"/>
        </w:rPr>
        <w:t>(Cifras en Millones de Quetzales)</w:t>
      </w:r>
    </w:p>
    <w:tbl>
      <w:tblPr>
        <w:tblW w:w="9346" w:type="dxa"/>
        <w:tblCellMar>
          <w:left w:w="70" w:type="dxa"/>
          <w:right w:w="70" w:type="dxa"/>
        </w:tblCellMar>
        <w:tblLook w:val="04A0" w:firstRow="1" w:lastRow="0" w:firstColumn="1" w:lastColumn="0" w:noHBand="0" w:noVBand="1"/>
      </w:tblPr>
      <w:tblGrid>
        <w:gridCol w:w="5377"/>
        <w:gridCol w:w="1984"/>
        <w:gridCol w:w="1985"/>
      </w:tblGrid>
      <w:tr w:rsidR="009B5E50" w:rsidRPr="007B0314" w14:paraId="196961B3" w14:textId="77777777" w:rsidTr="007B0314">
        <w:trPr>
          <w:trHeight w:val="360"/>
        </w:trPr>
        <w:tc>
          <w:tcPr>
            <w:tcW w:w="5377"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14:paraId="447A6B0D" w14:textId="77777777" w:rsidR="009B5E50" w:rsidRPr="007B0314" w:rsidRDefault="009B5E50" w:rsidP="009B5E50">
            <w:pPr>
              <w:jc w:val="center"/>
              <w:rPr>
                <w:b/>
                <w:bCs/>
                <w:lang w:val="es-GT" w:eastAsia="es-GT"/>
              </w:rPr>
            </w:pPr>
            <w:r w:rsidRPr="007B0314">
              <w:rPr>
                <w:b/>
                <w:bCs/>
                <w:lang w:val="es-GT" w:eastAsia="es-GT"/>
              </w:rPr>
              <w:t>Concepto</w:t>
            </w:r>
          </w:p>
        </w:tc>
        <w:tc>
          <w:tcPr>
            <w:tcW w:w="3969" w:type="dxa"/>
            <w:gridSpan w:val="2"/>
            <w:tcBorders>
              <w:top w:val="single" w:sz="8" w:space="0" w:color="auto"/>
              <w:left w:val="nil"/>
              <w:bottom w:val="single" w:sz="8" w:space="0" w:color="auto"/>
              <w:right w:val="single" w:sz="8" w:space="0" w:color="000000"/>
            </w:tcBorders>
            <w:shd w:val="clear" w:color="000000" w:fill="00B0F0"/>
            <w:noWrap/>
            <w:vAlign w:val="center"/>
            <w:hideMark/>
          </w:tcPr>
          <w:p w14:paraId="27699AEE" w14:textId="77777777" w:rsidR="009B5E50" w:rsidRPr="007B0314" w:rsidRDefault="009B5E50" w:rsidP="009B5E50">
            <w:pPr>
              <w:jc w:val="center"/>
              <w:rPr>
                <w:b/>
                <w:bCs/>
                <w:lang w:val="es-GT" w:eastAsia="es-GT"/>
              </w:rPr>
            </w:pPr>
            <w:r w:rsidRPr="007B0314">
              <w:rPr>
                <w:b/>
                <w:bCs/>
                <w:lang w:val="es-GT" w:eastAsia="es-GT"/>
              </w:rPr>
              <w:t>2023</w:t>
            </w:r>
          </w:p>
        </w:tc>
      </w:tr>
      <w:tr w:rsidR="009B5E50" w:rsidRPr="007B0314" w14:paraId="576543E7" w14:textId="77777777" w:rsidTr="007B0314">
        <w:trPr>
          <w:trHeight w:val="465"/>
        </w:trPr>
        <w:tc>
          <w:tcPr>
            <w:tcW w:w="5377" w:type="dxa"/>
            <w:vMerge/>
            <w:tcBorders>
              <w:top w:val="single" w:sz="8" w:space="0" w:color="auto"/>
              <w:left w:val="single" w:sz="8" w:space="0" w:color="auto"/>
              <w:bottom w:val="single" w:sz="8" w:space="0" w:color="000000"/>
              <w:right w:val="single" w:sz="8" w:space="0" w:color="auto"/>
            </w:tcBorders>
            <w:vAlign w:val="center"/>
            <w:hideMark/>
          </w:tcPr>
          <w:p w14:paraId="7AD5BD35" w14:textId="77777777" w:rsidR="009B5E50" w:rsidRPr="007B0314" w:rsidRDefault="009B5E50" w:rsidP="009B5E50">
            <w:pPr>
              <w:rPr>
                <w:b/>
                <w:bCs/>
                <w:lang w:val="es-GT" w:eastAsia="es-GT"/>
              </w:rPr>
            </w:pPr>
          </w:p>
        </w:tc>
        <w:tc>
          <w:tcPr>
            <w:tcW w:w="1984" w:type="dxa"/>
            <w:tcBorders>
              <w:top w:val="nil"/>
              <w:left w:val="nil"/>
              <w:bottom w:val="single" w:sz="8" w:space="0" w:color="auto"/>
              <w:right w:val="single" w:sz="4" w:space="0" w:color="auto"/>
            </w:tcBorders>
            <w:shd w:val="clear" w:color="000000" w:fill="00B0F0"/>
            <w:vAlign w:val="center"/>
            <w:hideMark/>
          </w:tcPr>
          <w:p w14:paraId="74C88865" w14:textId="77777777" w:rsidR="009B5E50" w:rsidRPr="007B0314" w:rsidRDefault="009B5E50" w:rsidP="009B5E50">
            <w:pPr>
              <w:jc w:val="center"/>
              <w:rPr>
                <w:b/>
                <w:bCs/>
                <w:lang w:val="es-GT" w:eastAsia="es-GT"/>
              </w:rPr>
            </w:pPr>
            <w:r w:rsidRPr="007B0314">
              <w:rPr>
                <w:b/>
                <w:bCs/>
                <w:lang w:val="es-GT" w:eastAsia="es-GT"/>
              </w:rPr>
              <w:t xml:space="preserve">Presupuesto </w:t>
            </w:r>
          </w:p>
        </w:tc>
        <w:tc>
          <w:tcPr>
            <w:tcW w:w="1985" w:type="dxa"/>
            <w:tcBorders>
              <w:top w:val="nil"/>
              <w:left w:val="nil"/>
              <w:bottom w:val="single" w:sz="8" w:space="0" w:color="auto"/>
              <w:right w:val="single" w:sz="8" w:space="0" w:color="auto"/>
            </w:tcBorders>
            <w:shd w:val="clear" w:color="000000" w:fill="00B0F0"/>
            <w:vAlign w:val="center"/>
            <w:hideMark/>
          </w:tcPr>
          <w:p w14:paraId="4C258B7E" w14:textId="77777777" w:rsidR="009B5E50" w:rsidRPr="007B0314" w:rsidRDefault="009B5E50" w:rsidP="009B5E50">
            <w:pPr>
              <w:jc w:val="center"/>
              <w:rPr>
                <w:b/>
                <w:bCs/>
                <w:lang w:val="es-GT" w:eastAsia="es-GT"/>
              </w:rPr>
            </w:pPr>
            <w:r w:rsidRPr="007B0314">
              <w:rPr>
                <w:b/>
                <w:bCs/>
                <w:lang w:val="es-GT" w:eastAsia="es-GT"/>
              </w:rPr>
              <w:t>Estimación</w:t>
            </w:r>
          </w:p>
        </w:tc>
      </w:tr>
      <w:tr w:rsidR="009B5E50" w:rsidRPr="007B0314" w14:paraId="4496A5A1" w14:textId="77777777" w:rsidTr="007B0314">
        <w:trPr>
          <w:trHeight w:val="375"/>
        </w:trPr>
        <w:tc>
          <w:tcPr>
            <w:tcW w:w="5377" w:type="dxa"/>
            <w:tcBorders>
              <w:top w:val="nil"/>
              <w:left w:val="single" w:sz="8" w:space="0" w:color="auto"/>
              <w:bottom w:val="nil"/>
              <w:right w:val="single" w:sz="8" w:space="0" w:color="auto"/>
            </w:tcBorders>
            <w:shd w:val="clear" w:color="auto" w:fill="auto"/>
            <w:noWrap/>
            <w:vAlign w:val="bottom"/>
            <w:hideMark/>
          </w:tcPr>
          <w:p w14:paraId="62EADAAB" w14:textId="77777777" w:rsidR="009B5E50" w:rsidRPr="007B0314" w:rsidRDefault="009B5E50" w:rsidP="009B5E50">
            <w:pPr>
              <w:ind w:firstLineChars="100" w:firstLine="241"/>
              <w:rPr>
                <w:b/>
                <w:bCs/>
                <w:lang w:val="es-GT" w:eastAsia="es-GT"/>
              </w:rPr>
            </w:pPr>
            <w:r w:rsidRPr="007B0314">
              <w:rPr>
                <w:b/>
                <w:bCs/>
                <w:lang w:val="es-GT" w:eastAsia="es-GT"/>
              </w:rPr>
              <w:t>Gastos corrientes</w:t>
            </w:r>
          </w:p>
        </w:tc>
        <w:tc>
          <w:tcPr>
            <w:tcW w:w="1984" w:type="dxa"/>
            <w:tcBorders>
              <w:top w:val="nil"/>
              <w:left w:val="single" w:sz="8" w:space="0" w:color="auto"/>
              <w:bottom w:val="nil"/>
              <w:right w:val="single" w:sz="4" w:space="0" w:color="auto"/>
            </w:tcBorders>
            <w:shd w:val="clear" w:color="auto" w:fill="auto"/>
            <w:noWrap/>
            <w:vAlign w:val="bottom"/>
            <w:hideMark/>
          </w:tcPr>
          <w:p w14:paraId="66D3C595" w14:textId="77777777" w:rsidR="009B5E50" w:rsidRPr="007B0314" w:rsidRDefault="009B5E50" w:rsidP="009B5E50">
            <w:pPr>
              <w:jc w:val="center"/>
              <w:rPr>
                <w:b/>
                <w:bCs/>
                <w:lang w:val="es-GT" w:eastAsia="es-GT"/>
              </w:rPr>
            </w:pPr>
            <w:r w:rsidRPr="007B0314">
              <w:rPr>
                <w:b/>
                <w:bCs/>
                <w:lang w:val="es-GT" w:eastAsia="es-GT"/>
              </w:rPr>
              <w:t>11.7</w:t>
            </w:r>
          </w:p>
        </w:tc>
        <w:tc>
          <w:tcPr>
            <w:tcW w:w="1985" w:type="dxa"/>
            <w:tcBorders>
              <w:top w:val="nil"/>
              <w:left w:val="nil"/>
              <w:bottom w:val="nil"/>
              <w:right w:val="single" w:sz="8" w:space="0" w:color="auto"/>
            </w:tcBorders>
            <w:shd w:val="clear" w:color="auto" w:fill="auto"/>
            <w:noWrap/>
            <w:vAlign w:val="bottom"/>
            <w:hideMark/>
          </w:tcPr>
          <w:p w14:paraId="654FE1CF" w14:textId="77777777" w:rsidR="009B5E50" w:rsidRPr="007B0314" w:rsidRDefault="009B5E50" w:rsidP="009B5E50">
            <w:pPr>
              <w:jc w:val="center"/>
              <w:rPr>
                <w:b/>
                <w:bCs/>
                <w:lang w:val="es-GT" w:eastAsia="es-GT"/>
              </w:rPr>
            </w:pPr>
            <w:r w:rsidRPr="007B0314">
              <w:rPr>
                <w:b/>
                <w:bCs/>
                <w:lang w:val="es-GT" w:eastAsia="es-GT"/>
              </w:rPr>
              <w:t>11.5</w:t>
            </w:r>
          </w:p>
        </w:tc>
      </w:tr>
      <w:tr w:rsidR="009B5E50" w:rsidRPr="007B0314" w14:paraId="7EBD6817" w14:textId="77777777" w:rsidTr="007B0314">
        <w:trPr>
          <w:trHeight w:val="326"/>
        </w:trPr>
        <w:tc>
          <w:tcPr>
            <w:tcW w:w="5377" w:type="dxa"/>
            <w:tcBorders>
              <w:top w:val="nil"/>
              <w:left w:val="single" w:sz="8" w:space="0" w:color="auto"/>
              <w:bottom w:val="nil"/>
              <w:right w:val="single" w:sz="8" w:space="0" w:color="auto"/>
            </w:tcBorders>
            <w:shd w:val="clear" w:color="auto" w:fill="auto"/>
            <w:noWrap/>
            <w:vAlign w:val="bottom"/>
            <w:hideMark/>
          </w:tcPr>
          <w:p w14:paraId="625CECC0" w14:textId="77777777" w:rsidR="009B5E50" w:rsidRPr="007B0314" w:rsidRDefault="009B5E50" w:rsidP="009B5E50">
            <w:pPr>
              <w:ind w:firstLineChars="200" w:firstLine="480"/>
              <w:rPr>
                <w:lang w:val="es-GT" w:eastAsia="es-GT"/>
              </w:rPr>
            </w:pPr>
            <w:r w:rsidRPr="007B0314">
              <w:rPr>
                <w:lang w:val="es-GT" w:eastAsia="es-GT"/>
              </w:rPr>
              <w:t>Remuneraciones</w:t>
            </w:r>
          </w:p>
        </w:tc>
        <w:tc>
          <w:tcPr>
            <w:tcW w:w="1984" w:type="dxa"/>
            <w:tcBorders>
              <w:top w:val="nil"/>
              <w:left w:val="single" w:sz="8" w:space="0" w:color="auto"/>
              <w:bottom w:val="nil"/>
              <w:right w:val="single" w:sz="4" w:space="0" w:color="auto"/>
            </w:tcBorders>
            <w:shd w:val="clear" w:color="auto" w:fill="auto"/>
            <w:noWrap/>
            <w:vAlign w:val="bottom"/>
            <w:hideMark/>
          </w:tcPr>
          <w:p w14:paraId="21F364BC" w14:textId="77777777" w:rsidR="009B5E50" w:rsidRPr="007B0314" w:rsidRDefault="009B5E50" w:rsidP="009B5E50">
            <w:pPr>
              <w:jc w:val="center"/>
              <w:rPr>
                <w:lang w:val="es-GT" w:eastAsia="es-GT"/>
              </w:rPr>
            </w:pPr>
            <w:r w:rsidRPr="007B0314">
              <w:rPr>
                <w:lang w:val="es-GT" w:eastAsia="es-GT"/>
              </w:rPr>
              <w:t>4.1</w:t>
            </w:r>
          </w:p>
        </w:tc>
        <w:tc>
          <w:tcPr>
            <w:tcW w:w="1985" w:type="dxa"/>
            <w:tcBorders>
              <w:top w:val="nil"/>
              <w:left w:val="nil"/>
              <w:bottom w:val="nil"/>
              <w:right w:val="single" w:sz="8" w:space="0" w:color="auto"/>
            </w:tcBorders>
            <w:shd w:val="clear" w:color="auto" w:fill="auto"/>
            <w:noWrap/>
            <w:vAlign w:val="bottom"/>
            <w:hideMark/>
          </w:tcPr>
          <w:p w14:paraId="116C31C1" w14:textId="77777777" w:rsidR="009B5E50" w:rsidRPr="007B0314" w:rsidRDefault="009B5E50" w:rsidP="009B5E50">
            <w:pPr>
              <w:jc w:val="center"/>
              <w:rPr>
                <w:color w:val="000000"/>
                <w:lang w:val="es-GT" w:eastAsia="es-GT"/>
              </w:rPr>
            </w:pPr>
            <w:r w:rsidRPr="007B0314">
              <w:rPr>
                <w:color w:val="000000"/>
                <w:lang w:val="es-GT" w:eastAsia="es-GT"/>
              </w:rPr>
              <w:t>4.1</w:t>
            </w:r>
          </w:p>
        </w:tc>
      </w:tr>
      <w:tr w:rsidR="009B5E50" w:rsidRPr="007B0314" w14:paraId="24E5109E" w14:textId="77777777" w:rsidTr="007B0314">
        <w:trPr>
          <w:trHeight w:val="285"/>
        </w:trPr>
        <w:tc>
          <w:tcPr>
            <w:tcW w:w="5377" w:type="dxa"/>
            <w:tcBorders>
              <w:top w:val="nil"/>
              <w:left w:val="single" w:sz="8" w:space="0" w:color="auto"/>
              <w:bottom w:val="nil"/>
              <w:right w:val="single" w:sz="8" w:space="0" w:color="auto"/>
            </w:tcBorders>
            <w:shd w:val="clear" w:color="auto" w:fill="auto"/>
            <w:noWrap/>
            <w:vAlign w:val="bottom"/>
            <w:hideMark/>
          </w:tcPr>
          <w:p w14:paraId="434F3649" w14:textId="77777777" w:rsidR="009B5E50" w:rsidRPr="007B0314" w:rsidRDefault="009B5E50" w:rsidP="009B5E50">
            <w:pPr>
              <w:ind w:firstLineChars="200" w:firstLine="480"/>
              <w:rPr>
                <w:lang w:val="es-GT" w:eastAsia="es-GT"/>
              </w:rPr>
            </w:pPr>
            <w:r w:rsidRPr="007B0314">
              <w:rPr>
                <w:lang w:val="es-GT" w:eastAsia="es-GT"/>
              </w:rPr>
              <w:t>Bienes y servicios</w:t>
            </w:r>
          </w:p>
        </w:tc>
        <w:tc>
          <w:tcPr>
            <w:tcW w:w="1984" w:type="dxa"/>
            <w:tcBorders>
              <w:top w:val="nil"/>
              <w:left w:val="single" w:sz="8" w:space="0" w:color="auto"/>
              <w:bottom w:val="nil"/>
              <w:right w:val="single" w:sz="4" w:space="0" w:color="auto"/>
            </w:tcBorders>
            <w:shd w:val="clear" w:color="auto" w:fill="auto"/>
            <w:noWrap/>
            <w:vAlign w:val="bottom"/>
            <w:hideMark/>
          </w:tcPr>
          <w:p w14:paraId="50E27924" w14:textId="77777777" w:rsidR="009B5E50" w:rsidRPr="007B0314" w:rsidRDefault="009B5E50" w:rsidP="009B5E50">
            <w:pPr>
              <w:jc w:val="center"/>
              <w:rPr>
                <w:lang w:val="es-GT" w:eastAsia="es-GT"/>
              </w:rPr>
            </w:pPr>
            <w:r w:rsidRPr="007B0314">
              <w:rPr>
                <w:lang w:val="es-GT" w:eastAsia="es-GT"/>
              </w:rPr>
              <w:t>2.2</w:t>
            </w:r>
          </w:p>
        </w:tc>
        <w:tc>
          <w:tcPr>
            <w:tcW w:w="1985" w:type="dxa"/>
            <w:tcBorders>
              <w:top w:val="nil"/>
              <w:left w:val="nil"/>
              <w:bottom w:val="nil"/>
              <w:right w:val="single" w:sz="8" w:space="0" w:color="auto"/>
            </w:tcBorders>
            <w:shd w:val="clear" w:color="auto" w:fill="auto"/>
            <w:noWrap/>
            <w:vAlign w:val="bottom"/>
            <w:hideMark/>
          </w:tcPr>
          <w:p w14:paraId="1B4E4621" w14:textId="77777777" w:rsidR="009B5E50" w:rsidRPr="007B0314" w:rsidRDefault="009B5E50" w:rsidP="009B5E50">
            <w:pPr>
              <w:jc w:val="center"/>
              <w:rPr>
                <w:color w:val="000000"/>
                <w:lang w:val="es-GT" w:eastAsia="es-GT"/>
              </w:rPr>
            </w:pPr>
            <w:r w:rsidRPr="007B0314">
              <w:rPr>
                <w:color w:val="000000"/>
                <w:lang w:val="es-GT" w:eastAsia="es-GT"/>
              </w:rPr>
              <w:t>2.1</w:t>
            </w:r>
          </w:p>
        </w:tc>
      </w:tr>
      <w:tr w:rsidR="009B5E50" w:rsidRPr="007B0314" w14:paraId="40AE32D5" w14:textId="77777777" w:rsidTr="007B0314">
        <w:trPr>
          <w:trHeight w:val="285"/>
        </w:trPr>
        <w:tc>
          <w:tcPr>
            <w:tcW w:w="5377" w:type="dxa"/>
            <w:tcBorders>
              <w:top w:val="nil"/>
              <w:left w:val="single" w:sz="8" w:space="0" w:color="auto"/>
              <w:bottom w:val="nil"/>
              <w:right w:val="single" w:sz="8" w:space="0" w:color="auto"/>
            </w:tcBorders>
            <w:shd w:val="clear" w:color="auto" w:fill="auto"/>
            <w:noWrap/>
            <w:vAlign w:val="bottom"/>
            <w:hideMark/>
          </w:tcPr>
          <w:p w14:paraId="02BB52D2" w14:textId="77777777" w:rsidR="009B5E50" w:rsidRPr="007B0314" w:rsidRDefault="009B5E50" w:rsidP="009B5E50">
            <w:pPr>
              <w:ind w:firstLineChars="200" w:firstLine="480"/>
              <w:rPr>
                <w:lang w:val="es-GT" w:eastAsia="es-GT"/>
              </w:rPr>
            </w:pPr>
            <w:r w:rsidRPr="007B0314">
              <w:rPr>
                <w:lang w:val="es-GT" w:eastAsia="es-GT"/>
              </w:rPr>
              <w:t>Impuestos pagados por dependencias del Estado</w:t>
            </w:r>
          </w:p>
        </w:tc>
        <w:tc>
          <w:tcPr>
            <w:tcW w:w="1984" w:type="dxa"/>
            <w:tcBorders>
              <w:top w:val="nil"/>
              <w:left w:val="single" w:sz="8" w:space="0" w:color="auto"/>
              <w:bottom w:val="nil"/>
              <w:right w:val="single" w:sz="4" w:space="0" w:color="auto"/>
            </w:tcBorders>
            <w:shd w:val="clear" w:color="auto" w:fill="auto"/>
            <w:noWrap/>
            <w:vAlign w:val="bottom"/>
            <w:hideMark/>
          </w:tcPr>
          <w:p w14:paraId="6764F876"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279CAD39" w14:textId="77777777" w:rsidR="009B5E50" w:rsidRPr="007B0314" w:rsidRDefault="009B5E50" w:rsidP="009B5E50">
            <w:pPr>
              <w:jc w:val="center"/>
              <w:rPr>
                <w:color w:val="000000"/>
                <w:lang w:val="es-GT" w:eastAsia="es-GT"/>
              </w:rPr>
            </w:pPr>
            <w:r w:rsidRPr="007B0314">
              <w:rPr>
                <w:color w:val="000000"/>
                <w:lang w:val="es-GT" w:eastAsia="es-GT"/>
              </w:rPr>
              <w:t>0.0</w:t>
            </w:r>
          </w:p>
        </w:tc>
      </w:tr>
      <w:tr w:rsidR="009B5E50" w:rsidRPr="007B0314" w14:paraId="6D0553F8" w14:textId="77777777" w:rsidTr="007B0314">
        <w:trPr>
          <w:trHeight w:val="285"/>
        </w:trPr>
        <w:tc>
          <w:tcPr>
            <w:tcW w:w="5377" w:type="dxa"/>
            <w:tcBorders>
              <w:top w:val="nil"/>
              <w:left w:val="single" w:sz="8" w:space="0" w:color="auto"/>
              <w:bottom w:val="nil"/>
              <w:right w:val="single" w:sz="8" w:space="0" w:color="auto"/>
            </w:tcBorders>
            <w:shd w:val="clear" w:color="auto" w:fill="auto"/>
            <w:noWrap/>
            <w:vAlign w:val="bottom"/>
            <w:hideMark/>
          </w:tcPr>
          <w:p w14:paraId="75E0E806" w14:textId="77777777" w:rsidR="009B5E50" w:rsidRPr="007B0314" w:rsidRDefault="009B5E50" w:rsidP="009B5E50">
            <w:pPr>
              <w:ind w:firstLineChars="200" w:firstLine="480"/>
              <w:rPr>
                <w:lang w:val="es-GT" w:eastAsia="es-GT"/>
              </w:rPr>
            </w:pPr>
            <w:r w:rsidRPr="007B0314">
              <w:rPr>
                <w:lang w:val="es-GT" w:eastAsia="es-GT"/>
              </w:rPr>
              <w:t>Descuentos y bonificaciones</w:t>
            </w:r>
          </w:p>
        </w:tc>
        <w:tc>
          <w:tcPr>
            <w:tcW w:w="1984" w:type="dxa"/>
            <w:tcBorders>
              <w:top w:val="nil"/>
              <w:left w:val="single" w:sz="8" w:space="0" w:color="auto"/>
              <w:bottom w:val="nil"/>
              <w:right w:val="single" w:sz="4" w:space="0" w:color="auto"/>
            </w:tcBorders>
            <w:shd w:val="clear" w:color="auto" w:fill="auto"/>
            <w:noWrap/>
            <w:vAlign w:val="bottom"/>
            <w:hideMark/>
          </w:tcPr>
          <w:p w14:paraId="5032156E"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2C6D027E" w14:textId="77777777" w:rsidR="009B5E50" w:rsidRPr="007B0314" w:rsidRDefault="009B5E50" w:rsidP="009B5E50">
            <w:pPr>
              <w:jc w:val="center"/>
              <w:rPr>
                <w:color w:val="000000"/>
                <w:lang w:val="es-GT" w:eastAsia="es-GT"/>
              </w:rPr>
            </w:pPr>
            <w:r w:rsidRPr="007B0314">
              <w:rPr>
                <w:color w:val="000000"/>
                <w:lang w:val="es-GT" w:eastAsia="es-GT"/>
              </w:rPr>
              <w:t>0.0</w:t>
            </w:r>
          </w:p>
        </w:tc>
      </w:tr>
      <w:tr w:rsidR="009B5E50" w:rsidRPr="007B0314" w14:paraId="5C68378C"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007333C7" w14:textId="77777777" w:rsidR="009B5E50" w:rsidRPr="007B0314" w:rsidRDefault="009B5E50" w:rsidP="009B5E50">
            <w:pPr>
              <w:ind w:firstLineChars="200" w:firstLine="480"/>
              <w:rPr>
                <w:lang w:val="es-GT" w:eastAsia="es-GT"/>
              </w:rPr>
            </w:pPr>
            <w:r w:rsidRPr="007B0314">
              <w:rPr>
                <w:lang w:val="es-GT" w:eastAsia="es-GT"/>
              </w:rPr>
              <w:t>Prestaciones a la seguridad social</w:t>
            </w:r>
          </w:p>
        </w:tc>
        <w:tc>
          <w:tcPr>
            <w:tcW w:w="1984" w:type="dxa"/>
            <w:tcBorders>
              <w:top w:val="nil"/>
              <w:left w:val="single" w:sz="8" w:space="0" w:color="auto"/>
              <w:bottom w:val="nil"/>
              <w:right w:val="single" w:sz="4" w:space="0" w:color="auto"/>
            </w:tcBorders>
            <w:shd w:val="clear" w:color="auto" w:fill="auto"/>
            <w:noWrap/>
            <w:vAlign w:val="bottom"/>
            <w:hideMark/>
          </w:tcPr>
          <w:p w14:paraId="5E96154F" w14:textId="77777777" w:rsidR="009B5E50" w:rsidRPr="007B0314" w:rsidRDefault="009B5E50" w:rsidP="009B5E50">
            <w:pPr>
              <w:jc w:val="center"/>
              <w:rPr>
                <w:lang w:val="es-GT" w:eastAsia="es-GT"/>
              </w:rPr>
            </w:pPr>
            <w:r w:rsidRPr="007B0314">
              <w:rPr>
                <w:lang w:val="es-GT" w:eastAsia="es-GT"/>
              </w:rPr>
              <w:t>0.8</w:t>
            </w:r>
          </w:p>
        </w:tc>
        <w:tc>
          <w:tcPr>
            <w:tcW w:w="1985" w:type="dxa"/>
            <w:tcBorders>
              <w:top w:val="nil"/>
              <w:left w:val="nil"/>
              <w:bottom w:val="nil"/>
              <w:right w:val="single" w:sz="8" w:space="0" w:color="auto"/>
            </w:tcBorders>
            <w:shd w:val="clear" w:color="auto" w:fill="auto"/>
            <w:noWrap/>
            <w:vAlign w:val="bottom"/>
            <w:hideMark/>
          </w:tcPr>
          <w:p w14:paraId="3EBC647F" w14:textId="77777777" w:rsidR="009B5E50" w:rsidRPr="007B0314" w:rsidRDefault="009B5E50" w:rsidP="009B5E50">
            <w:pPr>
              <w:jc w:val="center"/>
              <w:rPr>
                <w:color w:val="000000"/>
                <w:lang w:val="es-GT" w:eastAsia="es-GT"/>
              </w:rPr>
            </w:pPr>
            <w:r w:rsidRPr="007B0314">
              <w:rPr>
                <w:color w:val="000000"/>
                <w:lang w:val="es-GT" w:eastAsia="es-GT"/>
              </w:rPr>
              <w:t>0.8</w:t>
            </w:r>
          </w:p>
        </w:tc>
      </w:tr>
      <w:tr w:rsidR="009B5E50" w:rsidRPr="007B0314" w14:paraId="3691A08D"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2527E6C7" w14:textId="77777777" w:rsidR="009B5E50" w:rsidRPr="007B0314" w:rsidRDefault="009B5E50" w:rsidP="009B5E50">
            <w:pPr>
              <w:ind w:firstLineChars="200" w:firstLine="480"/>
              <w:rPr>
                <w:lang w:val="es-GT" w:eastAsia="es-GT"/>
              </w:rPr>
            </w:pPr>
            <w:r w:rsidRPr="007B0314">
              <w:rPr>
                <w:lang w:val="es-GT" w:eastAsia="es-GT"/>
              </w:rPr>
              <w:t xml:space="preserve">Intereses </w:t>
            </w:r>
          </w:p>
        </w:tc>
        <w:tc>
          <w:tcPr>
            <w:tcW w:w="1984" w:type="dxa"/>
            <w:tcBorders>
              <w:top w:val="nil"/>
              <w:left w:val="single" w:sz="8" w:space="0" w:color="auto"/>
              <w:bottom w:val="nil"/>
              <w:right w:val="single" w:sz="4" w:space="0" w:color="auto"/>
            </w:tcBorders>
            <w:shd w:val="clear" w:color="auto" w:fill="auto"/>
            <w:noWrap/>
            <w:vAlign w:val="bottom"/>
            <w:hideMark/>
          </w:tcPr>
          <w:p w14:paraId="06CD2FDF" w14:textId="77777777" w:rsidR="009B5E50" w:rsidRPr="007B0314" w:rsidRDefault="009B5E50" w:rsidP="009B5E50">
            <w:pPr>
              <w:jc w:val="center"/>
              <w:rPr>
                <w:lang w:val="es-GT" w:eastAsia="es-GT"/>
              </w:rPr>
            </w:pPr>
            <w:r w:rsidRPr="007B0314">
              <w:rPr>
                <w:lang w:val="es-GT" w:eastAsia="es-GT"/>
              </w:rPr>
              <w:t>1.7</w:t>
            </w:r>
          </w:p>
        </w:tc>
        <w:tc>
          <w:tcPr>
            <w:tcW w:w="1985" w:type="dxa"/>
            <w:tcBorders>
              <w:top w:val="nil"/>
              <w:left w:val="nil"/>
              <w:bottom w:val="nil"/>
              <w:right w:val="single" w:sz="8" w:space="0" w:color="auto"/>
            </w:tcBorders>
            <w:shd w:val="clear" w:color="auto" w:fill="auto"/>
            <w:noWrap/>
            <w:vAlign w:val="bottom"/>
            <w:hideMark/>
          </w:tcPr>
          <w:p w14:paraId="08B22DBF" w14:textId="77777777" w:rsidR="009B5E50" w:rsidRPr="007B0314" w:rsidRDefault="009B5E50" w:rsidP="009B5E50">
            <w:pPr>
              <w:jc w:val="center"/>
              <w:rPr>
                <w:color w:val="000000"/>
                <w:lang w:val="es-GT" w:eastAsia="es-GT"/>
              </w:rPr>
            </w:pPr>
            <w:r w:rsidRPr="007B0314">
              <w:rPr>
                <w:color w:val="000000"/>
                <w:lang w:val="es-GT" w:eastAsia="es-GT"/>
              </w:rPr>
              <w:t>1.6</w:t>
            </w:r>
          </w:p>
        </w:tc>
      </w:tr>
      <w:tr w:rsidR="009B5E50" w:rsidRPr="007B0314" w14:paraId="02A88069"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0BC9027D" w14:textId="77777777" w:rsidR="009B5E50" w:rsidRPr="007B0314" w:rsidRDefault="009B5E50" w:rsidP="009B5E50">
            <w:pPr>
              <w:ind w:firstLineChars="300" w:firstLine="720"/>
              <w:rPr>
                <w:lang w:val="es-GT" w:eastAsia="es-GT"/>
              </w:rPr>
            </w:pPr>
            <w:r w:rsidRPr="007B0314">
              <w:rPr>
                <w:lang w:val="es-GT" w:eastAsia="es-GT"/>
              </w:rPr>
              <w:t>Deuda  interna</w:t>
            </w:r>
          </w:p>
        </w:tc>
        <w:tc>
          <w:tcPr>
            <w:tcW w:w="1984" w:type="dxa"/>
            <w:tcBorders>
              <w:top w:val="nil"/>
              <w:left w:val="single" w:sz="8" w:space="0" w:color="auto"/>
              <w:bottom w:val="nil"/>
              <w:right w:val="single" w:sz="4" w:space="0" w:color="auto"/>
            </w:tcBorders>
            <w:shd w:val="clear" w:color="auto" w:fill="auto"/>
            <w:noWrap/>
            <w:vAlign w:val="bottom"/>
            <w:hideMark/>
          </w:tcPr>
          <w:p w14:paraId="397130E7" w14:textId="77777777" w:rsidR="009B5E50" w:rsidRPr="007B0314" w:rsidRDefault="009B5E50" w:rsidP="009B5E50">
            <w:pPr>
              <w:jc w:val="center"/>
              <w:rPr>
                <w:lang w:val="es-GT" w:eastAsia="es-GT"/>
              </w:rPr>
            </w:pPr>
            <w:r w:rsidRPr="007B0314">
              <w:rPr>
                <w:lang w:val="es-GT" w:eastAsia="es-GT"/>
              </w:rPr>
              <w:t>1.1</w:t>
            </w:r>
          </w:p>
        </w:tc>
        <w:tc>
          <w:tcPr>
            <w:tcW w:w="1985" w:type="dxa"/>
            <w:tcBorders>
              <w:top w:val="nil"/>
              <w:left w:val="nil"/>
              <w:bottom w:val="nil"/>
              <w:right w:val="single" w:sz="8" w:space="0" w:color="auto"/>
            </w:tcBorders>
            <w:shd w:val="clear" w:color="auto" w:fill="auto"/>
            <w:noWrap/>
            <w:vAlign w:val="bottom"/>
            <w:hideMark/>
          </w:tcPr>
          <w:p w14:paraId="466DF04C" w14:textId="77777777" w:rsidR="009B5E50" w:rsidRPr="007B0314" w:rsidRDefault="009B5E50" w:rsidP="009B5E50">
            <w:pPr>
              <w:jc w:val="center"/>
              <w:rPr>
                <w:color w:val="000000"/>
                <w:lang w:val="es-GT" w:eastAsia="es-GT"/>
              </w:rPr>
            </w:pPr>
            <w:r w:rsidRPr="007B0314">
              <w:rPr>
                <w:color w:val="000000"/>
                <w:lang w:val="es-GT" w:eastAsia="es-GT"/>
              </w:rPr>
              <w:t>1.1</w:t>
            </w:r>
          </w:p>
        </w:tc>
      </w:tr>
      <w:tr w:rsidR="009B5E50" w:rsidRPr="007B0314" w14:paraId="50263F3D"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1552E5BC" w14:textId="77777777" w:rsidR="009B5E50" w:rsidRPr="007B0314" w:rsidRDefault="009B5E50" w:rsidP="009B5E50">
            <w:pPr>
              <w:ind w:firstLineChars="300" w:firstLine="720"/>
              <w:rPr>
                <w:lang w:val="es-GT" w:eastAsia="es-GT"/>
              </w:rPr>
            </w:pPr>
            <w:r w:rsidRPr="007B0314">
              <w:rPr>
                <w:lang w:val="es-GT" w:eastAsia="es-GT"/>
              </w:rPr>
              <w:t>Deuda externa</w:t>
            </w:r>
          </w:p>
        </w:tc>
        <w:tc>
          <w:tcPr>
            <w:tcW w:w="1984" w:type="dxa"/>
            <w:tcBorders>
              <w:top w:val="nil"/>
              <w:left w:val="single" w:sz="8" w:space="0" w:color="auto"/>
              <w:bottom w:val="nil"/>
              <w:right w:val="single" w:sz="4" w:space="0" w:color="auto"/>
            </w:tcBorders>
            <w:shd w:val="clear" w:color="auto" w:fill="auto"/>
            <w:noWrap/>
            <w:vAlign w:val="bottom"/>
            <w:hideMark/>
          </w:tcPr>
          <w:p w14:paraId="28440982" w14:textId="77777777" w:rsidR="009B5E50" w:rsidRPr="007B0314" w:rsidRDefault="009B5E50" w:rsidP="009B5E50">
            <w:pPr>
              <w:jc w:val="center"/>
              <w:rPr>
                <w:lang w:val="es-GT" w:eastAsia="es-GT"/>
              </w:rPr>
            </w:pPr>
            <w:r w:rsidRPr="007B0314">
              <w:rPr>
                <w:lang w:val="es-GT" w:eastAsia="es-GT"/>
              </w:rPr>
              <w:t>0.6</w:t>
            </w:r>
          </w:p>
        </w:tc>
        <w:tc>
          <w:tcPr>
            <w:tcW w:w="1985" w:type="dxa"/>
            <w:tcBorders>
              <w:top w:val="nil"/>
              <w:left w:val="nil"/>
              <w:bottom w:val="nil"/>
              <w:right w:val="single" w:sz="8" w:space="0" w:color="auto"/>
            </w:tcBorders>
            <w:shd w:val="clear" w:color="auto" w:fill="auto"/>
            <w:noWrap/>
            <w:vAlign w:val="bottom"/>
            <w:hideMark/>
          </w:tcPr>
          <w:p w14:paraId="552D9126" w14:textId="77777777" w:rsidR="009B5E50" w:rsidRPr="007B0314" w:rsidRDefault="009B5E50" w:rsidP="009B5E50">
            <w:pPr>
              <w:jc w:val="center"/>
              <w:rPr>
                <w:color w:val="000000"/>
                <w:lang w:val="es-GT" w:eastAsia="es-GT"/>
              </w:rPr>
            </w:pPr>
            <w:r w:rsidRPr="007B0314">
              <w:rPr>
                <w:color w:val="000000"/>
                <w:lang w:val="es-GT" w:eastAsia="es-GT"/>
              </w:rPr>
              <w:t>0.6</w:t>
            </w:r>
          </w:p>
        </w:tc>
      </w:tr>
      <w:tr w:rsidR="009B5E50" w:rsidRPr="007B0314" w14:paraId="16BCF8E1"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6654D83B" w14:textId="77777777" w:rsidR="009B5E50" w:rsidRPr="007B0314" w:rsidRDefault="009B5E50" w:rsidP="009B5E50">
            <w:pPr>
              <w:ind w:firstLineChars="400" w:firstLine="960"/>
              <w:rPr>
                <w:lang w:val="es-GT" w:eastAsia="es-GT"/>
              </w:rPr>
            </w:pPr>
            <w:r w:rsidRPr="007B0314">
              <w:rPr>
                <w:lang w:val="es-GT" w:eastAsia="es-GT"/>
              </w:rPr>
              <w:t>Préstamos</w:t>
            </w:r>
          </w:p>
        </w:tc>
        <w:tc>
          <w:tcPr>
            <w:tcW w:w="1984" w:type="dxa"/>
            <w:tcBorders>
              <w:top w:val="nil"/>
              <w:left w:val="single" w:sz="8" w:space="0" w:color="auto"/>
              <w:bottom w:val="nil"/>
              <w:right w:val="single" w:sz="4" w:space="0" w:color="auto"/>
            </w:tcBorders>
            <w:shd w:val="clear" w:color="auto" w:fill="auto"/>
            <w:noWrap/>
            <w:vAlign w:val="bottom"/>
            <w:hideMark/>
          </w:tcPr>
          <w:p w14:paraId="5FF83DCD" w14:textId="77777777" w:rsidR="009B5E50" w:rsidRPr="007B0314" w:rsidRDefault="009B5E50" w:rsidP="009B5E50">
            <w:pPr>
              <w:jc w:val="center"/>
              <w:rPr>
                <w:lang w:val="es-GT" w:eastAsia="es-GT"/>
              </w:rPr>
            </w:pPr>
            <w:r w:rsidRPr="007B0314">
              <w:rPr>
                <w:lang w:val="es-GT" w:eastAsia="es-GT"/>
              </w:rPr>
              <w:t>0.2</w:t>
            </w:r>
          </w:p>
        </w:tc>
        <w:tc>
          <w:tcPr>
            <w:tcW w:w="1985" w:type="dxa"/>
            <w:tcBorders>
              <w:top w:val="nil"/>
              <w:left w:val="nil"/>
              <w:bottom w:val="nil"/>
              <w:right w:val="single" w:sz="8" w:space="0" w:color="auto"/>
            </w:tcBorders>
            <w:shd w:val="clear" w:color="auto" w:fill="auto"/>
            <w:noWrap/>
            <w:vAlign w:val="bottom"/>
            <w:hideMark/>
          </w:tcPr>
          <w:p w14:paraId="5167D0AA" w14:textId="77777777" w:rsidR="009B5E50" w:rsidRPr="007B0314" w:rsidRDefault="009B5E50" w:rsidP="009B5E50">
            <w:pPr>
              <w:jc w:val="center"/>
              <w:rPr>
                <w:color w:val="000000"/>
                <w:lang w:val="es-GT" w:eastAsia="es-GT"/>
              </w:rPr>
            </w:pPr>
            <w:r w:rsidRPr="007B0314">
              <w:rPr>
                <w:color w:val="000000"/>
                <w:lang w:val="es-GT" w:eastAsia="es-GT"/>
              </w:rPr>
              <w:t>0.2</w:t>
            </w:r>
          </w:p>
        </w:tc>
      </w:tr>
      <w:tr w:rsidR="009B5E50" w:rsidRPr="007B0314" w14:paraId="222B9A68"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6AA49186" w14:textId="77777777" w:rsidR="009B5E50" w:rsidRPr="007B0314" w:rsidRDefault="009B5E50" w:rsidP="009B5E50">
            <w:pPr>
              <w:ind w:firstLineChars="400" w:firstLine="960"/>
              <w:rPr>
                <w:lang w:val="es-GT" w:eastAsia="es-GT"/>
              </w:rPr>
            </w:pPr>
            <w:r w:rsidRPr="007B0314">
              <w:rPr>
                <w:lang w:val="es-GT" w:eastAsia="es-GT"/>
              </w:rPr>
              <w:t>Bonos</w:t>
            </w:r>
          </w:p>
        </w:tc>
        <w:tc>
          <w:tcPr>
            <w:tcW w:w="1984" w:type="dxa"/>
            <w:tcBorders>
              <w:top w:val="nil"/>
              <w:left w:val="single" w:sz="8" w:space="0" w:color="auto"/>
              <w:bottom w:val="nil"/>
              <w:right w:val="single" w:sz="4" w:space="0" w:color="auto"/>
            </w:tcBorders>
            <w:shd w:val="clear" w:color="auto" w:fill="auto"/>
            <w:noWrap/>
            <w:vAlign w:val="bottom"/>
            <w:hideMark/>
          </w:tcPr>
          <w:p w14:paraId="466FADF3" w14:textId="77777777" w:rsidR="009B5E50" w:rsidRPr="007B0314" w:rsidRDefault="009B5E50" w:rsidP="009B5E50">
            <w:pPr>
              <w:jc w:val="center"/>
              <w:rPr>
                <w:lang w:val="es-GT" w:eastAsia="es-GT"/>
              </w:rPr>
            </w:pPr>
            <w:r w:rsidRPr="007B0314">
              <w:rPr>
                <w:lang w:val="es-GT" w:eastAsia="es-GT"/>
              </w:rPr>
              <w:t>0.4</w:t>
            </w:r>
          </w:p>
        </w:tc>
        <w:tc>
          <w:tcPr>
            <w:tcW w:w="1985" w:type="dxa"/>
            <w:tcBorders>
              <w:top w:val="nil"/>
              <w:left w:val="nil"/>
              <w:bottom w:val="nil"/>
              <w:right w:val="single" w:sz="8" w:space="0" w:color="auto"/>
            </w:tcBorders>
            <w:shd w:val="clear" w:color="auto" w:fill="auto"/>
            <w:noWrap/>
            <w:vAlign w:val="bottom"/>
            <w:hideMark/>
          </w:tcPr>
          <w:p w14:paraId="45712F2D" w14:textId="77777777" w:rsidR="009B5E50" w:rsidRPr="007B0314" w:rsidRDefault="009B5E50" w:rsidP="009B5E50">
            <w:pPr>
              <w:jc w:val="center"/>
              <w:rPr>
                <w:color w:val="000000"/>
                <w:lang w:val="es-GT" w:eastAsia="es-GT"/>
              </w:rPr>
            </w:pPr>
            <w:r w:rsidRPr="007B0314">
              <w:rPr>
                <w:color w:val="000000"/>
                <w:lang w:val="es-GT" w:eastAsia="es-GT"/>
              </w:rPr>
              <w:t>0.3</w:t>
            </w:r>
          </w:p>
        </w:tc>
      </w:tr>
      <w:tr w:rsidR="009B5E50" w:rsidRPr="007B0314" w14:paraId="4921CE1A"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7DCF3F13" w14:textId="77777777" w:rsidR="009B5E50" w:rsidRPr="007B0314" w:rsidRDefault="009B5E50" w:rsidP="009B5E50">
            <w:pPr>
              <w:ind w:firstLineChars="200" w:firstLine="480"/>
              <w:rPr>
                <w:lang w:val="es-GT" w:eastAsia="es-GT"/>
              </w:rPr>
            </w:pPr>
            <w:r w:rsidRPr="007B0314">
              <w:rPr>
                <w:lang w:val="es-GT" w:eastAsia="es-GT"/>
              </w:rPr>
              <w:t>Arrendamiento de tierras y terrenos</w:t>
            </w:r>
          </w:p>
        </w:tc>
        <w:tc>
          <w:tcPr>
            <w:tcW w:w="1984" w:type="dxa"/>
            <w:tcBorders>
              <w:top w:val="nil"/>
              <w:left w:val="single" w:sz="8" w:space="0" w:color="auto"/>
              <w:bottom w:val="nil"/>
              <w:right w:val="single" w:sz="4" w:space="0" w:color="auto"/>
            </w:tcBorders>
            <w:shd w:val="clear" w:color="auto" w:fill="auto"/>
            <w:noWrap/>
            <w:vAlign w:val="bottom"/>
            <w:hideMark/>
          </w:tcPr>
          <w:p w14:paraId="12B3BE0E"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148EE632" w14:textId="77777777" w:rsidR="009B5E50" w:rsidRPr="007B0314" w:rsidRDefault="009B5E50" w:rsidP="009B5E50">
            <w:pPr>
              <w:jc w:val="center"/>
              <w:rPr>
                <w:color w:val="000000"/>
                <w:lang w:val="es-GT" w:eastAsia="es-GT"/>
              </w:rPr>
            </w:pPr>
            <w:r w:rsidRPr="007B0314">
              <w:rPr>
                <w:color w:val="000000"/>
                <w:lang w:val="es-GT" w:eastAsia="es-GT"/>
              </w:rPr>
              <w:t>0.0</w:t>
            </w:r>
          </w:p>
        </w:tc>
      </w:tr>
      <w:tr w:rsidR="009B5E50" w:rsidRPr="007B0314" w14:paraId="0EBF1DE2"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30EC8F4B" w14:textId="77777777" w:rsidR="009B5E50" w:rsidRPr="007B0314" w:rsidRDefault="009B5E50" w:rsidP="009B5E50">
            <w:pPr>
              <w:ind w:firstLineChars="200" w:firstLine="480"/>
              <w:rPr>
                <w:lang w:val="es-GT" w:eastAsia="es-GT"/>
              </w:rPr>
            </w:pPr>
            <w:r w:rsidRPr="007B0314">
              <w:rPr>
                <w:lang w:val="es-GT" w:eastAsia="es-GT"/>
              </w:rPr>
              <w:t>Derechos sobre bienes intangibles</w:t>
            </w:r>
          </w:p>
        </w:tc>
        <w:tc>
          <w:tcPr>
            <w:tcW w:w="1984" w:type="dxa"/>
            <w:tcBorders>
              <w:top w:val="nil"/>
              <w:left w:val="single" w:sz="8" w:space="0" w:color="auto"/>
              <w:bottom w:val="nil"/>
              <w:right w:val="single" w:sz="4" w:space="0" w:color="auto"/>
            </w:tcBorders>
            <w:shd w:val="clear" w:color="auto" w:fill="auto"/>
            <w:noWrap/>
            <w:vAlign w:val="bottom"/>
            <w:hideMark/>
          </w:tcPr>
          <w:p w14:paraId="7E41ED89"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424290F0" w14:textId="77777777" w:rsidR="009B5E50" w:rsidRPr="007B0314" w:rsidRDefault="009B5E50" w:rsidP="009B5E50">
            <w:pPr>
              <w:jc w:val="center"/>
              <w:rPr>
                <w:color w:val="000000"/>
                <w:lang w:val="es-GT" w:eastAsia="es-GT"/>
              </w:rPr>
            </w:pPr>
            <w:r w:rsidRPr="007B0314">
              <w:rPr>
                <w:color w:val="000000"/>
                <w:lang w:val="es-GT" w:eastAsia="es-GT"/>
              </w:rPr>
              <w:t>0.0</w:t>
            </w:r>
          </w:p>
        </w:tc>
      </w:tr>
      <w:tr w:rsidR="009B5E50" w:rsidRPr="007B0314" w14:paraId="46A4C0EA"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54EA20A5" w14:textId="77777777" w:rsidR="009B5E50" w:rsidRPr="007B0314" w:rsidRDefault="009B5E50" w:rsidP="009B5E50">
            <w:pPr>
              <w:ind w:firstLineChars="200" w:firstLine="480"/>
              <w:rPr>
                <w:lang w:val="es-GT" w:eastAsia="es-GT"/>
              </w:rPr>
            </w:pPr>
            <w:r w:rsidRPr="007B0314">
              <w:rPr>
                <w:lang w:val="es-GT" w:eastAsia="es-GT"/>
              </w:rPr>
              <w:t>Transferencias</w:t>
            </w:r>
          </w:p>
        </w:tc>
        <w:tc>
          <w:tcPr>
            <w:tcW w:w="1984" w:type="dxa"/>
            <w:tcBorders>
              <w:top w:val="nil"/>
              <w:left w:val="single" w:sz="8" w:space="0" w:color="auto"/>
              <w:bottom w:val="nil"/>
              <w:right w:val="single" w:sz="4" w:space="0" w:color="auto"/>
            </w:tcBorders>
            <w:shd w:val="clear" w:color="auto" w:fill="auto"/>
            <w:noWrap/>
            <w:vAlign w:val="bottom"/>
            <w:hideMark/>
          </w:tcPr>
          <w:p w14:paraId="34F346F7" w14:textId="77777777" w:rsidR="009B5E50" w:rsidRPr="007B0314" w:rsidRDefault="009B5E50" w:rsidP="009B5E50">
            <w:pPr>
              <w:jc w:val="center"/>
              <w:rPr>
                <w:lang w:val="es-GT" w:eastAsia="es-GT"/>
              </w:rPr>
            </w:pPr>
            <w:r w:rsidRPr="007B0314">
              <w:rPr>
                <w:lang w:val="es-GT" w:eastAsia="es-GT"/>
              </w:rPr>
              <w:t>2.9</w:t>
            </w:r>
          </w:p>
        </w:tc>
        <w:tc>
          <w:tcPr>
            <w:tcW w:w="1985" w:type="dxa"/>
            <w:tcBorders>
              <w:top w:val="nil"/>
              <w:left w:val="nil"/>
              <w:bottom w:val="nil"/>
              <w:right w:val="single" w:sz="8" w:space="0" w:color="auto"/>
            </w:tcBorders>
            <w:shd w:val="clear" w:color="auto" w:fill="auto"/>
            <w:noWrap/>
            <w:vAlign w:val="bottom"/>
            <w:hideMark/>
          </w:tcPr>
          <w:p w14:paraId="73F63038" w14:textId="77777777" w:rsidR="009B5E50" w:rsidRPr="007B0314" w:rsidRDefault="009B5E50" w:rsidP="009B5E50">
            <w:pPr>
              <w:jc w:val="center"/>
              <w:rPr>
                <w:lang w:val="es-GT" w:eastAsia="es-GT"/>
              </w:rPr>
            </w:pPr>
            <w:r w:rsidRPr="007B0314">
              <w:rPr>
                <w:lang w:val="es-GT" w:eastAsia="es-GT"/>
              </w:rPr>
              <w:t>2.8</w:t>
            </w:r>
          </w:p>
        </w:tc>
      </w:tr>
      <w:tr w:rsidR="009B5E50" w:rsidRPr="007B0314" w14:paraId="509A0E98" w14:textId="77777777" w:rsidTr="007B0314">
        <w:trPr>
          <w:trHeight w:val="360"/>
        </w:trPr>
        <w:tc>
          <w:tcPr>
            <w:tcW w:w="5377" w:type="dxa"/>
            <w:tcBorders>
              <w:top w:val="nil"/>
              <w:left w:val="single" w:sz="8" w:space="0" w:color="auto"/>
              <w:bottom w:val="nil"/>
              <w:right w:val="single" w:sz="8" w:space="0" w:color="auto"/>
            </w:tcBorders>
            <w:shd w:val="clear" w:color="auto" w:fill="auto"/>
            <w:noWrap/>
            <w:vAlign w:val="bottom"/>
            <w:hideMark/>
          </w:tcPr>
          <w:p w14:paraId="3989B27E" w14:textId="77777777" w:rsidR="009B5E50" w:rsidRPr="007B0314" w:rsidRDefault="009B5E50" w:rsidP="009B5E50">
            <w:pPr>
              <w:ind w:firstLineChars="100" w:firstLine="241"/>
              <w:rPr>
                <w:b/>
                <w:bCs/>
                <w:lang w:val="es-GT" w:eastAsia="es-GT"/>
              </w:rPr>
            </w:pPr>
            <w:r w:rsidRPr="007B0314">
              <w:rPr>
                <w:b/>
                <w:bCs/>
                <w:lang w:val="es-GT" w:eastAsia="es-GT"/>
              </w:rPr>
              <w:t>Gastos de capital</w:t>
            </w:r>
          </w:p>
        </w:tc>
        <w:tc>
          <w:tcPr>
            <w:tcW w:w="1984" w:type="dxa"/>
            <w:tcBorders>
              <w:top w:val="nil"/>
              <w:left w:val="single" w:sz="8" w:space="0" w:color="auto"/>
              <w:bottom w:val="nil"/>
              <w:right w:val="single" w:sz="4" w:space="0" w:color="auto"/>
            </w:tcBorders>
            <w:shd w:val="clear" w:color="auto" w:fill="auto"/>
            <w:noWrap/>
            <w:vAlign w:val="bottom"/>
            <w:hideMark/>
          </w:tcPr>
          <w:p w14:paraId="72914B4F" w14:textId="77777777" w:rsidR="009B5E50" w:rsidRPr="007B0314" w:rsidRDefault="009B5E50" w:rsidP="009B5E50">
            <w:pPr>
              <w:jc w:val="center"/>
              <w:rPr>
                <w:b/>
                <w:bCs/>
                <w:lang w:val="es-GT" w:eastAsia="es-GT"/>
              </w:rPr>
            </w:pPr>
            <w:r w:rsidRPr="007B0314">
              <w:rPr>
                <w:b/>
                <w:bCs/>
                <w:lang w:val="es-GT" w:eastAsia="es-GT"/>
              </w:rPr>
              <w:t>2.7</w:t>
            </w:r>
          </w:p>
        </w:tc>
        <w:tc>
          <w:tcPr>
            <w:tcW w:w="1985" w:type="dxa"/>
            <w:tcBorders>
              <w:top w:val="nil"/>
              <w:left w:val="nil"/>
              <w:bottom w:val="nil"/>
              <w:right w:val="single" w:sz="8" w:space="0" w:color="auto"/>
            </w:tcBorders>
            <w:shd w:val="clear" w:color="auto" w:fill="auto"/>
            <w:noWrap/>
            <w:vAlign w:val="bottom"/>
            <w:hideMark/>
          </w:tcPr>
          <w:p w14:paraId="4B03171A" w14:textId="77777777" w:rsidR="009B5E50" w:rsidRPr="007B0314" w:rsidRDefault="009B5E50" w:rsidP="009B5E50">
            <w:pPr>
              <w:jc w:val="center"/>
              <w:rPr>
                <w:b/>
                <w:bCs/>
                <w:lang w:val="es-GT" w:eastAsia="es-GT"/>
              </w:rPr>
            </w:pPr>
            <w:r w:rsidRPr="007B0314">
              <w:rPr>
                <w:b/>
                <w:bCs/>
                <w:lang w:val="es-GT" w:eastAsia="es-GT"/>
              </w:rPr>
              <w:t>2.5</w:t>
            </w:r>
          </w:p>
        </w:tc>
      </w:tr>
      <w:tr w:rsidR="009B5E50" w:rsidRPr="007B0314" w14:paraId="2A53E5BC" w14:textId="77777777" w:rsidTr="007B0314">
        <w:trPr>
          <w:trHeight w:val="375"/>
        </w:trPr>
        <w:tc>
          <w:tcPr>
            <w:tcW w:w="5377" w:type="dxa"/>
            <w:tcBorders>
              <w:top w:val="nil"/>
              <w:left w:val="single" w:sz="8" w:space="0" w:color="auto"/>
              <w:bottom w:val="nil"/>
              <w:right w:val="single" w:sz="8" w:space="0" w:color="auto"/>
            </w:tcBorders>
            <w:shd w:val="clear" w:color="auto" w:fill="auto"/>
            <w:noWrap/>
            <w:vAlign w:val="bottom"/>
            <w:hideMark/>
          </w:tcPr>
          <w:p w14:paraId="412EC85E" w14:textId="77777777" w:rsidR="009B5E50" w:rsidRPr="007B0314" w:rsidRDefault="009B5E50" w:rsidP="009B5E50">
            <w:pPr>
              <w:ind w:firstLineChars="200" w:firstLine="480"/>
              <w:rPr>
                <w:lang w:val="es-GT" w:eastAsia="es-GT"/>
              </w:rPr>
            </w:pPr>
            <w:r w:rsidRPr="007B0314">
              <w:rPr>
                <w:lang w:val="es-GT" w:eastAsia="es-GT"/>
              </w:rPr>
              <w:t>Inversión real directa</w:t>
            </w:r>
          </w:p>
        </w:tc>
        <w:tc>
          <w:tcPr>
            <w:tcW w:w="1984" w:type="dxa"/>
            <w:tcBorders>
              <w:top w:val="nil"/>
              <w:left w:val="single" w:sz="8" w:space="0" w:color="auto"/>
              <w:bottom w:val="nil"/>
              <w:right w:val="single" w:sz="4" w:space="0" w:color="auto"/>
            </w:tcBorders>
            <w:shd w:val="clear" w:color="auto" w:fill="auto"/>
            <w:noWrap/>
            <w:vAlign w:val="bottom"/>
            <w:hideMark/>
          </w:tcPr>
          <w:p w14:paraId="3AC98E3F" w14:textId="77777777" w:rsidR="009B5E50" w:rsidRPr="007B0314" w:rsidRDefault="009B5E50" w:rsidP="009B5E50">
            <w:pPr>
              <w:jc w:val="center"/>
              <w:rPr>
                <w:lang w:val="es-GT" w:eastAsia="es-GT"/>
              </w:rPr>
            </w:pPr>
            <w:r w:rsidRPr="007B0314">
              <w:rPr>
                <w:lang w:val="es-GT" w:eastAsia="es-GT"/>
              </w:rPr>
              <w:t>0.7</w:t>
            </w:r>
          </w:p>
        </w:tc>
        <w:tc>
          <w:tcPr>
            <w:tcW w:w="1985" w:type="dxa"/>
            <w:tcBorders>
              <w:top w:val="nil"/>
              <w:left w:val="nil"/>
              <w:bottom w:val="nil"/>
              <w:right w:val="single" w:sz="8" w:space="0" w:color="auto"/>
            </w:tcBorders>
            <w:shd w:val="clear" w:color="auto" w:fill="auto"/>
            <w:noWrap/>
            <w:vAlign w:val="bottom"/>
            <w:hideMark/>
          </w:tcPr>
          <w:p w14:paraId="6162E765" w14:textId="77777777" w:rsidR="009B5E50" w:rsidRPr="007B0314" w:rsidRDefault="009B5E50" w:rsidP="009B5E50">
            <w:pPr>
              <w:jc w:val="center"/>
              <w:rPr>
                <w:color w:val="000000"/>
                <w:lang w:val="es-GT" w:eastAsia="es-GT"/>
              </w:rPr>
            </w:pPr>
            <w:r w:rsidRPr="007B0314">
              <w:rPr>
                <w:color w:val="000000"/>
                <w:lang w:val="es-GT" w:eastAsia="es-GT"/>
              </w:rPr>
              <w:t>0.6</w:t>
            </w:r>
          </w:p>
        </w:tc>
      </w:tr>
      <w:tr w:rsidR="009B5E50" w:rsidRPr="007B0314" w14:paraId="46EABBBE" w14:textId="77777777" w:rsidTr="007B0314">
        <w:trPr>
          <w:trHeight w:val="349"/>
        </w:trPr>
        <w:tc>
          <w:tcPr>
            <w:tcW w:w="5377" w:type="dxa"/>
            <w:tcBorders>
              <w:top w:val="nil"/>
              <w:left w:val="single" w:sz="8" w:space="0" w:color="auto"/>
              <w:bottom w:val="nil"/>
              <w:right w:val="single" w:sz="8" w:space="0" w:color="auto"/>
            </w:tcBorders>
            <w:shd w:val="clear" w:color="auto" w:fill="auto"/>
            <w:noWrap/>
            <w:vAlign w:val="bottom"/>
            <w:hideMark/>
          </w:tcPr>
          <w:p w14:paraId="6FA1212E" w14:textId="77777777" w:rsidR="009B5E50" w:rsidRPr="007B0314" w:rsidRDefault="009B5E50" w:rsidP="009B5E50">
            <w:pPr>
              <w:ind w:firstLineChars="200" w:firstLine="480"/>
              <w:rPr>
                <w:lang w:val="es-GT" w:eastAsia="es-GT"/>
              </w:rPr>
            </w:pPr>
            <w:r w:rsidRPr="007B0314">
              <w:rPr>
                <w:lang w:val="es-GT" w:eastAsia="es-GT"/>
              </w:rPr>
              <w:t>Inversión financiera</w:t>
            </w:r>
          </w:p>
        </w:tc>
        <w:tc>
          <w:tcPr>
            <w:tcW w:w="1984" w:type="dxa"/>
            <w:tcBorders>
              <w:top w:val="nil"/>
              <w:left w:val="single" w:sz="8" w:space="0" w:color="auto"/>
              <w:bottom w:val="nil"/>
              <w:right w:val="single" w:sz="4" w:space="0" w:color="auto"/>
            </w:tcBorders>
            <w:shd w:val="clear" w:color="auto" w:fill="auto"/>
            <w:noWrap/>
            <w:vAlign w:val="bottom"/>
            <w:hideMark/>
          </w:tcPr>
          <w:p w14:paraId="1382D148"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1CA37C78" w14:textId="77777777" w:rsidR="009B5E50" w:rsidRPr="007B0314" w:rsidRDefault="009B5E50" w:rsidP="009B5E50">
            <w:pPr>
              <w:jc w:val="center"/>
              <w:rPr>
                <w:color w:val="000000"/>
                <w:lang w:val="es-GT" w:eastAsia="es-GT"/>
              </w:rPr>
            </w:pPr>
            <w:r w:rsidRPr="007B0314">
              <w:rPr>
                <w:color w:val="000000"/>
                <w:lang w:val="es-GT" w:eastAsia="es-GT"/>
              </w:rPr>
              <w:t>0.0</w:t>
            </w:r>
          </w:p>
        </w:tc>
      </w:tr>
      <w:tr w:rsidR="009B5E50" w:rsidRPr="007B0314" w14:paraId="4E22D8B7" w14:textId="77777777" w:rsidTr="007B0314">
        <w:trPr>
          <w:trHeight w:val="300"/>
        </w:trPr>
        <w:tc>
          <w:tcPr>
            <w:tcW w:w="5377" w:type="dxa"/>
            <w:tcBorders>
              <w:top w:val="nil"/>
              <w:left w:val="single" w:sz="8" w:space="0" w:color="auto"/>
              <w:bottom w:val="nil"/>
              <w:right w:val="single" w:sz="8" w:space="0" w:color="auto"/>
            </w:tcBorders>
            <w:shd w:val="clear" w:color="auto" w:fill="auto"/>
            <w:noWrap/>
            <w:vAlign w:val="bottom"/>
            <w:hideMark/>
          </w:tcPr>
          <w:p w14:paraId="3631520C" w14:textId="77777777" w:rsidR="009B5E50" w:rsidRPr="007B0314" w:rsidRDefault="009B5E50" w:rsidP="009B5E50">
            <w:pPr>
              <w:ind w:firstLineChars="200" w:firstLine="480"/>
              <w:rPr>
                <w:lang w:val="es-GT" w:eastAsia="es-GT"/>
              </w:rPr>
            </w:pPr>
            <w:r w:rsidRPr="007B0314">
              <w:rPr>
                <w:lang w:val="es-GT" w:eastAsia="es-GT"/>
              </w:rPr>
              <w:t>Transferencias</w:t>
            </w:r>
          </w:p>
        </w:tc>
        <w:tc>
          <w:tcPr>
            <w:tcW w:w="1984" w:type="dxa"/>
            <w:tcBorders>
              <w:top w:val="nil"/>
              <w:left w:val="single" w:sz="8" w:space="0" w:color="auto"/>
              <w:bottom w:val="nil"/>
              <w:right w:val="single" w:sz="4" w:space="0" w:color="auto"/>
            </w:tcBorders>
            <w:shd w:val="clear" w:color="auto" w:fill="auto"/>
            <w:noWrap/>
            <w:vAlign w:val="bottom"/>
            <w:hideMark/>
          </w:tcPr>
          <w:p w14:paraId="1D257106" w14:textId="77777777" w:rsidR="009B5E50" w:rsidRPr="007B0314" w:rsidRDefault="009B5E50" w:rsidP="009B5E50">
            <w:pPr>
              <w:jc w:val="center"/>
              <w:rPr>
                <w:lang w:val="es-GT" w:eastAsia="es-GT"/>
              </w:rPr>
            </w:pPr>
            <w:r w:rsidRPr="007B0314">
              <w:rPr>
                <w:lang w:val="es-GT" w:eastAsia="es-GT"/>
              </w:rPr>
              <w:t>2.0</w:t>
            </w:r>
          </w:p>
        </w:tc>
        <w:tc>
          <w:tcPr>
            <w:tcW w:w="1985" w:type="dxa"/>
            <w:tcBorders>
              <w:top w:val="nil"/>
              <w:left w:val="nil"/>
              <w:bottom w:val="nil"/>
              <w:right w:val="single" w:sz="8" w:space="0" w:color="auto"/>
            </w:tcBorders>
            <w:shd w:val="clear" w:color="auto" w:fill="auto"/>
            <w:noWrap/>
            <w:vAlign w:val="bottom"/>
            <w:hideMark/>
          </w:tcPr>
          <w:p w14:paraId="406DC4C7" w14:textId="77777777" w:rsidR="009B5E50" w:rsidRPr="007B0314" w:rsidRDefault="009B5E50" w:rsidP="009B5E50">
            <w:pPr>
              <w:jc w:val="center"/>
              <w:rPr>
                <w:lang w:val="es-GT" w:eastAsia="es-GT"/>
              </w:rPr>
            </w:pPr>
            <w:r w:rsidRPr="007B0314">
              <w:rPr>
                <w:lang w:val="es-GT" w:eastAsia="es-GT"/>
              </w:rPr>
              <w:t>1.9</w:t>
            </w:r>
          </w:p>
        </w:tc>
      </w:tr>
      <w:tr w:rsidR="009B5E50" w:rsidRPr="007B0314" w14:paraId="2807AEED" w14:textId="77777777" w:rsidTr="007B0314">
        <w:trPr>
          <w:trHeight w:val="480"/>
        </w:trPr>
        <w:tc>
          <w:tcPr>
            <w:tcW w:w="5377" w:type="dxa"/>
            <w:tcBorders>
              <w:top w:val="nil"/>
              <w:left w:val="single" w:sz="8" w:space="0" w:color="auto"/>
              <w:bottom w:val="nil"/>
              <w:right w:val="single" w:sz="8" w:space="0" w:color="auto"/>
            </w:tcBorders>
            <w:shd w:val="clear" w:color="auto" w:fill="auto"/>
            <w:noWrap/>
            <w:vAlign w:val="bottom"/>
            <w:hideMark/>
          </w:tcPr>
          <w:p w14:paraId="29E0B6D4" w14:textId="77777777" w:rsidR="009B5E50" w:rsidRPr="007B0314" w:rsidRDefault="009B5E50" w:rsidP="009B5E50">
            <w:pPr>
              <w:rPr>
                <w:b/>
                <w:bCs/>
                <w:lang w:val="es-GT" w:eastAsia="es-GT"/>
              </w:rPr>
            </w:pPr>
            <w:r w:rsidRPr="007B0314">
              <w:rPr>
                <w:b/>
                <w:bCs/>
                <w:lang w:val="es-GT" w:eastAsia="es-GT"/>
              </w:rPr>
              <w:t>Resultado en cuenta corriente</w:t>
            </w:r>
          </w:p>
        </w:tc>
        <w:tc>
          <w:tcPr>
            <w:tcW w:w="1984" w:type="dxa"/>
            <w:tcBorders>
              <w:top w:val="nil"/>
              <w:left w:val="single" w:sz="8" w:space="0" w:color="auto"/>
              <w:bottom w:val="nil"/>
              <w:right w:val="single" w:sz="4" w:space="0" w:color="auto"/>
            </w:tcBorders>
            <w:shd w:val="clear" w:color="auto" w:fill="auto"/>
            <w:noWrap/>
            <w:vAlign w:val="bottom"/>
            <w:hideMark/>
          </w:tcPr>
          <w:p w14:paraId="2CD2AE65" w14:textId="77777777" w:rsidR="009B5E50" w:rsidRPr="007B0314" w:rsidRDefault="009B5E50" w:rsidP="009B5E50">
            <w:pPr>
              <w:jc w:val="center"/>
              <w:rPr>
                <w:b/>
                <w:bCs/>
                <w:lang w:val="es-GT" w:eastAsia="es-GT"/>
              </w:rPr>
            </w:pPr>
            <w:r w:rsidRPr="007B0314">
              <w:rPr>
                <w:b/>
                <w:bCs/>
                <w:lang w:val="es-GT" w:eastAsia="es-GT"/>
              </w:rPr>
              <w:t>-0.3</w:t>
            </w:r>
          </w:p>
        </w:tc>
        <w:tc>
          <w:tcPr>
            <w:tcW w:w="1985" w:type="dxa"/>
            <w:tcBorders>
              <w:top w:val="nil"/>
              <w:left w:val="nil"/>
              <w:bottom w:val="nil"/>
              <w:right w:val="single" w:sz="8" w:space="0" w:color="auto"/>
            </w:tcBorders>
            <w:shd w:val="clear" w:color="auto" w:fill="auto"/>
            <w:noWrap/>
            <w:vAlign w:val="bottom"/>
            <w:hideMark/>
          </w:tcPr>
          <w:p w14:paraId="29792831" w14:textId="77777777" w:rsidR="009B5E50" w:rsidRPr="007B0314" w:rsidRDefault="009B5E50" w:rsidP="009B5E50">
            <w:pPr>
              <w:jc w:val="center"/>
              <w:rPr>
                <w:b/>
                <w:bCs/>
                <w:color w:val="000000"/>
                <w:lang w:val="es-GT" w:eastAsia="es-GT"/>
              </w:rPr>
            </w:pPr>
            <w:r w:rsidRPr="007B0314">
              <w:rPr>
                <w:b/>
                <w:bCs/>
                <w:color w:val="000000"/>
                <w:lang w:val="es-GT" w:eastAsia="es-GT"/>
              </w:rPr>
              <w:t>0.8</w:t>
            </w:r>
          </w:p>
        </w:tc>
      </w:tr>
      <w:tr w:rsidR="009B5E50" w:rsidRPr="007B0314" w14:paraId="1CFB8BD3" w14:textId="77777777" w:rsidTr="007B0314">
        <w:trPr>
          <w:trHeight w:val="480"/>
        </w:trPr>
        <w:tc>
          <w:tcPr>
            <w:tcW w:w="5377" w:type="dxa"/>
            <w:tcBorders>
              <w:top w:val="nil"/>
              <w:left w:val="single" w:sz="8" w:space="0" w:color="auto"/>
              <w:bottom w:val="nil"/>
              <w:right w:val="single" w:sz="8" w:space="0" w:color="auto"/>
            </w:tcBorders>
            <w:shd w:val="clear" w:color="auto" w:fill="auto"/>
            <w:noWrap/>
            <w:vAlign w:val="bottom"/>
            <w:hideMark/>
          </w:tcPr>
          <w:p w14:paraId="49CE8CBE" w14:textId="77777777" w:rsidR="009B5E50" w:rsidRPr="007B0314" w:rsidRDefault="009B5E50" w:rsidP="009B5E50">
            <w:pPr>
              <w:rPr>
                <w:b/>
                <w:bCs/>
                <w:lang w:val="es-GT" w:eastAsia="es-GT"/>
              </w:rPr>
            </w:pPr>
            <w:r w:rsidRPr="007B0314">
              <w:rPr>
                <w:b/>
                <w:bCs/>
                <w:lang w:val="es-GT" w:eastAsia="es-GT"/>
              </w:rPr>
              <w:t>Resultado primario</w:t>
            </w:r>
          </w:p>
        </w:tc>
        <w:tc>
          <w:tcPr>
            <w:tcW w:w="1984" w:type="dxa"/>
            <w:tcBorders>
              <w:top w:val="nil"/>
              <w:left w:val="single" w:sz="8" w:space="0" w:color="auto"/>
              <w:bottom w:val="nil"/>
              <w:right w:val="single" w:sz="4" w:space="0" w:color="auto"/>
            </w:tcBorders>
            <w:shd w:val="clear" w:color="auto" w:fill="auto"/>
            <w:noWrap/>
            <w:vAlign w:val="bottom"/>
            <w:hideMark/>
          </w:tcPr>
          <w:p w14:paraId="13FA3C47" w14:textId="77777777" w:rsidR="009B5E50" w:rsidRPr="007B0314" w:rsidRDefault="009B5E50" w:rsidP="009B5E50">
            <w:pPr>
              <w:jc w:val="center"/>
              <w:rPr>
                <w:b/>
                <w:bCs/>
                <w:lang w:val="es-GT" w:eastAsia="es-GT"/>
              </w:rPr>
            </w:pPr>
            <w:r w:rsidRPr="007B0314">
              <w:rPr>
                <w:b/>
                <w:bCs/>
                <w:lang w:val="es-GT" w:eastAsia="es-GT"/>
              </w:rPr>
              <w:t>-1.4</w:t>
            </w:r>
          </w:p>
        </w:tc>
        <w:tc>
          <w:tcPr>
            <w:tcW w:w="1985" w:type="dxa"/>
            <w:tcBorders>
              <w:top w:val="nil"/>
              <w:left w:val="nil"/>
              <w:bottom w:val="nil"/>
              <w:right w:val="single" w:sz="8" w:space="0" w:color="auto"/>
            </w:tcBorders>
            <w:shd w:val="clear" w:color="auto" w:fill="auto"/>
            <w:noWrap/>
            <w:vAlign w:val="bottom"/>
            <w:hideMark/>
          </w:tcPr>
          <w:p w14:paraId="01E72ED0" w14:textId="77777777" w:rsidR="009B5E50" w:rsidRPr="007B0314" w:rsidRDefault="009B5E50" w:rsidP="009B5E50">
            <w:pPr>
              <w:jc w:val="center"/>
              <w:rPr>
                <w:b/>
                <w:bCs/>
                <w:color w:val="000000"/>
                <w:lang w:val="es-GT" w:eastAsia="es-GT"/>
              </w:rPr>
            </w:pPr>
            <w:r w:rsidRPr="007B0314">
              <w:rPr>
                <w:b/>
                <w:bCs/>
                <w:color w:val="000000"/>
                <w:lang w:val="es-GT" w:eastAsia="es-GT"/>
              </w:rPr>
              <w:t>-0.1</w:t>
            </w:r>
          </w:p>
        </w:tc>
      </w:tr>
      <w:tr w:rsidR="009B5E50" w:rsidRPr="007B0314" w14:paraId="281C63C8" w14:textId="77777777" w:rsidTr="007B0314">
        <w:trPr>
          <w:trHeight w:val="390"/>
        </w:trPr>
        <w:tc>
          <w:tcPr>
            <w:tcW w:w="5377" w:type="dxa"/>
            <w:tcBorders>
              <w:top w:val="nil"/>
              <w:left w:val="single" w:sz="8" w:space="0" w:color="auto"/>
              <w:bottom w:val="single" w:sz="8" w:space="0" w:color="auto"/>
              <w:right w:val="single" w:sz="8" w:space="0" w:color="auto"/>
            </w:tcBorders>
            <w:shd w:val="clear" w:color="auto" w:fill="auto"/>
            <w:noWrap/>
            <w:vAlign w:val="bottom"/>
            <w:hideMark/>
          </w:tcPr>
          <w:p w14:paraId="792FE236" w14:textId="77777777" w:rsidR="009B5E50" w:rsidRPr="007B0314" w:rsidRDefault="009B5E50" w:rsidP="009B5E50">
            <w:pPr>
              <w:rPr>
                <w:b/>
                <w:bCs/>
                <w:lang w:val="es-GT" w:eastAsia="es-GT"/>
              </w:rPr>
            </w:pPr>
            <w:r w:rsidRPr="007B0314">
              <w:rPr>
                <w:b/>
                <w:bCs/>
                <w:lang w:val="es-GT" w:eastAsia="es-GT"/>
              </w:rPr>
              <w:t>Resultado presupuestal</w:t>
            </w:r>
          </w:p>
        </w:tc>
        <w:tc>
          <w:tcPr>
            <w:tcW w:w="1984" w:type="dxa"/>
            <w:tcBorders>
              <w:top w:val="nil"/>
              <w:left w:val="nil"/>
              <w:bottom w:val="single" w:sz="8" w:space="0" w:color="auto"/>
              <w:right w:val="single" w:sz="4" w:space="0" w:color="auto"/>
            </w:tcBorders>
            <w:shd w:val="clear" w:color="auto" w:fill="auto"/>
            <w:noWrap/>
            <w:vAlign w:val="bottom"/>
            <w:hideMark/>
          </w:tcPr>
          <w:p w14:paraId="3D062A2D" w14:textId="77777777" w:rsidR="009B5E50" w:rsidRPr="007B0314" w:rsidRDefault="009B5E50" w:rsidP="009B5E50">
            <w:pPr>
              <w:jc w:val="center"/>
              <w:rPr>
                <w:b/>
                <w:bCs/>
                <w:lang w:val="es-GT" w:eastAsia="es-GT"/>
              </w:rPr>
            </w:pPr>
            <w:r w:rsidRPr="007B0314">
              <w:rPr>
                <w:b/>
                <w:bCs/>
                <w:lang w:val="es-GT" w:eastAsia="es-GT"/>
              </w:rPr>
              <w:t>-3.0</w:t>
            </w:r>
          </w:p>
        </w:tc>
        <w:tc>
          <w:tcPr>
            <w:tcW w:w="1985" w:type="dxa"/>
            <w:tcBorders>
              <w:top w:val="nil"/>
              <w:left w:val="nil"/>
              <w:bottom w:val="single" w:sz="8" w:space="0" w:color="auto"/>
              <w:right w:val="single" w:sz="8" w:space="0" w:color="auto"/>
            </w:tcBorders>
            <w:shd w:val="clear" w:color="auto" w:fill="auto"/>
            <w:noWrap/>
            <w:vAlign w:val="bottom"/>
            <w:hideMark/>
          </w:tcPr>
          <w:p w14:paraId="308CE43A" w14:textId="77777777" w:rsidR="009B5E50" w:rsidRPr="007B0314" w:rsidRDefault="009B5E50" w:rsidP="009B5E50">
            <w:pPr>
              <w:jc w:val="center"/>
              <w:rPr>
                <w:b/>
                <w:bCs/>
                <w:lang w:val="es-GT" w:eastAsia="es-GT"/>
              </w:rPr>
            </w:pPr>
            <w:r w:rsidRPr="007B0314">
              <w:rPr>
                <w:b/>
                <w:bCs/>
                <w:lang w:val="es-GT" w:eastAsia="es-GT"/>
              </w:rPr>
              <w:t>-1.7</w:t>
            </w:r>
          </w:p>
        </w:tc>
      </w:tr>
      <w:tr w:rsidR="009B5E50" w:rsidRPr="007B0314" w14:paraId="222438E8" w14:textId="77777777" w:rsidTr="007B0314">
        <w:trPr>
          <w:trHeight w:val="283"/>
        </w:trPr>
        <w:tc>
          <w:tcPr>
            <w:tcW w:w="5377" w:type="dxa"/>
            <w:tcBorders>
              <w:top w:val="nil"/>
              <w:left w:val="single" w:sz="8" w:space="0" w:color="auto"/>
              <w:bottom w:val="nil"/>
              <w:right w:val="single" w:sz="8" w:space="0" w:color="auto"/>
            </w:tcBorders>
            <w:shd w:val="clear" w:color="auto" w:fill="auto"/>
            <w:noWrap/>
            <w:vAlign w:val="bottom"/>
            <w:hideMark/>
          </w:tcPr>
          <w:p w14:paraId="642CB9E9" w14:textId="77777777" w:rsidR="009B5E50" w:rsidRPr="007B0314" w:rsidRDefault="009B5E50" w:rsidP="009B5E50">
            <w:pPr>
              <w:rPr>
                <w:lang w:val="es-GT" w:eastAsia="es-GT"/>
              </w:rPr>
            </w:pPr>
            <w:r w:rsidRPr="007B0314">
              <w:rPr>
                <w:lang w:val="es-GT" w:eastAsia="es-GT"/>
              </w:rPr>
              <w:t>Financiamiento total</w:t>
            </w:r>
          </w:p>
        </w:tc>
        <w:tc>
          <w:tcPr>
            <w:tcW w:w="1984" w:type="dxa"/>
            <w:tcBorders>
              <w:top w:val="nil"/>
              <w:left w:val="single" w:sz="8" w:space="0" w:color="auto"/>
              <w:bottom w:val="nil"/>
              <w:right w:val="single" w:sz="4" w:space="0" w:color="auto"/>
            </w:tcBorders>
            <w:shd w:val="clear" w:color="auto" w:fill="auto"/>
            <w:noWrap/>
            <w:vAlign w:val="bottom"/>
            <w:hideMark/>
          </w:tcPr>
          <w:p w14:paraId="22E4F9B6" w14:textId="77777777" w:rsidR="009B5E50" w:rsidRPr="007B0314" w:rsidRDefault="009B5E50" w:rsidP="009B5E50">
            <w:pPr>
              <w:jc w:val="center"/>
              <w:rPr>
                <w:lang w:val="es-GT" w:eastAsia="es-GT"/>
              </w:rPr>
            </w:pPr>
            <w:r w:rsidRPr="007B0314">
              <w:rPr>
                <w:lang w:val="es-GT" w:eastAsia="es-GT"/>
              </w:rPr>
              <w:t>3.0</w:t>
            </w:r>
          </w:p>
        </w:tc>
        <w:tc>
          <w:tcPr>
            <w:tcW w:w="1985" w:type="dxa"/>
            <w:tcBorders>
              <w:top w:val="nil"/>
              <w:left w:val="nil"/>
              <w:bottom w:val="nil"/>
              <w:right w:val="single" w:sz="8" w:space="0" w:color="auto"/>
            </w:tcBorders>
            <w:shd w:val="clear" w:color="auto" w:fill="auto"/>
            <w:noWrap/>
            <w:vAlign w:val="bottom"/>
            <w:hideMark/>
          </w:tcPr>
          <w:p w14:paraId="454C7B55" w14:textId="77777777" w:rsidR="009B5E50" w:rsidRPr="007B0314" w:rsidRDefault="009B5E50" w:rsidP="009B5E50">
            <w:pPr>
              <w:jc w:val="center"/>
              <w:rPr>
                <w:lang w:val="es-GT" w:eastAsia="es-GT"/>
              </w:rPr>
            </w:pPr>
            <w:r w:rsidRPr="007B0314">
              <w:rPr>
                <w:lang w:val="es-GT" w:eastAsia="es-GT"/>
              </w:rPr>
              <w:t>1.7</w:t>
            </w:r>
          </w:p>
        </w:tc>
      </w:tr>
      <w:tr w:rsidR="009B5E50" w:rsidRPr="007B0314" w14:paraId="7D8E65D1" w14:textId="77777777" w:rsidTr="007B0314">
        <w:trPr>
          <w:trHeight w:val="405"/>
        </w:trPr>
        <w:tc>
          <w:tcPr>
            <w:tcW w:w="5377" w:type="dxa"/>
            <w:tcBorders>
              <w:top w:val="nil"/>
              <w:left w:val="single" w:sz="8" w:space="0" w:color="auto"/>
              <w:bottom w:val="nil"/>
              <w:right w:val="single" w:sz="8" w:space="0" w:color="auto"/>
            </w:tcBorders>
            <w:shd w:val="clear" w:color="auto" w:fill="auto"/>
            <w:noWrap/>
            <w:vAlign w:val="bottom"/>
            <w:hideMark/>
          </w:tcPr>
          <w:p w14:paraId="62A7EBA1" w14:textId="77777777" w:rsidR="009B5E50" w:rsidRPr="007B0314" w:rsidRDefault="009B5E50" w:rsidP="009B5E50">
            <w:pPr>
              <w:ind w:firstLineChars="100" w:firstLine="241"/>
              <w:rPr>
                <w:b/>
                <w:bCs/>
                <w:lang w:val="es-GT" w:eastAsia="es-GT"/>
              </w:rPr>
            </w:pPr>
            <w:r w:rsidRPr="007B0314">
              <w:rPr>
                <w:b/>
                <w:bCs/>
                <w:lang w:val="es-GT" w:eastAsia="es-GT"/>
              </w:rPr>
              <w:t>Financiamiento externo neto</w:t>
            </w:r>
          </w:p>
        </w:tc>
        <w:tc>
          <w:tcPr>
            <w:tcW w:w="1984" w:type="dxa"/>
            <w:tcBorders>
              <w:top w:val="nil"/>
              <w:left w:val="single" w:sz="8" w:space="0" w:color="auto"/>
              <w:bottom w:val="nil"/>
              <w:right w:val="single" w:sz="4" w:space="0" w:color="auto"/>
            </w:tcBorders>
            <w:shd w:val="clear" w:color="auto" w:fill="auto"/>
            <w:noWrap/>
            <w:vAlign w:val="bottom"/>
            <w:hideMark/>
          </w:tcPr>
          <w:p w14:paraId="5F07670A" w14:textId="77777777" w:rsidR="009B5E50" w:rsidRPr="007B0314" w:rsidRDefault="009B5E50" w:rsidP="009B5E50">
            <w:pPr>
              <w:jc w:val="center"/>
              <w:rPr>
                <w:b/>
                <w:bCs/>
                <w:lang w:val="es-GT" w:eastAsia="es-GT"/>
              </w:rPr>
            </w:pPr>
            <w:r w:rsidRPr="007B0314">
              <w:rPr>
                <w:b/>
                <w:bCs/>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3A08C586" w14:textId="77777777" w:rsidR="009B5E50" w:rsidRPr="007B0314" w:rsidRDefault="009B5E50" w:rsidP="009B5E50">
            <w:pPr>
              <w:jc w:val="center"/>
              <w:rPr>
                <w:b/>
                <w:bCs/>
                <w:lang w:val="es-GT" w:eastAsia="es-GT"/>
              </w:rPr>
            </w:pPr>
            <w:r w:rsidRPr="007B0314">
              <w:rPr>
                <w:b/>
                <w:bCs/>
                <w:lang w:val="es-GT" w:eastAsia="es-GT"/>
              </w:rPr>
              <w:t>1.0</w:t>
            </w:r>
          </w:p>
        </w:tc>
      </w:tr>
      <w:tr w:rsidR="009B5E50" w:rsidRPr="007B0314" w14:paraId="2EDEC79B"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5AE4EF59" w14:textId="77777777" w:rsidR="009B5E50" w:rsidRPr="007B0314" w:rsidRDefault="009B5E50" w:rsidP="009B5E50">
            <w:pPr>
              <w:ind w:firstLineChars="200" w:firstLine="480"/>
              <w:rPr>
                <w:lang w:val="es-GT" w:eastAsia="es-GT"/>
              </w:rPr>
            </w:pPr>
            <w:r w:rsidRPr="007B0314">
              <w:rPr>
                <w:lang w:val="es-GT" w:eastAsia="es-GT"/>
              </w:rPr>
              <w:t>Préstamos</w:t>
            </w:r>
          </w:p>
        </w:tc>
        <w:tc>
          <w:tcPr>
            <w:tcW w:w="1984" w:type="dxa"/>
            <w:tcBorders>
              <w:top w:val="nil"/>
              <w:left w:val="single" w:sz="8" w:space="0" w:color="auto"/>
              <w:bottom w:val="nil"/>
              <w:right w:val="single" w:sz="4" w:space="0" w:color="auto"/>
            </w:tcBorders>
            <w:shd w:val="clear" w:color="auto" w:fill="auto"/>
            <w:noWrap/>
            <w:vAlign w:val="bottom"/>
            <w:hideMark/>
          </w:tcPr>
          <w:p w14:paraId="1BBEFCE1"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08F80B86" w14:textId="77777777" w:rsidR="009B5E50" w:rsidRPr="007B0314" w:rsidRDefault="009B5E50" w:rsidP="009B5E50">
            <w:pPr>
              <w:jc w:val="center"/>
              <w:rPr>
                <w:lang w:val="es-GT" w:eastAsia="es-GT"/>
              </w:rPr>
            </w:pPr>
            <w:r w:rsidRPr="007B0314">
              <w:rPr>
                <w:lang w:val="es-GT" w:eastAsia="es-GT"/>
              </w:rPr>
              <w:t>0.0</w:t>
            </w:r>
          </w:p>
        </w:tc>
      </w:tr>
      <w:tr w:rsidR="009B5E50" w:rsidRPr="007B0314" w14:paraId="671B0A91"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339C5A6E" w14:textId="77777777" w:rsidR="009B5E50" w:rsidRPr="007B0314" w:rsidRDefault="009B5E50" w:rsidP="009B5E50">
            <w:pPr>
              <w:ind w:firstLineChars="300" w:firstLine="720"/>
              <w:rPr>
                <w:lang w:val="es-GT" w:eastAsia="es-GT"/>
              </w:rPr>
            </w:pPr>
            <w:r w:rsidRPr="007B0314">
              <w:rPr>
                <w:lang w:val="es-GT" w:eastAsia="es-GT"/>
              </w:rPr>
              <w:t xml:space="preserve">Desembolsos  </w:t>
            </w:r>
          </w:p>
        </w:tc>
        <w:tc>
          <w:tcPr>
            <w:tcW w:w="1984" w:type="dxa"/>
            <w:tcBorders>
              <w:top w:val="nil"/>
              <w:left w:val="single" w:sz="8" w:space="0" w:color="auto"/>
              <w:bottom w:val="nil"/>
              <w:right w:val="single" w:sz="4" w:space="0" w:color="auto"/>
            </w:tcBorders>
            <w:shd w:val="clear" w:color="auto" w:fill="auto"/>
            <w:noWrap/>
            <w:vAlign w:val="bottom"/>
            <w:hideMark/>
          </w:tcPr>
          <w:p w14:paraId="1045EEA1" w14:textId="77777777" w:rsidR="009B5E50" w:rsidRPr="007B0314" w:rsidRDefault="009B5E50" w:rsidP="009B5E50">
            <w:pPr>
              <w:jc w:val="center"/>
              <w:rPr>
                <w:lang w:val="es-GT" w:eastAsia="es-GT"/>
              </w:rPr>
            </w:pPr>
            <w:r w:rsidRPr="007B0314">
              <w:rPr>
                <w:lang w:val="es-GT" w:eastAsia="es-GT"/>
              </w:rPr>
              <w:t>0.4</w:t>
            </w:r>
          </w:p>
        </w:tc>
        <w:tc>
          <w:tcPr>
            <w:tcW w:w="1985" w:type="dxa"/>
            <w:tcBorders>
              <w:top w:val="nil"/>
              <w:left w:val="nil"/>
              <w:bottom w:val="nil"/>
              <w:right w:val="single" w:sz="8" w:space="0" w:color="auto"/>
            </w:tcBorders>
            <w:shd w:val="clear" w:color="auto" w:fill="auto"/>
            <w:noWrap/>
            <w:vAlign w:val="bottom"/>
            <w:hideMark/>
          </w:tcPr>
          <w:p w14:paraId="65E04099" w14:textId="77777777" w:rsidR="009B5E50" w:rsidRPr="007B0314" w:rsidRDefault="009B5E50" w:rsidP="009B5E50">
            <w:pPr>
              <w:jc w:val="center"/>
              <w:rPr>
                <w:lang w:val="es-GT" w:eastAsia="es-GT"/>
              </w:rPr>
            </w:pPr>
            <w:r w:rsidRPr="007B0314">
              <w:rPr>
                <w:lang w:val="es-GT" w:eastAsia="es-GT"/>
              </w:rPr>
              <w:t>0.3</w:t>
            </w:r>
          </w:p>
        </w:tc>
      </w:tr>
      <w:tr w:rsidR="009B5E50" w:rsidRPr="007B0314" w14:paraId="07452785"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1371467A" w14:textId="77777777" w:rsidR="009B5E50" w:rsidRPr="007B0314" w:rsidRDefault="009B5E50" w:rsidP="009B5E50">
            <w:pPr>
              <w:ind w:firstLineChars="300" w:firstLine="720"/>
              <w:rPr>
                <w:lang w:val="es-GT" w:eastAsia="es-GT"/>
              </w:rPr>
            </w:pPr>
            <w:r w:rsidRPr="007B0314">
              <w:rPr>
                <w:lang w:val="es-GT" w:eastAsia="es-GT"/>
              </w:rPr>
              <w:t>Amortizaciones</w:t>
            </w:r>
          </w:p>
        </w:tc>
        <w:tc>
          <w:tcPr>
            <w:tcW w:w="1984" w:type="dxa"/>
            <w:tcBorders>
              <w:top w:val="nil"/>
              <w:left w:val="single" w:sz="8" w:space="0" w:color="auto"/>
              <w:bottom w:val="nil"/>
              <w:right w:val="single" w:sz="4" w:space="0" w:color="auto"/>
            </w:tcBorders>
            <w:shd w:val="clear" w:color="auto" w:fill="auto"/>
            <w:noWrap/>
            <w:vAlign w:val="bottom"/>
            <w:hideMark/>
          </w:tcPr>
          <w:p w14:paraId="7BA97C13" w14:textId="77777777" w:rsidR="009B5E50" w:rsidRPr="007B0314" w:rsidRDefault="009B5E50" w:rsidP="009B5E50">
            <w:pPr>
              <w:jc w:val="center"/>
              <w:rPr>
                <w:lang w:val="es-GT" w:eastAsia="es-GT"/>
              </w:rPr>
            </w:pPr>
            <w:r w:rsidRPr="007B0314">
              <w:rPr>
                <w:lang w:val="es-GT" w:eastAsia="es-GT"/>
              </w:rPr>
              <w:t>0.4</w:t>
            </w:r>
          </w:p>
        </w:tc>
        <w:tc>
          <w:tcPr>
            <w:tcW w:w="1985" w:type="dxa"/>
            <w:tcBorders>
              <w:top w:val="nil"/>
              <w:left w:val="nil"/>
              <w:bottom w:val="nil"/>
              <w:right w:val="single" w:sz="8" w:space="0" w:color="auto"/>
            </w:tcBorders>
            <w:shd w:val="clear" w:color="auto" w:fill="auto"/>
            <w:noWrap/>
            <w:vAlign w:val="bottom"/>
            <w:hideMark/>
          </w:tcPr>
          <w:p w14:paraId="3009E93A" w14:textId="77777777" w:rsidR="009B5E50" w:rsidRPr="007B0314" w:rsidRDefault="009B5E50" w:rsidP="009B5E50">
            <w:pPr>
              <w:jc w:val="center"/>
              <w:rPr>
                <w:lang w:val="es-GT" w:eastAsia="es-GT"/>
              </w:rPr>
            </w:pPr>
            <w:r w:rsidRPr="007B0314">
              <w:rPr>
                <w:lang w:val="es-GT" w:eastAsia="es-GT"/>
              </w:rPr>
              <w:t>0.3</w:t>
            </w:r>
          </w:p>
        </w:tc>
      </w:tr>
      <w:tr w:rsidR="009B5E50" w:rsidRPr="007B0314" w14:paraId="49590899"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0309DDCE" w14:textId="77777777" w:rsidR="009B5E50" w:rsidRPr="007B0314" w:rsidRDefault="009B5E50" w:rsidP="009B5E50">
            <w:pPr>
              <w:ind w:firstLineChars="200" w:firstLine="480"/>
              <w:rPr>
                <w:lang w:val="es-GT" w:eastAsia="es-GT"/>
              </w:rPr>
            </w:pPr>
            <w:r w:rsidRPr="007B0314">
              <w:rPr>
                <w:lang w:val="es-GT" w:eastAsia="es-GT"/>
              </w:rPr>
              <w:t>Negociación neta de eurobonos</w:t>
            </w:r>
          </w:p>
        </w:tc>
        <w:tc>
          <w:tcPr>
            <w:tcW w:w="1984" w:type="dxa"/>
            <w:tcBorders>
              <w:top w:val="nil"/>
              <w:left w:val="single" w:sz="8" w:space="0" w:color="auto"/>
              <w:bottom w:val="nil"/>
              <w:right w:val="single" w:sz="4" w:space="0" w:color="auto"/>
            </w:tcBorders>
            <w:shd w:val="clear" w:color="auto" w:fill="auto"/>
            <w:noWrap/>
            <w:vAlign w:val="bottom"/>
            <w:hideMark/>
          </w:tcPr>
          <w:p w14:paraId="2C8EDC10"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7F9D1C71" w14:textId="77777777" w:rsidR="009B5E50" w:rsidRPr="007B0314" w:rsidRDefault="009B5E50" w:rsidP="009B5E50">
            <w:pPr>
              <w:jc w:val="center"/>
              <w:rPr>
                <w:lang w:val="es-GT" w:eastAsia="es-GT"/>
              </w:rPr>
            </w:pPr>
            <w:r w:rsidRPr="007B0314">
              <w:rPr>
                <w:lang w:val="es-GT" w:eastAsia="es-GT"/>
              </w:rPr>
              <w:t>1.0</w:t>
            </w:r>
          </w:p>
        </w:tc>
      </w:tr>
      <w:tr w:rsidR="009B5E50" w:rsidRPr="007B0314" w14:paraId="10D79B09" w14:textId="77777777" w:rsidTr="007B0314">
        <w:trPr>
          <w:trHeight w:val="375"/>
        </w:trPr>
        <w:tc>
          <w:tcPr>
            <w:tcW w:w="5377" w:type="dxa"/>
            <w:tcBorders>
              <w:top w:val="nil"/>
              <w:left w:val="single" w:sz="8" w:space="0" w:color="auto"/>
              <w:bottom w:val="nil"/>
              <w:right w:val="single" w:sz="8" w:space="0" w:color="auto"/>
            </w:tcBorders>
            <w:shd w:val="clear" w:color="auto" w:fill="auto"/>
            <w:noWrap/>
            <w:vAlign w:val="bottom"/>
            <w:hideMark/>
          </w:tcPr>
          <w:p w14:paraId="77AB9EA2" w14:textId="77777777" w:rsidR="009B5E50" w:rsidRPr="007B0314" w:rsidRDefault="009B5E50" w:rsidP="009B5E50">
            <w:pPr>
              <w:ind w:firstLineChars="100" w:firstLine="241"/>
              <w:rPr>
                <w:b/>
                <w:bCs/>
                <w:lang w:val="es-GT" w:eastAsia="es-GT"/>
              </w:rPr>
            </w:pPr>
            <w:r w:rsidRPr="007B0314">
              <w:rPr>
                <w:b/>
                <w:bCs/>
                <w:lang w:val="es-GT" w:eastAsia="es-GT"/>
              </w:rPr>
              <w:t>Financiamiento interno neto</w:t>
            </w:r>
          </w:p>
        </w:tc>
        <w:tc>
          <w:tcPr>
            <w:tcW w:w="1984" w:type="dxa"/>
            <w:tcBorders>
              <w:top w:val="nil"/>
              <w:left w:val="single" w:sz="8" w:space="0" w:color="auto"/>
              <w:bottom w:val="nil"/>
              <w:right w:val="single" w:sz="4" w:space="0" w:color="auto"/>
            </w:tcBorders>
            <w:shd w:val="clear" w:color="auto" w:fill="auto"/>
            <w:noWrap/>
            <w:vAlign w:val="bottom"/>
            <w:hideMark/>
          </w:tcPr>
          <w:p w14:paraId="0DF1B0E1" w14:textId="77777777" w:rsidR="009B5E50" w:rsidRPr="007B0314" w:rsidRDefault="009B5E50" w:rsidP="009B5E50">
            <w:pPr>
              <w:jc w:val="center"/>
              <w:rPr>
                <w:b/>
                <w:bCs/>
                <w:lang w:val="es-GT" w:eastAsia="es-GT"/>
              </w:rPr>
            </w:pPr>
            <w:r w:rsidRPr="007B0314">
              <w:rPr>
                <w:b/>
                <w:bCs/>
                <w:lang w:val="es-GT" w:eastAsia="es-GT"/>
              </w:rPr>
              <w:t>3.0</w:t>
            </w:r>
          </w:p>
        </w:tc>
        <w:tc>
          <w:tcPr>
            <w:tcW w:w="1985" w:type="dxa"/>
            <w:tcBorders>
              <w:top w:val="nil"/>
              <w:left w:val="nil"/>
              <w:bottom w:val="nil"/>
              <w:right w:val="single" w:sz="8" w:space="0" w:color="auto"/>
            </w:tcBorders>
            <w:shd w:val="clear" w:color="auto" w:fill="auto"/>
            <w:noWrap/>
            <w:vAlign w:val="bottom"/>
            <w:hideMark/>
          </w:tcPr>
          <w:p w14:paraId="0C1B5D51" w14:textId="77777777" w:rsidR="009B5E50" w:rsidRPr="007B0314" w:rsidRDefault="009B5E50" w:rsidP="009B5E50">
            <w:pPr>
              <w:jc w:val="center"/>
              <w:rPr>
                <w:b/>
                <w:bCs/>
                <w:lang w:val="es-GT" w:eastAsia="es-GT"/>
              </w:rPr>
            </w:pPr>
            <w:r w:rsidRPr="007B0314">
              <w:rPr>
                <w:b/>
                <w:bCs/>
                <w:lang w:val="es-GT" w:eastAsia="es-GT"/>
              </w:rPr>
              <w:t>0.7</w:t>
            </w:r>
          </w:p>
        </w:tc>
      </w:tr>
      <w:tr w:rsidR="009B5E50" w:rsidRPr="007B0314" w14:paraId="0B3D1C4E" w14:textId="77777777" w:rsidTr="007B0314">
        <w:trPr>
          <w:trHeight w:val="390"/>
        </w:trPr>
        <w:tc>
          <w:tcPr>
            <w:tcW w:w="5377" w:type="dxa"/>
            <w:tcBorders>
              <w:top w:val="nil"/>
              <w:left w:val="single" w:sz="8" w:space="0" w:color="auto"/>
              <w:bottom w:val="nil"/>
              <w:right w:val="single" w:sz="8" w:space="0" w:color="auto"/>
            </w:tcBorders>
            <w:shd w:val="clear" w:color="auto" w:fill="auto"/>
            <w:noWrap/>
            <w:vAlign w:val="bottom"/>
            <w:hideMark/>
          </w:tcPr>
          <w:p w14:paraId="3A635AFF" w14:textId="77777777" w:rsidR="009B5E50" w:rsidRPr="007B0314" w:rsidRDefault="009B5E50" w:rsidP="009B5E50">
            <w:pPr>
              <w:ind w:firstLineChars="200" w:firstLine="480"/>
              <w:rPr>
                <w:lang w:val="es-GT" w:eastAsia="es-GT"/>
              </w:rPr>
            </w:pPr>
            <w:r w:rsidRPr="007B0314">
              <w:rPr>
                <w:lang w:val="es-GT" w:eastAsia="es-GT"/>
              </w:rPr>
              <w:t xml:space="preserve">Negociación neta  </w:t>
            </w:r>
          </w:p>
        </w:tc>
        <w:tc>
          <w:tcPr>
            <w:tcW w:w="1984" w:type="dxa"/>
            <w:tcBorders>
              <w:top w:val="nil"/>
              <w:left w:val="single" w:sz="8" w:space="0" w:color="auto"/>
              <w:bottom w:val="nil"/>
              <w:right w:val="single" w:sz="4" w:space="0" w:color="auto"/>
            </w:tcBorders>
            <w:shd w:val="clear" w:color="auto" w:fill="auto"/>
            <w:noWrap/>
            <w:vAlign w:val="bottom"/>
            <w:hideMark/>
          </w:tcPr>
          <w:p w14:paraId="10A6C15B" w14:textId="77777777" w:rsidR="009B5E50" w:rsidRPr="007B0314" w:rsidRDefault="009B5E50" w:rsidP="009B5E50">
            <w:pPr>
              <w:jc w:val="center"/>
              <w:rPr>
                <w:lang w:val="es-GT" w:eastAsia="es-GT"/>
              </w:rPr>
            </w:pPr>
            <w:r w:rsidRPr="007B0314">
              <w:rPr>
                <w:lang w:val="es-GT" w:eastAsia="es-GT"/>
              </w:rPr>
              <w:t>1.6</w:t>
            </w:r>
          </w:p>
        </w:tc>
        <w:tc>
          <w:tcPr>
            <w:tcW w:w="1985" w:type="dxa"/>
            <w:tcBorders>
              <w:top w:val="nil"/>
              <w:left w:val="nil"/>
              <w:bottom w:val="nil"/>
              <w:right w:val="single" w:sz="8" w:space="0" w:color="auto"/>
            </w:tcBorders>
            <w:shd w:val="clear" w:color="auto" w:fill="auto"/>
            <w:noWrap/>
            <w:vAlign w:val="bottom"/>
            <w:hideMark/>
          </w:tcPr>
          <w:p w14:paraId="685475EE" w14:textId="77777777" w:rsidR="009B5E50" w:rsidRPr="007B0314" w:rsidRDefault="009B5E50" w:rsidP="009B5E50">
            <w:pPr>
              <w:jc w:val="center"/>
              <w:rPr>
                <w:lang w:val="es-GT" w:eastAsia="es-GT"/>
              </w:rPr>
            </w:pPr>
            <w:r w:rsidRPr="007B0314">
              <w:rPr>
                <w:lang w:val="es-GT" w:eastAsia="es-GT"/>
              </w:rPr>
              <w:t>0.4</w:t>
            </w:r>
          </w:p>
        </w:tc>
      </w:tr>
      <w:tr w:rsidR="009B5E50" w:rsidRPr="007B0314" w14:paraId="5549E3D7"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4273A4F1" w14:textId="77777777" w:rsidR="009B5E50" w:rsidRPr="007B0314" w:rsidRDefault="009B5E50" w:rsidP="009B5E50">
            <w:pPr>
              <w:ind w:firstLineChars="300" w:firstLine="720"/>
              <w:rPr>
                <w:lang w:val="es-GT" w:eastAsia="es-GT"/>
              </w:rPr>
            </w:pPr>
            <w:r w:rsidRPr="007B0314">
              <w:rPr>
                <w:lang w:val="es-GT" w:eastAsia="es-GT"/>
              </w:rPr>
              <w:t>Negociación de bonos</w:t>
            </w:r>
          </w:p>
        </w:tc>
        <w:tc>
          <w:tcPr>
            <w:tcW w:w="1984" w:type="dxa"/>
            <w:tcBorders>
              <w:top w:val="nil"/>
              <w:left w:val="single" w:sz="8" w:space="0" w:color="auto"/>
              <w:bottom w:val="nil"/>
              <w:right w:val="single" w:sz="4" w:space="0" w:color="auto"/>
            </w:tcBorders>
            <w:shd w:val="clear" w:color="auto" w:fill="auto"/>
            <w:noWrap/>
            <w:vAlign w:val="bottom"/>
            <w:hideMark/>
          </w:tcPr>
          <w:p w14:paraId="698B8BC3" w14:textId="77777777" w:rsidR="009B5E50" w:rsidRPr="007B0314" w:rsidRDefault="009B5E50" w:rsidP="009B5E50">
            <w:pPr>
              <w:jc w:val="center"/>
              <w:rPr>
                <w:lang w:val="es-GT" w:eastAsia="es-GT"/>
              </w:rPr>
            </w:pPr>
            <w:r w:rsidRPr="007B0314">
              <w:rPr>
                <w:lang w:val="es-GT" w:eastAsia="es-GT"/>
              </w:rPr>
              <w:t>1.9</w:t>
            </w:r>
          </w:p>
        </w:tc>
        <w:tc>
          <w:tcPr>
            <w:tcW w:w="1985" w:type="dxa"/>
            <w:tcBorders>
              <w:top w:val="nil"/>
              <w:left w:val="nil"/>
              <w:bottom w:val="nil"/>
              <w:right w:val="single" w:sz="8" w:space="0" w:color="auto"/>
            </w:tcBorders>
            <w:shd w:val="clear" w:color="auto" w:fill="auto"/>
            <w:noWrap/>
            <w:vAlign w:val="bottom"/>
            <w:hideMark/>
          </w:tcPr>
          <w:p w14:paraId="297DAC5B" w14:textId="77777777" w:rsidR="009B5E50" w:rsidRPr="007B0314" w:rsidRDefault="009B5E50" w:rsidP="009B5E50">
            <w:pPr>
              <w:jc w:val="center"/>
              <w:rPr>
                <w:lang w:val="es-GT" w:eastAsia="es-GT"/>
              </w:rPr>
            </w:pPr>
            <w:r w:rsidRPr="007B0314">
              <w:rPr>
                <w:lang w:val="es-GT" w:eastAsia="es-GT"/>
              </w:rPr>
              <w:t>0.7</w:t>
            </w:r>
          </w:p>
        </w:tc>
      </w:tr>
      <w:tr w:rsidR="009B5E50" w:rsidRPr="007B0314" w14:paraId="5E10A5C8" w14:textId="77777777" w:rsidTr="007B0314">
        <w:trPr>
          <w:trHeight w:val="255"/>
        </w:trPr>
        <w:tc>
          <w:tcPr>
            <w:tcW w:w="5377" w:type="dxa"/>
            <w:tcBorders>
              <w:top w:val="nil"/>
              <w:left w:val="single" w:sz="8" w:space="0" w:color="auto"/>
              <w:bottom w:val="nil"/>
              <w:right w:val="single" w:sz="8" w:space="0" w:color="auto"/>
            </w:tcBorders>
            <w:shd w:val="clear" w:color="auto" w:fill="auto"/>
            <w:noWrap/>
            <w:vAlign w:val="bottom"/>
            <w:hideMark/>
          </w:tcPr>
          <w:p w14:paraId="0EB6A592" w14:textId="77777777" w:rsidR="009B5E50" w:rsidRPr="007B0314" w:rsidRDefault="009B5E50" w:rsidP="009B5E50">
            <w:pPr>
              <w:ind w:firstLineChars="300" w:firstLine="720"/>
              <w:rPr>
                <w:lang w:val="es-GT" w:eastAsia="es-GT"/>
              </w:rPr>
            </w:pPr>
            <w:r w:rsidRPr="007B0314">
              <w:rPr>
                <w:lang w:val="es-GT" w:eastAsia="es-GT"/>
              </w:rPr>
              <w:t>Amortizaciones</w:t>
            </w:r>
          </w:p>
        </w:tc>
        <w:tc>
          <w:tcPr>
            <w:tcW w:w="1984" w:type="dxa"/>
            <w:tcBorders>
              <w:top w:val="nil"/>
              <w:left w:val="single" w:sz="8" w:space="0" w:color="auto"/>
              <w:bottom w:val="nil"/>
              <w:right w:val="single" w:sz="4" w:space="0" w:color="auto"/>
            </w:tcBorders>
            <w:shd w:val="clear" w:color="auto" w:fill="auto"/>
            <w:noWrap/>
            <w:vAlign w:val="bottom"/>
            <w:hideMark/>
          </w:tcPr>
          <w:p w14:paraId="0FFA8C30" w14:textId="77777777" w:rsidR="009B5E50" w:rsidRPr="007B0314" w:rsidRDefault="009B5E50" w:rsidP="009B5E50">
            <w:pPr>
              <w:jc w:val="center"/>
              <w:rPr>
                <w:lang w:val="es-GT" w:eastAsia="es-GT"/>
              </w:rPr>
            </w:pPr>
            <w:r w:rsidRPr="007B0314">
              <w:rPr>
                <w:lang w:val="es-GT" w:eastAsia="es-GT"/>
              </w:rPr>
              <w:t>0.3</w:t>
            </w:r>
          </w:p>
        </w:tc>
        <w:tc>
          <w:tcPr>
            <w:tcW w:w="1985" w:type="dxa"/>
            <w:tcBorders>
              <w:top w:val="nil"/>
              <w:left w:val="nil"/>
              <w:bottom w:val="nil"/>
              <w:right w:val="single" w:sz="8" w:space="0" w:color="auto"/>
            </w:tcBorders>
            <w:shd w:val="clear" w:color="auto" w:fill="auto"/>
            <w:noWrap/>
            <w:vAlign w:val="bottom"/>
            <w:hideMark/>
          </w:tcPr>
          <w:p w14:paraId="19E0BF1E" w14:textId="77777777" w:rsidR="009B5E50" w:rsidRPr="007B0314" w:rsidRDefault="009B5E50" w:rsidP="009B5E50">
            <w:pPr>
              <w:jc w:val="center"/>
              <w:rPr>
                <w:lang w:val="es-GT" w:eastAsia="es-GT"/>
              </w:rPr>
            </w:pPr>
            <w:r w:rsidRPr="007B0314">
              <w:rPr>
                <w:lang w:val="es-GT" w:eastAsia="es-GT"/>
              </w:rPr>
              <w:t>0.3</w:t>
            </w:r>
          </w:p>
        </w:tc>
      </w:tr>
      <w:tr w:rsidR="009B5E50" w:rsidRPr="007B0314" w14:paraId="1F901FE3" w14:textId="77777777" w:rsidTr="007B0314">
        <w:trPr>
          <w:trHeight w:val="349"/>
        </w:trPr>
        <w:tc>
          <w:tcPr>
            <w:tcW w:w="5377" w:type="dxa"/>
            <w:tcBorders>
              <w:top w:val="nil"/>
              <w:left w:val="single" w:sz="8" w:space="0" w:color="auto"/>
              <w:bottom w:val="nil"/>
              <w:right w:val="single" w:sz="8" w:space="0" w:color="auto"/>
            </w:tcBorders>
            <w:shd w:val="clear" w:color="auto" w:fill="auto"/>
            <w:noWrap/>
            <w:vAlign w:val="bottom"/>
            <w:hideMark/>
          </w:tcPr>
          <w:p w14:paraId="3FB4D93A" w14:textId="77777777" w:rsidR="009B5E50" w:rsidRPr="007B0314" w:rsidRDefault="009B5E50" w:rsidP="009B5E50">
            <w:pPr>
              <w:ind w:firstLineChars="200" w:firstLine="480"/>
              <w:rPr>
                <w:lang w:val="es-GT" w:eastAsia="es-GT"/>
              </w:rPr>
            </w:pPr>
            <w:r w:rsidRPr="007B0314">
              <w:rPr>
                <w:lang w:val="es-GT" w:eastAsia="es-GT"/>
              </w:rPr>
              <w:t xml:space="preserve">Amortización por el costo de la política monetaria </w:t>
            </w:r>
          </w:p>
        </w:tc>
        <w:tc>
          <w:tcPr>
            <w:tcW w:w="1984" w:type="dxa"/>
            <w:tcBorders>
              <w:top w:val="nil"/>
              <w:left w:val="single" w:sz="8" w:space="0" w:color="auto"/>
              <w:bottom w:val="nil"/>
              <w:right w:val="single" w:sz="4" w:space="0" w:color="auto"/>
            </w:tcBorders>
            <w:shd w:val="clear" w:color="auto" w:fill="auto"/>
            <w:noWrap/>
            <w:vAlign w:val="bottom"/>
            <w:hideMark/>
          </w:tcPr>
          <w:p w14:paraId="17FE4B4F" w14:textId="77777777" w:rsidR="009B5E50" w:rsidRPr="007B0314" w:rsidRDefault="009B5E50" w:rsidP="009B5E50">
            <w:pPr>
              <w:jc w:val="center"/>
              <w:rPr>
                <w:lang w:val="es-GT" w:eastAsia="es-GT"/>
              </w:rPr>
            </w:pPr>
            <w:r w:rsidRPr="007B0314">
              <w:rPr>
                <w:lang w:val="es-GT" w:eastAsia="es-GT"/>
              </w:rPr>
              <w:t>0.0</w:t>
            </w:r>
          </w:p>
        </w:tc>
        <w:tc>
          <w:tcPr>
            <w:tcW w:w="1985" w:type="dxa"/>
            <w:tcBorders>
              <w:top w:val="nil"/>
              <w:left w:val="nil"/>
              <w:bottom w:val="nil"/>
              <w:right w:val="single" w:sz="8" w:space="0" w:color="auto"/>
            </w:tcBorders>
            <w:shd w:val="clear" w:color="auto" w:fill="auto"/>
            <w:noWrap/>
            <w:vAlign w:val="bottom"/>
            <w:hideMark/>
          </w:tcPr>
          <w:p w14:paraId="119BC2E2" w14:textId="77777777" w:rsidR="009B5E50" w:rsidRPr="007B0314" w:rsidRDefault="009B5E50" w:rsidP="009B5E50">
            <w:pPr>
              <w:jc w:val="center"/>
              <w:rPr>
                <w:lang w:val="es-GT" w:eastAsia="es-GT"/>
              </w:rPr>
            </w:pPr>
            <w:r w:rsidRPr="007B0314">
              <w:rPr>
                <w:lang w:val="es-GT" w:eastAsia="es-GT"/>
              </w:rPr>
              <w:t>0.0</w:t>
            </w:r>
          </w:p>
        </w:tc>
      </w:tr>
      <w:tr w:rsidR="009B5E50" w:rsidRPr="007B0314" w14:paraId="7A5A4B85" w14:textId="77777777" w:rsidTr="007B0314">
        <w:trPr>
          <w:trHeight w:val="314"/>
        </w:trPr>
        <w:tc>
          <w:tcPr>
            <w:tcW w:w="5377" w:type="dxa"/>
            <w:tcBorders>
              <w:top w:val="nil"/>
              <w:left w:val="single" w:sz="8" w:space="0" w:color="auto"/>
              <w:bottom w:val="single" w:sz="8" w:space="0" w:color="auto"/>
              <w:right w:val="single" w:sz="8" w:space="0" w:color="auto"/>
            </w:tcBorders>
            <w:shd w:val="clear" w:color="auto" w:fill="auto"/>
            <w:noWrap/>
            <w:vAlign w:val="bottom"/>
            <w:hideMark/>
          </w:tcPr>
          <w:p w14:paraId="7723FB63" w14:textId="77777777" w:rsidR="009B5E50" w:rsidRPr="007B0314" w:rsidRDefault="009B5E50" w:rsidP="009B5E50">
            <w:pPr>
              <w:ind w:firstLineChars="200" w:firstLine="482"/>
              <w:rPr>
                <w:b/>
                <w:bCs/>
                <w:lang w:val="es-GT" w:eastAsia="es-GT"/>
              </w:rPr>
            </w:pPr>
            <w:r w:rsidRPr="007B0314">
              <w:rPr>
                <w:b/>
                <w:bCs/>
                <w:lang w:val="es-GT" w:eastAsia="es-GT"/>
              </w:rPr>
              <w:t>Variación de caja</w:t>
            </w:r>
          </w:p>
        </w:tc>
        <w:tc>
          <w:tcPr>
            <w:tcW w:w="1984" w:type="dxa"/>
            <w:tcBorders>
              <w:top w:val="nil"/>
              <w:left w:val="nil"/>
              <w:bottom w:val="single" w:sz="8" w:space="0" w:color="auto"/>
              <w:right w:val="single" w:sz="4" w:space="0" w:color="auto"/>
            </w:tcBorders>
            <w:shd w:val="clear" w:color="auto" w:fill="auto"/>
            <w:noWrap/>
            <w:vAlign w:val="bottom"/>
            <w:hideMark/>
          </w:tcPr>
          <w:p w14:paraId="3A700073" w14:textId="77777777" w:rsidR="009B5E50" w:rsidRPr="007B0314" w:rsidRDefault="009B5E50" w:rsidP="009B5E50">
            <w:pPr>
              <w:jc w:val="center"/>
              <w:rPr>
                <w:b/>
                <w:bCs/>
                <w:lang w:val="es-GT" w:eastAsia="es-GT"/>
              </w:rPr>
            </w:pPr>
            <w:r w:rsidRPr="007B0314">
              <w:rPr>
                <w:b/>
                <w:bCs/>
                <w:lang w:val="es-GT" w:eastAsia="es-GT"/>
              </w:rPr>
              <w:t>1.4</w:t>
            </w:r>
          </w:p>
        </w:tc>
        <w:tc>
          <w:tcPr>
            <w:tcW w:w="1985" w:type="dxa"/>
            <w:tcBorders>
              <w:top w:val="nil"/>
              <w:left w:val="nil"/>
              <w:bottom w:val="single" w:sz="8" w:space="0" w:color="auto"/>
              <w:right w:val="single" w:sz="8" w:space="0" w:color="auto"/>
            </w:tcBorders>
            <w:shd w:val="clear" w:color="auto" w:fill="auto"/>
            <w:noWrap/>
            <w:vAlign w:val="bottom"/>
            <w:hideMark/>
          </w:tcPr>
          <w:p w14:paraId="75CDFC70" w14:textId="77777777" w:rsidR="009B5E50" w:rsidRPr="007B0314" w:rsidRDefault="009B5E50" w:rsidP="009B5E50">
            <w:pPr>
              <w:jc w:val="center"/>
              <w:rPr>
                <w:b/>
                <w:bCs/>
                <w:lang w:val="es-GT" w:eastAsia="es-GT"/>
              </w:rPr>
            </w:pPr>
            <w:r w:rsidRPr="007B0314">
              <w:rPr>
                <w:b/>
                <w:bCs/>
                <w:lang w:val="es-GT" w:eastAsia="es-GT"/>
              </w:rPr>
              <w:t>0.4</w:t>
            </w:r>
          </w:p>
        </w:tc>
      </w:tr>
    </w:tbl>
    <w:p w14:paraId="767AF2A6" w14:textId="4FAA6C97" w:rsidR="00783C69" w:rsidRPr="00416F2B" w:rsidRDefault="00416F2B" w:rsidP="00416F2B">
      <w:pPr>
        <w:autoSpaceDE w:val="0"/>
        <w:autoSpaceDN w:val="0"/>
        <w:adjustRightInd w:val="0"/>
        <w:rPr>
          <w:sz w:val="18"/>
        </w:rPr>
      </w:pPr>
      <w:r>
        <w:rPr>
          <w:sz w:val="18"/>
        </w:rPr>
        <w:t>Fuente: Ministerio de Finanzas Públicas.</w:t>
      </w:r>
    </w:p>
    <w:sectPr w:rsidR="00783C69" w:rsidRPr="00416F2B" w:rsidSect="00D322B5">
      <w:headerReference w:type="even" r:id="rId52"/>
      <w:headerReference w:type="default" r:id="rId53"/>
      <w:footerReference w:type="even" r:id="rId54"/>
      <w:footerReference w:type="default" r:id="rId55"/>
      <w:footerReference w:type="first" r:id="rId56"/>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F5FCC0" w14:textId="77777777" w:rsidR="00824D89" w:rsidRDefault="00824D89" w:rsidP="00BF318F">
      <w:r>
        <w:separator/>
      </w:r>
    </w:p>
  </w:endnote>
  <w:endnote w:type="continuationSeparator" w:id="0">
    <w:p w14:paraId="4A0B1187" w14:textId="77777777" w:rsidR="00824D89" w:rsidRDefault="00824D89" w:rsidP="00BF31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Liberation Serif">
    <w:altName w:val="Times New Roman"/>
    <w:charset w:val="00"/>
    <w:family w:val="roman"/>
    <w:pitch w:val="variable"/>
    <w:sig w:usb0="00000000" w:usb1="500078FF" w:usb2="00000021" w:usb3="00000000" w:csb0="000001BF" w:csb1="00000000"/>
  </w:font>
  <w:font w:name="Noto Serif CJK SC">
    <w:panose1 w:val="00000000000000000000"/>
    <w:charset w:val="00"/>
    <w:family w:val="roman"/>
    <w:notTrueType/>
    <w:pitch w:val="default"/>
  </w:font>
  <w:font w:name="Droid Sans Devanagari">
    <w:altName w:val="Times New Roman"/>
    <w:panose1 w:val="00000000000000000000"/>
    <w:charset w:val="00"/>
    <w:family w:val="roman"/>
    <w:notTrueType/>
    <w:pitch w:val="default"/>
  </w:font>
  <w:font w:name="Atlas Grotesk Regular">
    <w:altName w:val="Calibri"/>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OptimaLTStd">
    <w:altName w:val="Yu Gothic"/>
    <w:panose1 w:val="00000000000000000000"/>
    <w:charset w:val="80"/>
    <w:family w:val="swiss"/>
    <w:notTrueType/>
    <w:pitch w:val="default"/>
    <w:sig w:usb0="00000001" w:usb1="08070000" w:usb2="00000010" w:usb3="00000000" w:csb0="00020000" w:csb1="00000000"/>
  </w:font>
  <w:font w:name="CG Time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93E6B" w14:textId="77777777" w:rsidR="0029595B" w:rsidRDefault="0029595B">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874223" w14:textId="77777777" w:rsidR="0029595B" w:rsidRDefault="0029595B">
    <w:pPr>
      <w:pStyle w:val="Piedepgina"/>
      <w:jc w:val="right"/>
    </w:pPr>
    <w:r>
      <w:fldChar w:fldCharType="begin"/>
    </w:r>
    <w:r>
      <w:instrText>PAGE   \* MERGEFORMAT</w:instrText>
    </w:r>
    <w:r>
      <w:fldChar w:fldCharType="separate"/>
    </w:r>
    <w:r>
      <w:rPr>
        <w:noProof/>
      </w:rPr>
      <w:t>79</w:t>
    </w:r>
    <w:r>
      <w:fldChar w:fldCharType="end"/>
    </w:r>
  </w:p>
  <w:p w14:paraId="0D00EFDE" w14:textId="77777777" w:rsidR="0029595B" w:rsidRDefault="0029595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F770FE" w14:textId="77777777" w:rsidR="0029595B" w:rsidRDefault="0029595B" w:rsidP="00EB2FBA">
    <w:pPr>
      <w:pStyle w:val="Piedepgina"/>
    </w:pPr>
  </w:p>
  <w:p w14:paraId="69B67AA4" w14:textId="77777777" w:rsidR="0029595B" w:rsidRPr="0090799D" w:rsidRDefault="0029595B" w:rsidP="00EB2FBA">
    <w:pPr>
      <w:pStyle w:val="Piedepgina"/>
      <w:rPr>
        <w:lang w:val="es-G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A592DD" w14:textId="77777777" w:rsidR="00824D89" w:rsidRDefault="00824D89" w:rsidP="00BF318F">
      <w:r>
        <w:separator/>
      </w:r>
    </w:p>
  </w:footnote>
  <w:footnote w:type="continuationSeparator" w:id="0">
    <w:p w14:paraId="49F70776" w14:textId="77777777" w:rsidR="00824D89" w:rsidRDefault="00824D89" w:rsidP="00BF318F">
      <w:r>
        <w:continuationSeparator/>
      </w:r>
    </w:p>
  </w:footnote>
  <w:footnote w:id="1">
    <w:p w14:paraId="13310C4D" w14:textId="77777777" w:rsidR="0029595B" w:rsidRDefault="0029595B" w:rsidP="00400B3E">
      <w:pPr>
        <w:pStyle w:val="Textonotapie"/>
        <w:jc w:val="both"/>
        <w:rPr>
          <w:sz w:val="18"/>
        </w:rPr>
      </w:pPr>
      <w:r>
        <w:rPr>
          <w:rStyle w:val="Refdenotaalpie"/>
        </w:rPr>
        <w:t>*</w:t>
      </w:r>
      <w:r>
        <w:t xml:space="preserve"> </w:t>
      </w:r>
      <w:r w:rsidRPr="00343FF3">
        <w:rPr>
          <w:sz w:val="18"/>
        </w:rPr>
        <w:t xml:space="preserve">El gasto social </w:t>
      </w:r>
      <w:r>
        <w:rPr>
          <w:sz w:val="18"/>
        </w:rPr>
        <w:t>se define como las erogaciones que realiza el Estado para atender las necesidades primarias de la población, llamado también inversión social, el cual está integrado por los sectores siguientes: Salud y Asistencia Social, Educación, Ciencia y Cultura, Vivienda, Seguridad Interna, Sector Justicia y Ministerio Público.</w:t>
      </w:r>
    </w:p>
    <w:p w14:paraId="5BB198C6" w14:textId="77777777" w:rsidR="0029595B" w:rsidRPr="00343FF3" w:rsidRDefault="0029595B" w:rsidP="00C40522">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B0AD4" w14:textId="77777777" w:rsidR="0029595B" w:rsidRDefault="0029595B" w:rsidP="00CE683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5DB638B" w14:textId="77777777" w:rsidR="0029595B" w:rsidRDefault="0029595B" w:rsidP="00CE6835">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A06B04" w14:textId="75C26C04" w:rsidR="0029595B" w:rsidRPr="00801582" w:rsidRDefault="0029595B" w:rsidP="00801582">
    <w:pPr>
      <w:pStyle w:val="Encabezado"/>
      <w:tabs>
        <w:tab w:val="clear" w:pos="8504"/>
      </w:tabs>
      <w:jc w:val="center"/>
      <w:rPr>
        <w:rFonts w:ascii="Arial" w:hAnsi="Arial" w:cs="Arial"/>
        <w:b/>
        <w:sz w:val="22"/>
        <w:szCs w:val="22"/>
        <w:lang w:val="es-GT"/>
      </w:rPr>
    </w:pPr>
    <w:r w:rsidRPr="00801582">
      <w:rPr>
        <w:rFonts w:ascii="Arial" w:hAnsi="Arial" w:cs="Arial"/>
        <w:b/>
        <w:sz w:val="22"/>
        <w:szCs w:val="22"/>
        <w:lang w:val="es-GT"/>
      </w:rPr>
      <w:t>Informe del Des</w:t>
    </w:r>
    <w:r>
      <w:rPr>
        <w:rFonts w:ascii="Arial" w:hAnsi="Arial" w:cs="Arial"/>
        <w:b/>
        <w:sz w:val="22"/>
        <w:szCs w:val="22"/>
        <w:lang w:val="es-GT"/>
      </w:rPr>
      <w:t xml:space="preserve">empeño de la Política Fiscal y </w:t>
    </w:r>
    <w:r w:rsidRPr="00801582">
      <w:rPr>
        <w:rFonts w:ascii="Arial" w:hAnsi="Arial" w:cs="Arial"/>
        <w:b/>
        <w:sz w:val="22"/>
        <w:szCs w:val="22"/>
        <w:lang w:val="es-GT"/>
      </w:rPr>
      <w:t>Actividades del Primer Semestre 20</w:t>
    </w:r>
    <w:r>
      <w:rPr>
        <w:rFonts w:ascii="Arial" w:hAnsi="Arial" w:cs="Arial"/>
        <w:b/>
        <w:sz w:val="22"/>
        <w:szCs w:val="22"/>
        <w:lang w:val="es-GT"/>
      </w:rPr>
      <w:t>23</w:t>
    </w:r>
  </w:p>
  <w:p w14:paraId="7A36597B" w14:textId="77777777" w:rsidR="0029595B" w:rsidRPr="000705AA" w:rsidRDefault="0029595B" w:rsidP="00CE6835">
    <w:pPr>
      <w:pStyle w:val="Encabezado"/>
      <w:ind w:right="360"/>
      <w:jc w:val="center"/>
      <w:rPr>
        <w:rFonts w:ascii="Arial" w:hAnsi="Arial" w:cs="Arial"/>
        <w:b/>
        <w:color w:val="95B3D7"/>
        <w:u w:val="single"/>
        <w:lang w:val="es-GT"/>
      </w:rPr>
    </w:pPr>
    <w:r>
      <w:rPr>
        <w:noProof/>
        <w:lang w:val="es-GT" w:eastAsia="es-GT"/>
      </w:rPr>
      <mc:AlternateContent>
        <mc:Choice Requires="wps">
          <w:drawing>
            <wp:anchor distT="4294967290" distB="4294967290" distL="114300" distR="114300" simplePos="0" relativeHeight="251657216" behindDoc="0" locked="0" layoutInCell="1" allowOverlap="1" wp14:anchorId="0B4AC94E" wp14:editId="4F1970D4">
              <wp:simplePos x="0" y="0"/>
              <wp:positionH relativeFrom="column">
                <wp:posOffset>-118110</wp:posOffset>
              </wp:positionH>
              <wp:positionV relativeFrom="paragraph">
                <wp:posOffset>73659</wp:posOffset>
              </wp:positionV>
              <wp:extent cx="6066155" cy="0"/>
              <wp:effectExtent l="38100" t="95250" r="86995" b="76200"/>
              <wp:wrapNone/>
              <wp:docPr id="15" name="1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66155" cy="0"/>
                      </a:xfrm>
                      <a:prstGeom prst="line">
                        <a:avLst/>
                      </a:prstGeom>
                      <a:noFill/>
                      <a:ln w="31750" cap="rnd" cmpd="dbl" algn="ctr">
                        <a:solidFill>
                          <a:srgbClr val="4F81BD">
                            <a:shade val="95000"/>
                            <a:satMod val="105000"/>
                          </a:srgbClr>
                        </a:solidFill>
                        <a:prstDash val="solid"/>
                      </a:ln>
                      <a:effectLst>
                        <a:outerShdw blurRad="50800" dist="38100" algn="l" rotWithShape="0">
                          <a:prstClr val="black">
                            <a:alpha val="40000"/>
                          </a:prstClr>
                        </a:outerShdw>
                      </a:effectLst>
                      <a:scene3d>
                        <a:camera prst="orthographicFront"/>
                        <a:lightRig rig="soft" dir="t"/>
                      </a:scene3d>
                      <a:sp3d>
                        <a:bevelT/>
                      </a:sp3d>
                    </wps:spPr>
                    <wps:bodyPr/>
                  </wps:wsp>
                </a:graphicData>
              </a:graphic>
              <wp14:sizeRelH relativeFrom="page">
                <wp14:pctWidth>0</wp14:pctWidth>
              </wp14:sizeRelH>
              <wp14:sizeRelV relativeFrom="page">
                <wp14:pctHeight>0</wp14:pctHeight>
              </wp14:sizeRelV>
            </wp:anchor>
          </w:drawing>
        </mc:Choice>
        <mc:Fallback>
          <w:pict>
            <v:line w14:anchorId="55F718F6" id="15 Conector recto" o:spid="_x0000_s1026" style="position:absolute;z-index:25165721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9.3pt,5.8pt" to="468.3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wATYQIAAL8EAAAOAAAAZHJzL2Uyb0RvYy54bWysVE1v2zAMvQ/YfxB8X203S5YZcQqsQXbp&#10;tqLtsLMsybZQWRIoNU7//UjZSdvtNuximx965Hsivbk6DoYdFATtbJ2VF0XGlBVOatvV2c+H/Yd1&#10;xkLkVnLjrKqzZxWyq+37d5vRV+rS9c5IBQxBbKhGX2d9jL7K8yB6NfBw4byyGGwdDDyiCV0ugY+I&#10;Ppj8sihW+ehAenBChYDe3RTMtgm/bZWIP9o2qMhMnWFvMT0hPRt65tsNrzrgvtdiboP/QxcD1xaL&#10;nqF2PHL2BPovqEELcMG18UK4IXdtq4VKHJBNWfzB5r7nXiUuKE7wZ5nC/4MV3w+3wLTEu1tmzPIB&#10;76hcsmu8LBEdMKAXqTT6UGHytb0F4imO9t7fOPEYMJa/CZIR/JR2bGGgdCTKjkn157Pq6hiZQOeq&#10;WK3KJVYXp1jOq9NBDyF+VW5g9FFnRlsShFf8cBMilebVKYXc1u21MelSjWVjnS3KT0u8d8FxtsBK&#10;/Bo8kpWNyRg3Hc6siJAQgzNa0mnCCdA11wbYgePcfNyvyy+7KannUk3ez8uimOcn8PjNycldFic/&#10;tjbDpDbf4FPPOx766UwKkch4xFiqr9LoIkUy3FNUcN/LkTXmCe449r8s1licSU2iLNYlGRMd5AUu&#10;/tKxT9NDahMGFTwTagwXj5OMxvd8Zol0Ep9ZUsxODZ2rJ+tNY0EoqxaS8AVODvD5lhzE3s1LtQdn&#10;47RmRnd9vNMdA40/B1oCYoDLmOIk1wte8BNuow7KPEzSTL40bNN80aQ1Tj7fAiWQhVuS2pyL0xq+&#10;tlPWy39n+xsAAP//AwBQSwMEFAAGAAgAAAAhAM8Z6uLcAAAACQEAAA8AAABkcnMvZG93bnJldi54&#10;bWxMj0FPwzAMhe9I/IfISNy2tFSUUZpODAnuK0hoN68xTUWTlCbb2n8/TxzgZNnv6fl75XqyvTjS&#10;GDrvFKTLBAS5xuvOtQo+3l8XKxAhotPYe0cKZgqwrq6vSiy0P7ktHevYCg5xoUAFJsahkDI0hiyG&#10;pR/IsfblR4uR17GVesQTh9te3iVJLi12jj8YHOjFUPNdH6yCrPvZbXBsTfa2tZtdXc/3n3FW6vZm&#10;en4CEWmKf2a44DM6VMy09weng+gVLNJVzlYWUp5seMzyBxD734OsSvm/QXUGAAD//wMAUEsBAi0A&#10;FAAGAAgAAAAhALaDOJL+AAAA4QEAABMAAAAAAAAAAAAAAAAAAAAAAFtDb250ZW50X1R5cGVzXS54&#10;bWxQSwECLQAUAAYACAAAACEAOP0h/9YAAACUAQAACwAAAAAAAAAAAAAAAAAvAQAAX3JlbHMvLnJl&#10;bHNQSwECLQAUAAYACAAAACEA04cAE2ECAAC/BAAADgAAAAAAAAAAAAAAAAAuAgAAZHJzL2Uyb0Rv&#10;Yy54bWxQSwECLQAUAAYACAAAACEAzxnq4twAAAAJAQAADwAAAAAAAAAAAAAAAAC7BAAAZHJzL2Rv&#10;d25yZXYueG1sUEsFBgAAAAAEAAQA8wAAAMQFAAAAAA==&#10;" strokecolor="#4a7ebb" strokeweight="2.5pt">
              <v:stroke linestyle="thinThin" endcap="round"/>
              <v:shadow on="t" color="black" opacity="26214f" origin="-.5" offset="3pt,0"/>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1" w15:restartNumberingAfterBreak="0">
    <w:nsid w:val="0CF42F19"/>
    <w:multiLevelType w:val="hybridMultilevel"/>
    <w:tmpl w:val="33EA1B3C"/>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1C0E014F"/>
    <w:multiLevelType w:val="hybridMultilevel"/>
    <w:tmpl w:val="A84E424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2AB63197"/>
    <w:multiLevelType w:val="hybridMultilevel"/>
    <w:tmpl w:val="BF780C2E"/>
    <w:lvl w:ilvl="0" w:tplc="2F3A1276">
      <w:start w:val="1"/>
      <w:numFmt w:val="decimal"/>
      <w:lvlText w:val="%1."/>
      <w:lvlJc w:val="left"/>
      <w:pPr>
        <w:ind w:left="2215" w:hanging="360"/>
      </w:pPr>
      <w:rPr>
        <w:rFonts w:hint="default"/>
      </w:rPr>
    </w:lvl>
    <w:lvl w:ilvl="1" w:tplc="100A0019" w:tentative="1">
      <w:start w:val="1"/>
      <w:numFmt w:val="lowerLetter"/>
      <w:lvlText w:val="%2."/>
      <w:lvlJc w:val="left"/>
      <w:pPr>
        <w:ind w:left="2935" w:hanging="360"/>
      </w:pPr>
    </w:lvl>
    <w:lvl w:ilvl="2" w:tplc="100A001B" w:tentative="1">
      <w:start w:val="1"/>
      <w:numFmt w:val="lowerRoman"/>
      <w:lvlText w:val="%3."/>
      <w:lvlJc w:val="right"/>
      <w:pPr>
        <w:ind w:left="3655" w:hanging="180"/>
      </w:pPr>
    </w:lvl>
    <w:lvl w:ilvl="3" w:tplc="100A000F" w:tentative="1">
      <w:start w:val="1"/>
      <w:numFmt w:val="decimal"/>
      <w:lvlText w:val="%4."/>
      <w:lvlJc w:val="left"/>
      <w:pPr>
        <w:ind w:left="4375" w:hanging="360"/>
      </w:pPr>
    </w:lvl>
    <w:lvl w:ilvl="4" w:tplc="100A0019" w:tentative="1">
      <w:start w:val="1"/>
      <w:numFmt w:val="lowerLetter"/>
      <w:lvlText w:val="%5."/>
      <w:lvlJc w:val="left"/>
      <w:pPr>
        <w:ind w:left="5095" w:hanging="360"/>
      </w:pPr>
    </w:lvl>
    <w:lvl w:ilvl="5" w:tplc="100A001B" w:tentative="1">
      <w:start w:val="1"/>
      <w:numFmt w:val="lowerRoman"/>
      <w:lvlText w:val="%6."/>
      <w:lvlJc w:val="right"/>
      <w:pPr>
        <w:ind w:left="5815" w:hanging="180"/>
      </w:pPr>
    </w:lvl>
    <w:lvl w:ilvl="6" w:tplc="100A000F" w:tentative="1">
      <w:start w:val="1"/>
      <w:numFmt w:val="decimal"/>
      <w:lvlText w:val="%7."/>
      <w:lvlJc w:val="left"/>
      <w:pPr>
        <w:ind w:left="6535" w:hanging="360"/>
      </w:pPr>
    </w:lvl>
    <w:lvl w:ilvl="7" w:tplc="100A0019" w:tentative="1">
      <w:start w:val="1"/>
      <w:numFmt w:val="lowerLetter"/>
      <w:lvlText w:val="%8."/>
      <w:lvlJc w:val="left"/>
      <w:pPr>
        <w:ind w:left="7255" w:hanging="360"/>
      </w:pPr>
    </w:lvl>
    <w:lvl w:ilvl="8" w:tplc="100A001B" w:tentative="1">
      <w:start w:val="1"/>
      <w:numFmt w:val="lowerRoman"/>
      <w:lvlText w:val="%9."/>
      <w:lvlJc w:val="right"/>
      <w:pPr>
        <w:ind w:left="7975" w:hanging="180"/>
      </w:pPr>
    </w:lvl>
  </w:abstractNum>
  <w:abstractNum w:abstractNumId="4" w15:restartNumberingAfterBreak="0">
    <w:nsid w:val="2D4A2609"/>
    <w:multiLevelType w:val="hybridMultilevel"/>
    <w:tmpl w:val="D0B41B44"/>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2DE90DB9"/>
    <w:multiLevelType w:val="hybridMultilevel"/>
    <w:tmpl w:val="4BCC57EC"/>
    <w:lvl w:ilvl="0" w:tplc="0EC60146">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6" w15:restartNumberingAfterBreak="0">
    <w:nsid w:val="38A54D6E"/>
    <w:multiLevelType w:val="hybridMultilevel"/>
    <w:tmpl w:val="AD3671B4"/>
    <w:lvl w:ilvl="0" w:tplc="28BE45A8">
      <w:start w:val="1"/>
      <w:numFmt w:val="decimal"/>
      <w:lvlText w:val="%1."/>
      <w:lvlJc w:val="left"/>
      <w:pPr>
        <w:ind w:left="4330" w:hanging="360"/>
      </w:pPr>
      <w:rPr>
        <w:rFonts w:hint="default"/>
      </w:rPr>
    </w:lvl>
    <w:lvl w:ilvl="1" w:tplc="100A0019" w:tentative="1">
      <w:start w:val="1"/>
      <w:numFmt w:val="lowerLetter"/>
      <w:lvlText w:val="%2."/>
      <w:lvlJc w:val="left"/>
      <w:pPr>
        <w:ind w:left="5050" w:hanging="360"/>
      </w:pPr>
    </w:lvl>
    <w:lvl w:ilvl="2" w:tplc="100A001B" w:tentative="1">
      <w:start w:val="1"/>
      <w:numFmt w:val="lowerRoman"/>
      <w:lvlText w:val="%3."/>
      <w:lvlJc w:val="right"/>
      <w:pPr>
        <w:ind w:left="5770" w:hanging="180"/>
      </w:pPr>
    </w:lvl>
    <w:lvl w:ilvl="3" w:tplc="100A000F" w:tentative="1">
      <w:start w:val="1"/>
      <w:numFmt w:val="decimal"/>
      <w:lvlText w:val="%4."/>
      <w:lvlJc w:val="left"/>
      <w:pPr>
        <w:ind w:left="6490" w:hanging="360"/>
      </w:pPr>
    </w:lvl>
    <w:lvl w:ilvl="4" w:tplc="100A0019" w:tentative="1">
      <w:start w:val="1"/>
      <w:numFmt w:val="lowerLetter"/>
      <w:lvlText w:val="%5."/>
      <w:lvlJc w:val="left"/>
      <w:pPr>
        <w:ind w:left="7210" w:hanging="360"/>
      </w:pPr>
    </w:lvl>
    <w:lvl w:ilvl="5" w:tplc="100A001B" w:tentative="1">
      <w:start w:val="1"/>
      <w:numFmt w:val="lowerRoman"/>
      <w:lvlText w:val="%6."/>
      <w:lvlJc w:val="right"/>
      <w:pPr>
        <w:ind w:left="7930" w:hanging="180"/>
      </w:pPr>
    </w:lvl>
    <w:lvl w:ilvl="6" w:tplc="100A000F" w:tentative="1">
      <w:start w:val="1"/>
      <w:numFmt w:val="decimal"/>
      <w:lvlText w:val="%7."/>
      <w:lvlJc w:val="left"/>
      <w:pPr>
        <w:ind w:left="8650" w:hanging="360"/>
      </w:pPr>
    </w:lvl>
    <w:lvl w:ilvl="7" w:tplc="100A0019" w:tentative="1">
      <w:start w:val="1"/>
      <w:numFmt w:val="lowerLetter"/>
      <w:lvlText w:val="%8."/>
      <w:lvlJc w:val="left"/>
      <w:pPr>
        <w:ind w:left="9370" w:hanging="360"/>
      </w:pPr>
    </w:lvl>
    <w:lvl w:ilvl="8" w:tplc="100A001B" w:tentative="1">
      <w:start w:val="1"/>
      <w:numFmt w:val="lowerRoman"/>
      <w:lvlText w:val="%9."/>
      <w:lvlJc w:val="right"/>
      <w:pPr>
        <w:ind w:left="10090" w:hanging="180"/>
      </w:pPr>
    </w:lvl>
  </w:abstractNum>
  <w:abstractNum w:abstractNumId="7" w15:restartNumberingAfterBreak="0">
    <w:nsid w:val="3CF53B86"/>
    <w:multiLevelType w:val="hybridMultilevel"/>
    <w:tmpl w:val="DBDE73B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40CC1B53"/>
    <w:multiLevelType w:val="hybridMultilevel"/>
    <w:tmpl w:val="59D6F74E"/>
    <w:lvl w:ilvl="0" w:tplc="100A0015">
      <w:start w:val="1"/>
      <w:numFmt w:val="upperLetter"/>
      <w:lvlText w:val="%1."/>
      <w:lvlJc w:val="left"/>
      <w:pPr>
        <w:ind w:left="6174" w:hanging="360"/>
      </w:pPr>
      <w:rPr>
        <w:rFonts w:hint="default"/>
      </w:rPr>
    </w:lvl>
    <w:lvl w:ilvl="1" w:tplc="100A0019" w:tentative="1">
      <w:start w:val="1"/>
      <w:numFmt w:val="lowerLetter"/>
      <w:lvlText w:val="%2."/>
      <w:lvlJc w:val="left"/>
      <w:pPr>
        <w:ind w:left="6894" w:hanging="360"/>
      </w:pPr>
    </w:lvl>
    <w:lvl w:ilvl="2" w:tplc="100A001B" w:tentative="1">
      <w:start w:val="1"/>
      <w:numFmt w:val="lowerRoman"/>
      <w:lvlText w:val="%3."/>
      <w:lvlJc w:val="right"/>
      <w:pPr>
        <w:ind w:left="7614" w:hanging="180"/>
      </w:pPr>
    </w:lvl>
    <w:lvl w:ilvl="3" w:tplc="100A000F" w:tentative="1">
      <w:start w:val="1"/>
      <w:numFmt w:val="decimal"/>
      <w:lvlText w:val="%4."/>
      <w:lvlJc w:val="left"/>
      <w:pPr>
        <w:ind w:left="8334" w:hanging="360"/>
      </w:pPr>
    </w:lvl>
    <w:lvl w:ilvl="4" w:tplc="100A0019" w:tentative="1">
      <w:start w:val="1"/>
      <w:numFmt w:val="lowerLetter"/>
      <w:lvlText w:val="%5."/>
      <w:lvlJc w:val="left"/>
      <w:pPr>
        <w:ind w:left="9054" w:hanging="360"/>
      </w:pPr>
    </w:lvl>
    <w:lvl w:ilvl="5" w:tplc="100A001B" w:tentative="1">
      <w:start w:val="1"/>
      <w:numFmt w:val="lowerRoman"/>
      <w:lvlText w:val="%6."/>
      <w:lvlJc w:val="right"/>
      <w:pPr>
        <w:ind w:left="9774" w:hanging="180"/>
      </w:pPr>
    </w:lvl>
    <w:lvl w:ilvl="6" w:tplc="100A000F" w:tentative="1">
      <w:start w:val="1"/>
      <w:numFmt w:val="decimal"/>
      <w:lvlText w:val="%7."/>
      <w:lvlJc w:val="left"/>
      <w:pPr>
        <w:ind w:left="10494" w:hanging="360"/>
      </w:pPr>
    </w:lvl>
    <w:lvl w:ilvl="7" w:tplc="100A0019" w:tentative="1">
      <w:start w:val="1"/>
      <w:numFmt w:val="lowerLetter"/>
      <w:lvlText w:val="%8."/>
      <w:lvlJc w:val="left"/>
      <w:pPr>
        <w:ind w:left="11214" w:hanging="360"/>
      </w:pPr>
    </w:lvl>
    <w:lvl w:ilvl="8" w:tplc="100A001B" w:tentative="1">
      <w:start w:val="1"/>
      <w:numFmt w:val="lowerRoman"/>
      <w:lvlText w:val="%9."/>
      <w:lvlJc w:val="right"/>
      <w:pPr>
        <w:ind w:left="11934" w:hanging="180"/>
      </w:pPr>
    </w:lvl>
  </w:abstractNum>
  <w:abstractNum w:abstractNumId="9" w15:restartNumberingAfterBreak="0">
    <w:nsid w:val="4D67270B"/>
    <w:multiLevelType w:val="hybridMultilevel"/>
    <w:tmpl w:val="A79EF2D8"/>
    <w:lvl w:ilvl="0" w:tplc="AE5232D8">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51EA4079"/>
    <w:multiLevelType w:val="hybridMultilevel"/>
    <w:tmpl w:val="666A571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15:restartNumberingAfterBreak="0">
    <w:nsid w:val="6077077D"/>
    <w:multiLevelType w:val="hybridMultilevel"/>
    <w:tmpl w:val="EC5ABA86"/>
    <w:lvl w:ilvl="0" w:tplc="3F2A815A">
      <w:start w:val="1"/>
      <w:numFmt w:val="upperLetter"/>
      <w:lvlText w:val="%1."/>
      <w:lvlJc w:val="left"/>
      <w:pPr>
        <w:ind w:left="936" w:hanging="360"/>
      </w:pPr>
      <w:rPr>
        <w:rFonts w:hint="default"/>
      </w:rPr>
    </w:lvl>
    <w:lvl w:ilvl="1" w:tplc="100A0019" w:tentative="1">
      <w:start w:val="1"/>
      <w:numFmt w:val="lowerLetter"/>
      <w:lvlText w:val="%2."/>
      <w:lvlJc w:val="left"/>
      <w:pPr>
        <w:ind w:left="1656" w:hanging="360"/>
      </w:pPr>
    </w:lvl>
    <w:lvl w:ilvl="2" w:tplc="100A001B" w:tentative="1">
      <w:start w:val="1"/>
      <w:numFmt w:val="lowerRoman"/>
      <w:lvlText w:val="%3."/>
      <w:lvlJc w:val="right"/>
      <w:pPr>
        <w:ind w:left="2376" w:hanging="180"/>
      </w:pPr>
    </w:lvl>
    <w:lvl w:ilvl="3" w:tplc="100A000F" w:tentative="1">
      <w:start w:val="1"/>
      <w:numFmt w:val="decimal"/>
      <w:lvlText w:val="%4."/>
      <w:lvlJc w:val="left"/>
      <w:pPr>
        <w:ind w:left="3096" w:hanging="360"/>
      </w:pPr>
    </w:lvl>
    <w:lvl w:ilvl="4" w:tplc="100A0019" w:tentative="1">
      <w:start w:val="1"/>
      <w:numFmt w:val="lowerLetter"/>
      <w:lvlText w:val="%5."/>
      <w:lvlJc w:val="left"/>
      <w:pPr>
        <w:ind w:left="3816" w:hanging="360"/>
      </w:pPr>
    </w:lvl>
    <w:lvl w:ilvl="5" w:tplc="100A001B" w:tentative="1">
      <w:start w:val="1"/>
      <w:numFmt w:val="lowerRoman"/>
      <w:lvlText w:val="%6."/>
      <w:lvlJc w:val="right"/>
      <w:pPr>
        <w:ind w:left="4536" w:hanging="180"/>
      </w:pPr>
    </w:lvl>
    <w:lvl w:ilvl="6" w:tplc="100A000F" w:tentative="1">
      <w:start w:val="1"/>
      <w:numFmt w:val="decimal"/>
      <w:lvlText w:val="%7."/>
      <w:lvlJc w:val="left"/>
      <w:pPr>
        <w:ind w:left="5256" w:hanging="360"/>
      </w:pPr>
    </w:lvl>
    <w:lvl w:ilvl="7" w:tplc="100A0019" w:tentative="1">
      <w:start w:val="1"/>
      <w:numFmt w:val="lowerLetter"/>
      <w:lvlText w:val="%8."/>
      <w:lvlJc w:val="left"/>
      <w:pPr>
        <w:ind w:left="5976" w:hanging="360"/>
      </w:pPr>
    </w:lvl>
    <w:lvl w:ilvl="8" w:tplc="100A001B" w:tentative="1">
      <w:start w:val="1"/>
      <w:numFmt w:val="lowerRoman"/>
      <w:lvlText w:val="%9."/>
      <w:lvlJc w:val="right"/>
      <w:pPr>
        <w:ind w:left="6696" w:hanging="180"/>
      </w:pPr>
    </w:lvl>
  </w:abstractNum>
  <w:abstractNum w:abstractNumId="12" w15:restartNumberingAfterBreak="0">
    <w:nsid w:val="63394AB9"/>
    <w:multiLevelType w:val="multilevel"/>
    <w:tmpl w:val="9A3093B6"/>
    <w:lvl w:ilvl="0">
      <w:start w:val="1"/>
      <w:numFmt w:val="upperRoman"/>
      <w:pStyle w:val="Ttulo1"/>
      <w:lvlText w:val="%1."/>
      <w:lvlJc w:val="left"/>
      <w:pPr>
        <w:tabs>
          <w:tab w:val="num" w:pos="142"/>
        </w:tabs>
        <w:ind w:left="574" w:hanging="432"/>
      </w:pPr>
      <w:rPr>
        <w:rFonts w:hint="default"/>
      </w:rPr>
    </w:lvl>
    <w:lvl w:ilvl="1">
      <w:start w:val="1"/>
      <w:numFmt w:val="upperLetter"/>
      <w:pStyle w:val="Ttulo2"/>
      <w:lvlText w:val="%2."/>
      <w:lvlJc w:val="left"/>
      <w:pPr>
        <w:tabs>
          <w:tab w:val="num" w:pos="0"/>
        </w:tabs>
        <w:ind w:left="576"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13" w15:restartNumberingAfterBreak="0">
    <w:nsid w:val="6D594AEC"/>
    <w:multiLevelType w:val="multilevel"/>
    <w:tmpl w:val="05EA2478"/>
    <w:lvl w:ilvl="0">
      <w:start w:val="1"/>
      <w:numFmt w:val="upperRoman"/>
      <w:lvlText w:val="%1."/>
      <w:lvlJc w:val="left"/>
      <w:pPr>
        <w:tabs>
          <w:tab w:val="num" w:pos="142"/>
        </w:tabs>
        <w:ind w:left="574" w:hanging="432"/>
      </w:pPr>
      <w:rPr>
        <w:rFonts w:hint="default"/>
      </w:rPr>
    </w:lvl>
    <w:lvl w:ilvl="1">
      <w:start w:val="1"/>
      <w:numFmt w:val="upperLetter"/>
      <w:lvlText w:val="%2."/>
      <w:lvlJc w:val="left"/>
      <w:pPr>
        <w:tabs>
          <w:tab w:val="num" w:pos="0"/>
        </w:tabs>
        <w:ind w:left="576" w:hanging="576"/>
      </w:pPr>
      <w:rPr>
        <w:rFonts w:hint="default"/>
        <w:b/>
        <w:i w:val="0"/>
        <w:color w:val="auto"/>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4" w15:restartNumberingAfterBreak="0">
    <w:nsid w:val="74D7216C"/>
    <w:multiLevelType w:val="hybridMultilevel"/>
    <w:tmpl w:val="E8BE78C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12"/>
  </w:num>
  <w:num w:numId="2">
    <w:abstractNumId w:val="9"/>
  </w:num>
  <w:num w:numId="3">
    <w:abstractNumId w:val="13"/>
  </w:num>
  <w:num w:numId="4">
    <w:abstractNumId w:val="11"/>
  </w:num>
  <w:num w:numId="5">
    <w:abstractNumId w:val="3"/>
  </w:num>
  <w:num w:numId="6">
    <w:abstractNumId w:val="8"/>
  </w:num>
  <w:num w:numId="7">
    <w:abstractNumId w:val="10"/>
  </w:num>
  <w:num w:numId="8">
    <w:abstractNumId w:val="6"/>
  </w:num>
  <w:num w:numId="9">
    <w:abstractNumId w:val="1"/>
  </w:num>
  <w:num w:numId="10">
    <w:abstractNumId w:val="4"/>
  </w:num>
  <w:num w:numId="11">
    <w:abstractNumId w:val="14"/>
  </w:num>
  <w:num w:numId="12">
    <w:abstractNumId w:val="2"/>
  </w:num>
  <w:num w:numId="13">
    <w:abstractNumId w:val="7"/>
  </w:num>
  <w:num w:numId="14">
    <w:abstractNumId w:val="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8F6"/>
    <w:rsid w:val="00000271"/>
    <w:rsid w:val="00000921"/>
    <w:rsid w:val="00001501"/>
    <w:rsid w:val="000017DD"/>
    <w:rsid w:val="00001941"/>
    <w:rsid w:val="00001CA7"/>
    <w:rsid w:val="00001D79"/>
    <w:rsid w:val="00001F68"/>
    <w:rsid w:val="0000207C"/>
    <w:rsid w:val="000026A6"/>
    <w:rsid w:val="00002C71"/>
    <w:rsid w:val="00002F20"/>
    <w:rsid w:val="00005564"/>
    <w:rsid w:val="0000594C"/>
    <w:rsid w:val="00006905"/>
    <w:rsid w:val="00006C7E"/>
    <w:rsid w:val="00007971"/>
    <w:rsid w:val="000104A2"/>
    <w:rsid w:val="00011436"/>
    <w:rsid w:val="00011609"/>
    <w:rsid w:val="00011C9C"/>
    <w:rsid w:val="0001217F"/>
    <w:rsid w:val="000134B5"/>
    <w:rsid w:val="0001388F"/>
    <w:rsid w:val="00013E9B"/>
    <w:rsid w:val="00014C0D"/>
    <w:rsid w:val="00014C7A"/>
    <w:rsid w:val="000157AE"/>
    <w:rsid w:val="000165B0"/>
    <w:rsid w:val="000166C1"/>
    <w:rsid w:val="0001779E"/>
    <w:rsid w:val="00017B3B"/>
    <w:rsid w:val="00020D8B"/>
    <w:rsid w:val="00021644"/>
    <w:rsid w:val="000216AB"/>
    <w:rsid w:val="00021F90"/>
    <w:rsid w:val="000221D5"/>
    <w:rsid w:val="00023308"/>
    <w:rsid w:val="000242C7"/>
    <w:rsid w:val="000249ED"/>
    <w:rsid w:val="00025284"/>
    <w:rsid w:val="00025306"/>
    <w:rsid w:val="00025E2C"/>
    <w:rsid w:val="000270F6"/>
    <w:rsid w:val="000275D5"/>
    <w:rsid w:val="0002790C"/>
    <w:rsid w:val="00030777"/>
    <w:rsid w:val="000335A6"/>
    <w:rsid w:val="000339BE"/>
    <w:rsid w:val="00033EFE"/>
    <w:rsid w:val="00034967"/>
    <w:rsid w:val="000354FB"/>
    <w:rsid w:val="0003552B"/>
    <w:rsid w:val="000355C0"/>
    <w:rsid w:val="000357B1"/>
    <w:rsid w:val="00036623"/>
    <w:rsid w:val="00036A70"/>
    <w:rsid w:val="00036E4C"/>
    <w:rsid w:val="0003725F"/>
    <w:rsid w:val="0003764E"/>
    <w:rsid w:val="00037733"/>
    <w:rsid w:val="00040377"/>
    <w:rsid w:val="00041492"/>
    <w:rsid w:val="000417AF"/>
    <w:rsid w:val="000418BC"/>
    <w:rsid w:val="000420E4"/>
    <w:rsid w:val="00042B41"/>
    <w:rsid w:val="0004318A"/>
    <w:rsid w:val="00046E3F"/>
    <w:rsid w:val="00047128"/>
    <w:rsid w:val="00047418"/>
    <w:rsid w:val="00050464"/>
    <w:rsid w:val="00050D2F"/>
    <w:rsid w:val="000510F7"/>
    <w:rsid w:val="000514DA"/>
    <w:rsid w:val="000515DC"/>
    <w:rsid w:val="000520A7"/>
    <w:rsid w:val="00052900"/>
    <w:rsid w:val="00052CC5"/>
    <w:rsid w:val="00053106"/>
    <w:rsid w:val="00053751"/>
    <w:rsid w:val="00053B04"/>
    <w:rsid w:val="0005403E"/>
    <w:rsid w:val="000541ED"/>
    <w:rsid w:val="000542D9"/>
    <w:rsid w:val="000546F1"/>
    <w:rsid w:val="00054AA5"/>
    <w:rsid w:val="000552CB"/>
    <w:rsid w:val="00055556"/>
    <w:rsid w:val="00055644"/>
    <w:rsid w:val="000562A1"/>
    <w:rsid w:val="0005699A"/>
    <w:rsid w:val="00057F62"/>
    <w:rsid w:val="00060259"/>
    <w:rsid w:val="000621A0"/>
    <w:rsid w:val="00062367"/>
    <w:rsid w:val="00062ADB"/>
    <w:rsid w:val="0006319B"/>
    <w:rsid w:val="00065E12"/>
    <w:rsid w:val="000668DA"/>
    <w:rsid w:val="00067476"/>
    <w:rsid w:val="00067496"/>
    <w:rsid w:val="00067EA3"/>
    <w:rsid w:val="000704E3"/>
    <w:rsid w:val="00071A03"/>
    <w:rsid w:val="00071D18"/>
    <w:rsid w:val="00073C9A"/>
    <w:rsid w:val="00073CB5"/>
    <w:rsid w:val="0007442D"/>
    <w:rsid w:val="00074FC7"/>
    <w:rsid w:val="000753F2"/>
    <w:rsid w:val="000763E5"/>
    <w:rsid w:val="00076496"/>
    <w:rsid w:val="00077512"/>
    <w:rsid w:val="000775C1"/>
    <w:rsid w:val="00077FDD"/>
    <w:rsid w:val="00080461"/>
    <w:rsid w:val="00080C04"/>
    <w:rsid w:val="00080D50"/>
    <w:rsid w:val="000817BB"/>
    <w:rsid w:val="000827C1"/>
    <w:rsid w:val="00082E01"/>
    <w:rsid w:val="000836BE"/>
    <w:rsid w:val="00084505"/>
    <w:rsid w:val="000854CD"/>
    <w:rsid w:val="00085B6E"/>
    <w:rsid w:val="00085EBA"/>
    <w:rsid w:val="0008753F"/>
    <w:rsid w:val="00087544"/>
    <w:rsid w:val="00087634"/>
    <w:rsid w:val="00090253"/>
    <w:rsid w:val="00091E75"/>
    <w:rsid w:val="00092231"/>
    <w:rsid w:val="0009394B"/>
    <w:rsid w:val="00093969"/>
    <w:rsid w:val="00093ABA"/>
    <w:rsid w:val="00094BD4"/>
    <w:rsid w:val="00095237"/>
    <w:rsid w:val="00095E08"/>
    <w:rsid w:val="00096442"/>
    <w:rsid w:val="000967ED"/>
    <w:rsid w:val="00096966"/>
    <w:rsid w:val="00096BA7"/>
    <w:rsid w:val="000975B9"/>
    <w:rsid w:val="00097FDC"/>
    <w:rsid w:val="000A0AA2"/>
    <w:rsid w:val="000A1423"/>
    <w:rsid w:val="000A2F7E"/>
    <w:rsid w:val="000A3371"/>
    <w:rsid w:val="000A36B5"/>
    <w:rsid w:val="000A3917"/>
    <w:rsid w:val="000A3EE5"/>
    <w:rsid w:val="000A4396"/>
    <w:rsid w:val="000A54A7"/>
    <w:rsid w:val="000A64B5"/>
    <w:rsid w:val="000A698B"/>
    <w:rsid w:val="000A6D5E"/>
    <w:rsid w:val="000B006C"/>
    <w:rsid w:val="000B0E01"/>
    <w:rsid w:val="000B0E72"/>
    <w:rsid w:val="000B2A95"/>
    <w:rsid w:val="000B2C34"/>
    <w:rsid w:val="000B3701"/>
    <w:rsid w:val="000B4F22"/>
    <w:rsid w:val="000B550C"/>
    <w:rsid w:val="000B5A34"/>
    <w:rsid w:val="000B60B9"/>
    <w:rsid w:val="000B6691"/>
    <w:rsid w:val="000B79BC"/>
    <w:rsid w:val="000B7AA2"/>
    <w:rsid w:val="000C0344"/>
    <w:rsid w:val="000C0E06"/>
    <w:rsid w:val="000C0F1D"/>
    <w:rsid w:val="000C1014"/>
    <w:rsid w:val="000C10F8"/>
    <w:rsid w:val="000C11FD"/>
    <w:rsid w:val="000C122D"/>
    <w:rsid w:val="000C18B1"/>
    <w:rsid w:val="000C1A25"/>
    <w:rsid w:val="000C1A68"/>
    <w:rsid w:val="000C1D4D"/>
    <w:rsid w:val="000C26A4"/>
    <w:rsid w:val="000C279B"/>
    <w:rsid w:val="000C29D6"/>
    <w:rsid w:val="000C2A92"/>
    <w:rsid w:val="000C2EA1"/>
    <w:rsid w:val="000C37EA"/>
    <w:rsid w:val="000C3FEC"/>
    <w:rsid w:val="000C40AC"/>
    <w:rsid w:val="000C4AD7"/>
    <w:rsid w:val="000C4D67"/>
    <w:rsid w:val="000C53BE"/>
    <w:rsid w:val="000C6E8D"/>
    <w:rsid w:val="000C75FE"/>
    <w:rsid w:val="000C79C3"/>
    <w:rsid w:val="000D0A1C"/>
    <w:rsid w:val="000D10F4"/>
    <w:rsid w:val="000D110E"/>
    <w:rsid w:val="000D1BCB"/>
    <w:rsid w:val="000D2458"/>
    <w:rsid w:val="000D281B"/>
    <w:rsid w:val="000D2F14"/>
    <w:rsid w:val="000D3BEF"/>
    <w:rsid w:val="000D4A27"/>
    <w:rsid w:val="000D54D4"/>
    <w:rsid w:val="000D55A3"/>
    <w:rsid w:val="000D5D6E"/>
    <w:rsid w:val="000D65AA"/>
    <w:rsid w:val="000D66BE"/>
    <w:rsid w:val="000D6F31"/>
    <w:rsid w:val="000D6FF3"/>
    <w:rsid w:val="000D7E66"/>
    <w:rsid w:val="000E0470"/>
    <w:rsid w:val="000E09CA"/>
    <w:rsid w:val="000E1F0E"/>
    <w:rsid w:val="000E2190"/>
    <w:rsid w:val="000E296B"/>
    <w:rsid w:val="000E33A6"/>
    <w:rsid w:val="000E340D"/>
    <w:rsid w:val="000E34DD"/>
    <w:rsid w:val="000E3B67"/>
    <w:rsid w:val="000E3D41"/>
    <w:rsid w:val="000E3F15"/>
    <w:rsid w:val="000E43D0"/>
    <w:rsid w:val="000E448D"/>
    <w:rsid w:val="000E4B70"/>
    <w:rsid w:val="000E4D59"/>
    <w:rsid w:val="000E4F2D"/>
    <w:rsid w:val="000E5EFC"/>
    <w:rsid w:val="000E6666"/>
    <w:rsid w:val="000E67E2"/>
    <w:rsid w:val="000E695D"/>
    <w:rsid w:val="000E6E05"/>
    <w:rsid w:val="000E7D80"/>
    <w:rsid w:val="000F0CC7"/>
    <w:rsid w:val="000F1729"/>
    <w:rsid w:val="000F1FAB"/>
    <w:rsid w:val="000F274D"/>
    <w:rsid w:val="000F2FAB"/>
    <w:rsid w:val="000F304B"/>
    <w:rsid w:val="000F31D3"/>
    <w:rsid w:val="000F3888"/>
    <w:rsid w:val="000F476E"/>
    <w:rsid w:val="000F5EFF"/>
    <w:rsid w:val="000F61DA"/>
    <w:rsid w:val="000F6441"/>
    <w:rsid w:val="000F6870"/>
    <w:rsid w:val="000F7C84"/>
    <w:rsid w:val="00100FA2"/>
    <w:rsid w:val="00102469"/>
    <w:rsid w:val="00102D29"/>
    <w:rsid w:val="001038B1"/>
    <w:rsid w:val="00104954"/>
    <w:rsid w:val="001050B3"/>
    <w:rsid w:val="00105181"/>
    <w:rsid w:val="00105EE8"/>
    <w:rsid w:val="00106CF0"/>
    <w:rsid w:val="00111626"/>
    <w:rsid w:val="00112092"/>
    <w:rsid w:val="0011418E"/>
    <w:rsid w:val="00114321"/>
    <w:rsid w:val="001156FE"/>
    <w:rsid w:val="0011619F"/>
    <w:rsid w:val="0011651D"/>
    <w:rsid w:val="00116E8B"/>
    <w:rsid w:val="00116FE3"/>
    <w:rsid w:val="001171D9"/>
    <w:rsid w:val="00117227"/>
    <w:rsid w:val="00117403"/>
    <w:rsid w:val="00120B63"/>
    <w:rsid w:val="001227FE"/>
    <w:rsid w:val="00123324"/>
    <w:rsid w:val="0012373F"/>
    <w:rsid w:val="001242D6"/>
    <w:rsid w:val="00124E70"/>
    <w:rsid w:val="00125647"/>
    <w:rsid w:val="001261B0"/>
    <w:rsid w:val="00126FA0"/>
    <w:rsid w:val="00126FB8"/>
    <w:rsid w:val="00127FBD"/>
    <w:rsid w:val="00130067"/>
    <w:rsid w:val="00130D51"/>
    <w:rsid w:val="00131277"/>
    <w:rsid w:val="00131323"/>
    <w:rsid w:val="00131BC0"/>
    <w:rsid w:val="00133286"/>
    <w:rsid w:val="001335CF"/>
    <w:rsid w:val="001339AA"/>
    <w:rsid w:val="0013481E"/>
    <w:rsid w:val="00135CD5"/>
    <w:rsid w:val="00136B62"/>
    <w:rsid w:val="00136F4B"/>
    <w:rsid w:val="00136F9A"/>
    <w:rsid w:val="00137200"/>
    <w:rsid w:val="00137A9C"/>
    <w:rsid w:val="00140130"/>
    <w:rsid w:val="0014061E"/>
    <w:rsid w:val="0014078E"/>
    <w:rsid w:val="00141635"/>
    <w:rsid w:val="00141E81"/>
    <w:rsid w:val="00142A1E"/>
    <w:rsid w:val="001432F1"/>
    <w:rsid w:val="0014364E"/>
    <w:rsid w:val="0014365E"/>
    <w:rsid w:val="001442F5"/>
    <w:rsid w:val="00144391"/>
    <w:rsid w:val="00144E95"/>
    <w:rsid w:val="001453F7"/>
    <w:rsid w:val="0014578E"/>
    <w:rsid w:val="00146284"/>
    <w:rsid w:val="00147391"/>
    <w:rsid w:val="001473BD"/>
    <w:rsid w:val="00150099"/>
    <w:rsid w:val="001504D2"/>
    <w:rsid w:val="001511EB"/>
    <w:rsid w:val="001513BF"/>
    <w:rsid w:val="00152A09"/>
    <w:rsid w:val="00153337"/>
    <w:rsid w:val="00153867"/>
    <w:rsid w:val="00153C4F"/>
    <w:rsid w:val="001541E0"/>
    <w:rsid w:val="00155D0D"/>
    <w:rsid w:val="00157B59"/>
    <w:rsid w:val="00157E8E"/>
    <w:rsid w:val="00157F62"/>
    <w:rsid w:val="00160059"/>
    <w:rsid w:val="001601B9"/>
    <w:rsid w:val="00160835"/>
    <w:rsid w:val="00160A89"/>
    <w:rsid w:val="001611FC"/>
    <w:rsid w:val="001612AC"/>
    <w:rsid w:val="00161856"/>
    <w:rsid w:val="00161C88"/>
    <w:rsid w:val="00162D98"/>
    <w:rsid w:val="00163055"/>
    <w:rsid w:val="00163A5E"/>
    <w:rsid w:val="00164BE7"/>
    <w:rsid w:val="00164C3E"/>
    <w:rsid w:val="0016516D"/>
    <w:rsid w:val="001667EB"/>
    <w:rsid w:val="001674D6"/>
    <w:rsid w:val="00167975"/>
    <w:rsid w:val="00170963"/>
    <w:rsid w:val="00170E9E"/>
    <w:rsid w:val="00171991"/>
    <w:rsid w:val="00171BA9"/>
    <w:rsid w:val="001721E2"/>
    <w:rsid w:val="00172283"/>
    <w:rsid w:val="00173EAE"/>
    <w:rsid w:val="001749CE"/>
    <w:rsid w:val="0017501D"/>
    <w:rsid w:val="0017533C"/>
    <w:rsid w:val="0017542C"/>
    <w:rsid w:val="00175453"/>
    <w:rsid w:val="001756B5"/>
    <w:rsid w:val="00175C23"/>
    <w:rsid w:val="0017732A"/>
    <w:rsid w:val="0018006E"/>
    <w:rsid w:val="00180854"/>
    <w:rsid w:val="00180A0E"/>
    <w:rsid w:val="00181958"/>
    <w:rsid w:val="00181FA1"/>
    <w:rsid w:val="00182317"/>
    <w:rsid w:val="001829A5"/>
    <w:rsid w:val="00182E50"/>
    <w:rsid w:val="00183DDF"/>
    <w:rsid w:val="001843DB"/>
    <w:rsid w:val="00186697"/>
    <w:rsid w:val="001879A9"/>
    <w:rsid w:val="00187E1E"/>
    <w:rsid w:val="0019039C"/>
    <w:rsid w:val="00190E02"/>
    <w:rsid w:val="00191216"/>
    <w:rsid w:val="0019180E"/>
    <w:rsid w:val="00191AE8"/>
    <w:rsid w:val="00192450"/>
    <w:rsid w:val="0019245D"/>
    <w:rsid w:val="001924AD"/>
    <w:rsid w:val="00193D2C"/>
    <w:rsid w:val="00193E06"/>
    <w:rsid w:val="00194D4C"/>
    <w:rsid w:val="00195D8B"/>
    <w:rsid w:val="001966ED"/>
    <w:rsid w:val="001A067F"/>
    <w:rsid w:val="001A137C"/>
    <w:rsid w:val="001A2E58"/>
    <w:rsid w:val="001A50D4"/>
    <w:rsid w:val="001A5C6B"/>
    <w:rsid w:val="001A613A"/>
    <w:rsid w:val="001A625B"/>
    <w:rsid w:val="001A6D78"/>
    <w:rsid w:val="001B0747"/>
    <w:rsid w:val="001B07B2"/>
    <w:rsid w:val="001B2234"/>
    <w:rsid w:val="001B29D7"/>
    <w:rsid w:val="001B39E9"/>
    <w:rsid w:val="001B3ED0"/>
    <w:rsid w:val="001B4259"/>
    <w:rsid w:val="001B4C14"/>
    <w:rsid w:val="001B4D3D"/>
    <w:rsid w:val="001B5A69"/>
    <w:rsid w:val="001B656E"/>
    <w:rsid w:val="001B69BD"/>
    <w:rsid w:val="001B713E"/>
    <w:rsid w:val="001B7DD0"/>
    <w:rsid w:val="001C02EF"/>
    <w:rsid w:val="001C1168"/>
    <w:rsid w:val="001C2713"/>
    <w:rsid w:val="001C2DAF"/>
    <w:rsid w:val="001C46CC"/>
    <w:rsid w:val="001C4C02"/>
    <w:rsid w:val="001C4CA9"/>
    <w:rsid w:val="001C5216"/>
    <w:rsid w:val="001C56FE"/>
    <w:rsid w:val="001C5B2A"/>
    <w:rsid w:val="001C6241"/>
    <w:rsid w:val="001C667F"/>
    <w:rsid w:val="001C78D8"/>
    <w:rsid w:val="001C795D"/>
    <w:rsid w:val="001C7CA7"/>
    <w:rsid w:val="001C7CDF"/>
    <w:rsid w:val="001D0B47"/>
    <w:rsid w:val="001D0B5B"/>
    <w:rsid w:val="001D2E72"/>
    <w:rsid w:val="001D360A"/>
    <w:rsid w:val="001D39B3"/>
    <w:rsid w:val="001D4677"/>
    <w:rsid w:val="001D5C00"/>
    <w:rsid w:val="001D5D2B"/>
    <w:rsid w:val="001D7324"/>
    <w:rsid w:val="001D7DFC"/>
    <w:rsid w:val="001E02BB"/>
    <w:rsid w:val="001E1597"/>
    <w:rsid w:val="001E1723"/>
    <w:rsid w:val="001E1D18"/>
    <w:rsid w:val="001E1E63"/>
    <w:rsid w:val="001E22DF"/>
    <w:rsid w:val="001E2790"/>
    <w:rsid w:val="001E28A0"/>
    <w:rsid w:val="001E2EE5"/>
    <w:rsid w:val="001E2F96"/>
    <w:rsid w:val="001E34D3"/>
    <w:rsid w:val="001E3DB7"/>
    <w:rsid w:val="001E579E"/>
    <w:rsid w:val="001E5ABB"/>
    <w:rsid w:val="001E6465"/>
    <w:rsid w:val="001E6DEE"/>
    <w:rsid w:val="001E77E9"/>
    <w:rsid w:val="001F0539"/>
    <w:rsid w:val="001F0BC8"/>
    <w:rsid w:val="001F0BCF"/>
    <w:rsid w:val="001F107D"/>
    <w:rsid w:val="001F13DC"/>
    <w:rsid w:val="001F1513"/>
    <w:rsid w:val="001F22BB"/>
    <w:rsid w:val="001F2900"/>
    <w:rsid w:val="001F2A2B"/>
    <w:rsid w:val="001F3E92"/>
    <w:rsid w:val="001F4037"/>
    <w:rsid w:val="001F5849"/>
    <w:rsid w:val="001F58C5"/>
    <w:rsid w:val="001F5C25"/>
    <w:rsid w:val="001F5F92"/>
    <w:rsid w:val="001F73C3"/>
    <w:rsid w:val="001F74FB"/>
    <w:rsid w:val="002029C9"/>
    <w:rsid w:val="00203B17"/>
    <w:rsid w:val="002041A8"/>
    <w:rsid w:val="00204263"/>
    <w:rsid w:val="00204CE1"/>
    <w:rsid w:val="002051E1"/>
    <w:rsid w:val="00205BBD"/>
    <w:rsid w:val="002068CC"/>
    <w:rsid w:val="00206BE7"/>
    <w:rsid w:val="0020734F"/>
    <w:rsid w:val="002075AD"/>
    <w:rsid w:val="00207A28"/>
    <w:rsid w:val="00207B18"/>
    <w:rsid w:val="0021018A"/>
    <w:rsid w:val="002108E0"/>
    <w:rsid w:val="00212835"/>
    <w:rsid w:val="002139A8"/>
    <w:rsid w:val="00213A05"/>
    <w:rsid w:val="00214988"/>
    <w:rsid w:val="00214F71"/>
    <w:rsid w:val="00215592"/>
    <w:rsid w:val="002155B8"/>
    <w:rsid w:val="0021580A"/>
    <w:rsid w:val="0021669B"/>
    <w:rsid w:val="0021672C"/>
    <w:rsid w:val="00216895"/>
    <w:rsid w:val="00216E8D"/>
    <w:rsid w:val="00216EFF"/>
    <w:rsid w:val="00216F3F"/>
    <w:rsid w:val="00217D82"/>
    <w:rsid w:val="002207EF"/>
    <w:rsid w:val="002210C1"/>
    <w:rsid w:val="002213F6"/>
    <w:rsid w:val="002215DA"/>
    <w:rsid w:val="00221D8E"/>
    <w:rsid w:val="00221E17"/>
    <w:rsid w:val="00222913"/>
    <w:rsid w:val="00222BDF"/>
    <w:rsid w:val="002239F6"/>
    <w:rsid w:val="00225320"/>
    <w:rsid w:val="00226155"/>
    <w:rsid w:val="0022647B"/>
    <w:rsid w:val="00226658"/>
    <w:rsid w:val="00226FB9"/>
    <w:rsid w:val="00227327"/>
    <w:rsid w:val="00227905"/>
    <w:rsid w:val="00227CBB"/>
    <w:rsid w:val="00230EC3"/>
    <w:rsid w:val="0023230B"/>
    <w:rsid w:val="00232615"/>
    <w:rsid w:val="00233742"/>
    <w:rsid w:val="002339F0"/>
    <w:rsid w:val="00235E44"/>
    <w:rsid w:val="00235F29"/>
    <w:rsid w:val="00236014"/>
    <w:rsid w:val="00236E50"/>
    <w:rsid w:val="00237EC0"/>
    <w:rsid w:val="002403F9"/>
    <w:rsid w:val="0024079A"/>
    <w:rsid w:val="00240A8C"/>
    <w:rsid w:val="00240C29"/>
    <w:rsid w:val="0024119E"/>
    <w:rsid w:val="002414D8"/>
    <w:rsid w:val="00241ECD"/>
    <w:rsid w:val="002429BC"/>
    <w:rsid w:val="00242C14"/>
    <w:rsid w:val="00242EE2"/>
    <w:rsid w:val="0024300B"/>
    <w:rsid w:val="002431C4"/>
    <w:rsid w:val="00243975"/>
    <w:rsid w:val="00243EA4"/>
    <w:rsid w:val="002440AB"/>
    <w:rsid w:val="00244244"/>
    <w:rsid w:val="00245910"/>
    <w:rsid w:val="0024636C"/>
    <w:rsid w:val="00246614"/>
    <w:rsid w:val="00246B8D"/>
    <w:rsid w:val="002474C2"/>
    <w:rsid w:val="00247C46"/>
    <w:rsid w:val="00250267"/>
    <w:rsid w:val="00250478"/>
    <w:rsid w:val="00250BE9"/>
    <w:rsid w:val="0025124D"/>
    <w:rsid w:val="00251639"/>
    <w:rsid w:val="0025165B"/>
    <w:rsid w:val="002518AE"/>
    <w:rsid w:val="00251E1C"/>
    <w:rsid w:val="00253236"/>
    <w:rsid w:val="00253654"/>
    <w:rsid w:val="00253907"/>
    <w:rsid w:val="00253EAE"/>
    <w:rsid w:val="00254504"/>
    <w:rsid w:val="00254602"/>
    <w:rsid w:val="00255AF8"/>
    <w:rsid w:val="00256CA9"/>
    <w:rsid w:val="00256FA8"/>
    <w:rsid w:val="00257741"/>
    <w:rsid w:val="0025776C"/>
    <w:rsid w:val="00257A94"/>
    <w:rsid w:val="00260546"/>
    <w:rsid w:val="00261A60"/>
    <w:rsid w:val="00261D9E"/>
    <w:rsid w:val="00263435"/>
    <w:rsid w:val="00263C1E"/>
    <w:rsid w:val="00264910"/>
    <w:rsid w:val="00265D05"/>
    <w:rsid w:val="00265DA8"/>
    <w:rsid w:val="00266AC4"/>
    <w:rsid w:val="0026715D"/>
    <w:rsid w:val="00267613"/>
    <w:rsid w:val="00267872"/>
    <w:rsid w:val="002701B9"/>
    <w:rsid w:val="00273A93"/>
    <w:rsid w:val="00273ECB"/>
    <w:rsid w:val="0027470A"/>
    <w:rsid w:val="00274AF0"/>
    <w:rsid w:val="00274F39"/>
    <w:rsid w:val="00275623"/>
    <w:rsid w:val="00276DE0"/>
    <w:rsid w:val="00277079"/>
    <w:rsid w:val="00281CB5"/>
    <w:rsid w:val="00281FCD"/>
    <w:rsid w:val="002821A5"/>
    <w:rsid w:val="00284184"/>
    <w:rsid w:val="00284595"/>
    <w:rsid w:val="00284A00"/>
    <w:rsid w:val="0028530C"/>
    <w:rsid w:val="002861B8"/>
    <w:rsid w:val="00286A67"/>
    <w:rsid w:val="00286C0A"/>
    <w:rsid w:val="00287370"/>
    <w:rsid w:val="00287473"/>
    <w:rsid w:val="00287A24"/>
    <w:rsid w:val="00287CDD"/>
    <w:rsid w:val="00287D56"/>
    <w:rsid w:val="00287F49"/>
    <w:rsid w:val="002906B2"/>
    <w:rsid w:val="00292D4F"/>
    <w:rsid w:val="00292F2F"/>
    <w:rsid w:val="0029379A"/>
    <w:rsid w:val="00293C23"/>
    <w:rsid w:val="00294F1B"/>
    <w:rsid w:val="0029595B"/>
    <w:rsid w:val="00295F6D"/>
    <w:rsid w:val="0029692B"/>
    <w:rsid w:val="00296BB6"/>
    <w:rsid w:val="002978A7"/>
    <w:rsid w:val="00297931"/>
    <w:rsid w:val="002A0B27"/>
    <w:rsid w:val="002A0EEF"/>
    <w:rsid w:val="002A3247"/>
    <w:rsid w:val="002A349C"/>
    <w:rsid w:val="002A46ED"/>
    <w:rsid w:val="002A57FD"/>
    <w:rsid w:val="002A5E8F"/>
    <w:rsid w:val="002A6133"/>
    <w:rsid w:val="002A6F3B"/>
    <w:rsid w:val="002B005D"/>
    <w:rsid w:val="002B0D76"/>
    <w:rsid w:val="002B1785"/>
    <w:rsid w:val="002B1C22"/>
    <w:rsid w:val="002B2326"/>
    <w:rsid w:val="002B2A41"/>
    <w:rsid w:val="002B303B"/>
    <w:rsid w:val="002B3874"/>
    <w:rsid w:val="002B3F43"/>
    <w:rsid w:val="002B44C0"/>
    <w:rsid w:val="002B455C"/>
    <w:rsid w:val="002B46C1"/>
    <w:rsid w:val="002B5EF3"/>
    <w:rsid w:val="002B62DF"/>
    <w:rsid w:val="002B7181"/>
    <w:rsid w:val="002B7618"/>
    <w:rsid w:val="002C0DE6"/>
    <w:rsid w:val="002C146A"/>
    <w:rsid w:val="002C169B"/>
    <w:rsid w:val="002C3219"/>
    <w:rsid w:val="002C3647"/>
    <w:rsid w:val="002C3AB7"/>
    <w:rsid w:val="002C3CDA"/>
    <w:rsid w:val="002C3D99"/>
    <w:rsid w:val="002C49BF"/>
    <w:rsid w:val="002C5E93"/>
    <w:rsid w:val="002C6B76"/>
    <w:rsid w:val="002C7DD6"/>
    <w:rsid w:val="002C7F68"/>
    <w:rsid w:val="002D091E"/>
    <w:rsid w:val="002D2BA3"/>
    <w:rsid w:val="002D2C3A"/>
    <w:rsid w:val="002D76B6"/>
    <w:rsid w:val="002D786C"/>
    <w:rsid w:val="002E00FE"/>
    <w:rsid w:val="002E073E"/>
    <w:rsid w:val="002E0D7D"/>
    <w:rsid w:val="002E1458"/>
    <w:rsid w:val="002E21A2"/>
    <w:rsid w:val="002E265C"/>
    <w:rsid w:val="002E2D91"/>
    <w:rsid w:val="002E31F9"/>
    <w:rsid w:val="002E3253"/>
    <w:rsid w:val="002E5B6B"/>
    <w:rsid w:val="002E7D46"/>
    <w:rsid w:val="002F0580"/>
    <w:rsid w:val="002F1284"/>
    <w:rsid w:val="002F30D6"/>
    <w:rsid w:val="002F3446"/>
    <w:rsid w:val="002F3785"/>
    <w:rsid w:val="002F3B68"/>
    <w:rsid w:val="002F4175"/>
    <w:rsid w:val="002F4543"/>
    <w:rsid w:val="002F5528"/>
    <w:rsid w:val="002F6FCC"/>
    <w:rsid w:val="002F7293"/>
    <w:rsid w:val="002F747D"/>
    <w:rsid w:val="002F76C4"/>
    <w:rsid w:val="002F7B4A"/>
    <w:rsid w:val="003007C7"/>
    <w:rsid w:val="00300FD8"/>
    <w:rsid w:val="00302458"/>
    <w:rsid w:val="003024D7"/>
    <w:rsid w:val="003031DB"/>
    <w:rsid w:val="00303437"/>
    <w:rsid w:val="00303A38"/>
    <w:rsid w:val="003046B5"/>
    <w:rsid w:val="00304A90"/>
    <w:rsid w:val="00307204"/>
    <w:rsid w:val="00307548"/>
    <w:rsid w:val="003075D1"/>
    <w:rsid w:val="00307AFF"/>
    <w:rsid w:val="00310AC7"/>
    <w:rsid w:val="003115D1"/>
    <w:rsid w:val="003115F3"/>
    <w:rsid w:val="00312D01"/>
    <w:rsid w:val="00312EB0"/>
    <w:rsid w:val="003132DD"/>
    <w:rsid w:val="00314F6E"/>
    <w:rsid w:val="00315303"/>
    <w:rsid w:val="00315A90"/>
    <w:rsid w:val="003162F2"/>
    <w:rsid w:val="003163CB"/>
    <w:rsid w:val="00316541"/>
    <w:rsid w:val="00316581"/>
    <w:rsid w:val="00317085"/>
    <w:rsid w:val="003211CD"/>
    <w:rsid w:val="00321356"/>
    <w:rsid w:val="00321934"/>
    <w:rsid w:val="00321F48"/>
    <w:rsid w:val="00322065"/>
    <w:rsid w:val="00322788"/>
    <w:rsid w:val="00322B9E"/>
    <w:rsid w:val="0032301A"/>
    <w:rsid w:val="00324198"/>
    <w:rsid w:val="003244B1"/>
    <w:rsid w:val="00324A91"/>
    <w:rsid w:val="00324F07"/>
    <w:rsid w:val="00325DE7"/>
    <w:rsid w:val="0032643F"/>
    <w:rsid w:val="003274F7"/>
    <w:rsid w:val="0033026A"/>
    <w:rsid w:val="003303A3"/>
    <w:rsid w:val="00330A02"/>
    <w:rsid w:val="00332708"/>
    <w:rsid w:val="003335DD"/>
    <w:rsid w:val="003338E4"/>
    <w:rsid w:val="00333AB5"/>
    <w:rsid w:val="003350FF"/>
    <w:rsid w:val="003356A2"/>
    <w:rsid w:val="00336250"/>
    <w:rsid w:val="003365B1"/>
    <w:rsid w:val="003378C7"/>
    <w:rsid w:val="00337FB4"/>
    <w:rsid w:val="00340800"/>
    <w:rsid w:val="003417EC"/>
    <w:rsid w:val="00341E49"/>
    <w:rsid w:val="0034304B"/>
    <w:rsid w:val="0034314F"/>
    <w:rsid w:val="003438B7"/>
    <w:rsid w:val="00343CFB"/>
    <w:rsid w:val="00343FF3"/>
    <w:rsid w:val="00344C28"/>
    <w:rsid w:val="00344D61"/>
    <w:rsid w:val="00344EB7"/>
    <w:rsid w:val="00345BC0"/>
    <w:rsid w:val="003461CE"/>
    <w:rsid w:val="00347932"/>
    <w:rsid w:val="00347C7E"/>
    <w:rsid w:val="00347FB7"/>
    <w:rsid w:val="00350285"/>
    <w:rsid w:val="00350C28"/>
    <w:rsid w:val="00351989"/>
    <w:rsid w:val="00351F24"/>
    <w:rsid w:val="00352B41"/>
    <w:rsid w:val="00352DE7"/>
    <w:rsid w:val="00352FA1"/>
    <w:rsid w:val="0035381E"/>
    <w:rsid w:val="00355326"/>
    <w:rsid w:val="00355A7A"/>
    <w:rsid w:val="00355C28"/>
    <w:rsid w:val="003563D1"/>
    <w:rsid w:val="00356BF7"/>
    <w:rsid w:val="00356E86"/>
    <w:rsid w:val="00356F12"/>
    <w:rsid w:val="0035762A"/>
    <w:rsid w:val="00360013"/>
    <w:rsid w:val="00360512"/>
    <w:rsid w:val="003608B4"/>
    <w:rsid w:val="003608EE"/>
    <w:rsid w:val="00361AE8"/>
    <w:rsid w:val="0036241B"/>
    <w:rsid w:val="003631E2"/>
    <w:rsid w:val="003637E9"/>
    <w:rsid w:val="00363B6B"/>
    <w:rsid w:val="00363D31"/>
    <w:rsid w:val="00363F31"/>
    <w:rsid w:val="00364A3A"/>
    <w:rsid w:val="00364A8A"/>
    <w:rsid w:val="00364B64"/>
    <w:rsid w:val="00365061"/>
    <w:rsid w:val="00365474"/>
    <w:rsid w:val="003662BA"/>
    <w:rsid w:val="0036693C"/>
    <w:rsid w:val="003679D2"/>
    <w:rsid w:val="00367ECF"/>
    <w:rsid w:val="0037364C"/>
    <w:rsid w:val="00374F6F"/>
    <w:rsid w:val="00375355"/>
    <w:rsid w:val="00375658"/>
    <w:rsid w:val="00375966"/>
    <w:rsid w:val="00375F88"/>
    <w:rsid w:val="003763AF"/>
    <w:rsid w:val="003764D0"/>
    <w:rsid w:val="00377DD9"/>
    <w:rsid w:val="0038031D"/>
    <w:rsid w:val="00380CCC"/>
    <w:rsid w:val="00381D8B"/>
    <w:rsid w:val="0038239E"/>
    <w:rsid w:val="00382593"/>
    <w:rsid w:val="0038332D"/>
    <w:rsid w:val="003834B3"/>
    <w:rsid w:val="00383710"/>
    <w:rsid w:val="00383CA7"/>
    <w:rsid w:val="00384199"/>
    <w:rsid w:val="00385AA1"/>
    <w:rsid w:val="003875CB"/>
    <w:rsid w:val="003876C7"/>
    <w:rsid w:val="00387912"/>
    <w:rsid w:val="00387CCA"/>
    <w:rsid w:val="00390274"/>
    <w:rsid w:val="00390CD1"/>
    <w:rsid w:val="00390D05"/>
    <w:rsid w:val="00391CED"/>
    <w:rsid w:val="00393182"/>
    <w:rsid w:val="003931AC"/>
    <w:rsid w:val="00393770"/>
    <w:rsid w:val="003937AC"/>
    <w:rsid w:val="00393C3F"/>
    <w:rsid w:val="00394801"/>
    <w:rsid w:val="00395777"/>
    <w:rsid w:val="00395AB6"/>
    <w:rsid w:val="00395D72"/>
    <w:rsid w:val="003962E6"/>
    <w:rsid w:val="00396E27"/>
    <w:rsid w:val="003972BF"/>
    <w:rsid w:val="00397336"/>
    <w:rsid w:val="003A0258"/>
    <w:rsid w:val="003A0B8A"/>
    <w:rsid w:val="003A0EBD"/>
    <w:rsid w:val="003A0FF5"/>
    <w:rsid w:val="003A1CAD"/>
    <w:rsid w:val="003A380E"/>
    <w:rsid w:val="003A3DE7"/>
    <w:rsid w:val="003A495E"/>
    <w:rsid w:val="003A5ECB"/>
    <w:rsid w:val="003A6A31"/>
    <w:rsid w:val="003A6A70"/>
    <w:rsid w:val="003A7822"/>
    <w:rsid w:val="003B0D27"/>
    <w:rsid w:val="003B0F2C"/>
    <w:rsid w:val="003B1ED3"/>
    <w:rsid w:val="003B2455"/>
    <w:rsid w:val="003B2C58"/>
    <w:rsid w:val="003B2D0D"/>
    <w:rsid w:val="003B2D1B"/>
    <w:rsid w:val="003B2ED8"/>
    <w:rsid w:val="003B3299"/>
    <w:rsid w:val="003B3D74"/>
    <w:rsid w:val="003B56A1"/>
    <w:rsid w:val="003B6260"/>
    <w:rsid w:val="003B647D"/>
    <w:rsid w:val="003B686B"/>
    <w:rsid w:val="003B6CB5"/>
    <w:rsid w:val="003B7FED"/>
    <w:rsid w:val="003C033C"/>
    <w:rsid w:val="003C0489"/>
    <w:rsid w:val="003C0613"/>
    <w:rsid w:val="003C0AC8"/>
    <w:rsid w:val="003C0C70"/>
    <w:rsid w:val="003C1260"/>
    <w:rsid w:val="003C1FEE"/>
    <w:rsid w:val="003C332C"/>
    <w:rsid w:val="003C37FA"/>
    <w:rsid w:val="003C3B1E"/>
    <w:rsid w:val="003C405E"/>
    <w:rsid w:val="003C4357"/>
    <w:rsid w:val="003C4956"/>
    <w:rsid w:val="003C4EBB"/>
    <w:rsid w:val="003C7D41"/>
    <w:rsid w:val="003D041F"/>
    <w:rsid w:val="003D0EE1"/>
    <w:rsid w:val="003D104E"/>
    <w:rsid w:val="003D2115"/>
    <w:rsid w:val="003D22CD"/>
    <w:rsid w:val="003D22EF"/>
    <w:rsid w:val="003D3E10"/>
    <w:rsid w:val="003E1D05"/>
    <w:rsid w:val="003E29A3"/>
    <w:rsid w:val="003E35B2"/>
    <w:rsid w:val="003E3EB2"/>
    <w:rsid w:val="003E47E0"/>
    <w:rsid w:val="003E5764"/>
    <w:rsid w:val="003E5A4E"/>
    <w:rsid w:val="003E6882"/>
    <w:rsid w:val="003F0D62"/>
    <w:rsid w:val="003F155E"/>
    <w:rsid w:val="003F24AC"/>
    <w:rsid w:val="003F2629"/>
    <w:rsid w:val="003F2B7F"/>
    <w:rsid w:val="003F3041"/>
    <w:rsid w:val="003F4BAA"/>
    <w:rsid w:val="003F4D2D"/>
    <w:rsid w:val="003F4E01"/>
    <w:rsid w:val="003F6097"/>
    <w:rsid w:val="003F693D"/>
    <w:rsid w:val="003F7589"/>
    <w:rsid w:val="003F75FE"/>
    <w:rsid w:val="004001E9"/>
    <w:rsid w:val="004005B5"/>
    <w:rsid w:val="00400A48"/>
    <w:rsid w:val="00400B36"/>
    <w:rsid w:val="00400B3E"/>
    <w:rsid w:val="0040136A"/>
    <w:rsid w:val="00401389"/>
    <w:rsid w:val="004015E2"/>
    <w:rsid w:val="00401886"/>
    <w:rsid w:val="0040215E"/>
    <w:rsid w:val="00403AB4"/>
    <w:rsid w:val="00404442"/>
    <w:rsid w:val="00404906"/>
    <w:rsid w:val="00404E7B"/>
    <w:rsid w:val="004065F2"/>
    <w:rsid w:val="00406C70"/>
    <w:rsid w:val="00406CD9"/>
    <w:rsid w:val="00410274"/>
    <w:rsid w:val="00410810"/>
    <w:rsid w:val="004113BC"/>
    <w:rsid w:val="0041158A"/>
    <w:rsid w:val="00412803"/>
    <w:rsid w:val="004130F6"/>
    <w:rsid w:val="004142C9"/>
    <w:rsid w:val="00414EF8"/>
    <w:rsid w:val="00415127"/>
    <w:rsid w:val="004152EF"/>
    <w:rsid w:val="00416DF2"/>
    <w:rsid w:val="00416E34"/>
    <w:rsid w:val="00416F2B"/>
    <w:rsid w:val="00417E4F"/>
    <w:rsid w:val="00421302"/>
    <w:rsid w:val="00422BEE"/>
    <w:rsid w:val="00422D9F"/>
    <w:rsid w:val="0042309B"/>
    <w:rsid w:val="0042346E"/>
    <w:rsid w:val="00423960"/>
    <w:rsid w:val="004239DE"/>
    <w:rsid w:val="0042480D"/>
    <w:rsid w:val="004251D6"/>
    <w:rsid w:val="004254D7"/>
    <w:rsid w:val="0042740C"/>
    <w:rsid w:val="004277FE"/>
    <w:rsid w:val="00427AA2"/>
    <w:rsid w:val="00427C9F"/>
    <w:rsid w:val="004304DD"/>
    <w:rsid w:val="00430CB0"/>
    <w:rsid w:val="004310F7"/>
    <w:rsid w:val="004312A9"/>
    <w:rsid w:val="004329A4"/>
    <w:rsid w:val="004337AB"/>
    <w:rsid w:val="004337DE"/>
    <w:rsid w:val="00433ED8"/>
    <w:rsid w:val="004346F1"/>
    <w:rsid w:val="00434D1D"/>
    <w:rsid w:val="00435708"/>
    <w:rsid w:val="004359F2"/>
    <w:rsid w:val="00435DAF"/>
    <w:rsid w:val="004370DA"/>
    <w:rsid w:val="00437110"/>
    <w:rsid w:val="004375AB"/>
    <w:rsid w:val="00437E0E"/>
    <w:rsid w:val="004400C6"/>
    <w:rsid w:val="00441836"/>
    <w:rsid w:val="00441F4D"/>
    <w:rsid w:val="00442314"/>
    <w:rsid w:val="0044314A"/>
    <w:rsid w:val="004440F1"/>
    <w:rsid w:val="00444AFC"/>
    <w:rsid w:val="00444FB7"/>
    <w:rsid w:val="004451F6"/>
    <w:rsid w:val="00445350"/>
    <w:rsid w:val="0044696D"/>
    <w:rsid w:val="00446DA9"/>
    <w:rsid w:val="0044702D"/>
    <w:rsid w:val="004502D3"/>
    <w:rsid w:val="00450674"/>
    <w:rsid w:val="00450B86"/>
    <w:rsid w:val="00451BC5"/>
    <w:rsid w:val="0045227E"/>
    <w:rsid w:val="00452325"/>
    <w:rsid w:val="00452D65"/>
    <w:rsid w:val="0045333F"/>
    <w:rsid w:val="00453502"/>
    <w:rsid w:val="00454349"/>
    <w:rsid w:val="00454B60"/>
    <w:rsid w:val="00455AA7"/>
    <w:rsid w:val="00456C73"/>
    <w:rsid w:val="00457A70"/>
    <w:rsid w:val="00457F1E"/>
    <w:rsid w:val="004604F4"/>
    <w:rsid w:val="00460764"/>
    <w:rsid w:val="00460A54"/>
    <w:rsid w:val="00460B46"/>
    <w:rsid w:val="00460B6B"/>
    <w:rsid w:val="004617E0"/>
    <w:rsid w:val="00461936"/>
    <w:rsid w:val="0046447D"/>
    <w:rsid w:val="004648D4"/>
    <w:rsid w:val="00464AEB"/>
    <w:rsid w:val="00465E99"/>
    <w:rsid w:val="004663C0"/>
    <w:rsid w:val="00466F08"/>
    <w:rsid w:val="00467ED3"/>
    <w:rsid w:val="0047114B"/>
    <w:rsid w:val="00471408"/>
    <w:rsid w:val="00471AEC"/>
    <w:rsid w:val="004720E6"/>
    <w:rsid w:val="0047246D"/>
    <w:rsid w:val="0047254C"/>
    <w:rsid w:val="00472614"/>
    <w:rsid w:val="00472752"/>
    <w:rsid w:val="00472764"/>
    <w:rsid w:val="004734DA"/>
    <w:rsid w:val="004739DD"/>
    <w:rsid w:val="004740AE"/>
    <w:rsid w:val="004747CE"/>
    <w:rsid w:val="00475125"/>
    <w:rsid w:val="00475459"/>
    <w:rsid w:val="00476016"/>
    <w:rsid w:val="00476BC7"/>
    <w:rsid w:val="0047761E"/>
    <w:rsid w:val="00477F6F"/>
    <w:rsid w:val="0048016A"/>
    <w:rsid w:val="004809DC"/>
    <w:rsid w:val="00481687"/>
    <w:rsid w:val="00482A22"/>
    <w:rsid w:val="00482CE0"/>
    <w:rsid w:val="00482D7C"/>
    <w:rsid w:val="00483CD5"/>
    <w:rsid w:val="00484063"/>
    <w:rsid w:val="00484985"/>
    <w:rsid w:val="0048768D"/>
    <w:rsid w:val="0048782C"/>
    <w:rsid w:val="00487A81"/>
    <w:rsid w:val="00490609"/>
    <w:rsid w:val="004907E9"/>
    <w:rsid w:val="00490B49"/>
    <w:rsid w:val="00490E06"/>
    <w:rsid w:val="0049117B"/>
    <w:rsid w:val="0049128E"/>
    <w:rsid w:val="00491795"/>
    <w:rsid w:val="00491C02"/>
    <w:rsid w:val="00491F04"/>
    <w:rsid w:val="00492761"/>
    <w:rsid w:val="00492C4F"/>
    <w:rsid w:val="0049333C"/>
    <w:rsid w:val="00494AA5"/>
    <w:rsid w:val="00494EE3"/>
    <w:rsid w:val="004953CC"/>
    <w:rsid w:val="00497B1C"/>
    <w:rsid w:val="00497B54"/>
    <w:rsid w:val="00497C90"/>
    <w:rsid w:val="004A0174"/>
    <w:rsid w:val="004A04A0"/>
    <w:rsid w:val="004A082F"/>
    <w:rsid w:val="004A0C3C"/>
    <w:rsid w:val="004A13A7"/>
    <w:rsid w:val="004A16D8"/>
    <w:rsid w:val="004A1C38"/>
    <w:rsid w:val="004A1D0F"/>
    <w:rsid w:val="004A215E"/>
    <w:rsid w:val="004A2771"/>
    <w:rsid w:val="004A2BEE"/>
    <w:rsid w:val="004A2E81"/>
    <w:rsid w:val="004A2F11"/>
    <w:rsid w:val="004A47A6"/>
    <w:rsid w:val="004A47E6"/>
    <w:rsid w:val="004A4980"/>
    <w:rsid w:val="004A4A3A"/>
    <w:rsid w:val="004A4BBE"/>
    <w:rsid w:val="004A633D"/>
    <w:rsid w:val="004A668C"/>
    <w:rsid w:val="004A679F"/>
    <w:rsid w:val="004A7745"/>
    <w:rsid w:val="004B04CC"/>
    <w:rsid w:val="004B0F21"/>
    <w:rsid w:val="004B1436"/>
    <w:rsid w:val="004B1701"/>
    <w:rsid w:val="004B1933"/>
    <w:rsid w:val="004B1F3E"/>
    <w:rsid w:val="004B2554"/>
    <w:rsid w:val="004B2575"/>
    <w:rsid w:val="004B3224"/>
    <w:rsid w:val="004B3BAE"/>
    <w:rsid w:val="004B4045"/>
    <w:rsid w:val="004B5DF5"/>
    <w:rsid w:val="004B6915"/>
    <w:rsid w:val="004B7C4C"/>
    <w:rsid w:val="004C0C9B"/>
    <w:rsid w:val="004C158E"/>
    <w:rsid w:val="004C2E12"/>
    <w:rsid w:val="004C2E68"/>
    <w:rsid w:val="004C33CC"/>
    <w:rsid w:val="004C3DB9"/>
    <w:rsid w:val="004C584B"/>
    <w:rsid w:val="004C59DC"/>
    <w:rsid w:val="004C5F49"/>
    <w:rsid w:val="004C5F5E"/>
    <w:rsid w:val="004C636B"/>
    <w:rsid w:val="004C6825"/>
    <w:rsid w:val="004C787C"/>
    <w:rsid w:val="004D036B"/>
    <w:rsid w:val="004D049B"/>
    <w:rsid w:val="004D1735"/>
    <w:rsid w:val="004D17B0"/>
    <w:rsid w:val="004D2D7F"/>
    <w:rsid w:val="004D3EA5"/>
    <w:rsid w:val="004D46C4"/>
    <w:rsid w:val="004D4920"/>
    <w:rsid w:val="004D5227"/>
    <w:rsid w:val="004D5C4A"/>
    <w:rsid w:val="004D64F2"/>
    <w:rsid w:val="004D6968"/>
    <w:rsid w:val="004E03B3"/>
    <w:rsid w:val="004E03EB"/>
    <w:rsid w:val="004E346A"/>
    <w:rsid w:val="004E37AD"/>
    <w:rsid w:val="004E37E7"/>
    <w:rsid w:val="004E4401"/>
    <w:rsid w:val="004E4BD1"/>
    <w:rsid w:val="004E4FBC"/>
    <w:rsid w:val="004E7459"/>
    <w:rsid w:val="004F13C1"/>
    <w:rsid w:val="004F1701"/>
    <w:rsid w:val="004F2F0B"/>
    <w:rsid w:val="004F4633"/>
    <w:rsid w:val="004F48BD"/>
    <w:rsid w:val="004F52F4"/>
    <w:rsid w:val="004F5589"/>
    <w:rsid w:val="004F61D4"/>
    <w:rsid w:val="004F6DB3"/>
    <w:rsid w:val="004F6E04"/>
    <w:rsid w:val="004F6EB5"/>
    <w:rsid w:val="004F770E"/>
    <w:rsid w:val="00500034"/>
    <w:rsid w:val="00500188"/>
    <w:rsid w:val="005022C9"/>
    <w:rsid w:val="00502E9E"/>
    <w:rsid w:val="0050393B"/>
    <w:rsid w:val="00503E6C"/>
    <w:rsid w:val="00506925"/>
    <w:rsid w:val="005107CC"/>
    <w:rsid w:val="00510F8D"/>
    <w:rsid w:val="0051210E"/>
    <w:rsid w:val="005124F7"/>
    <w:rsid w:val="00514715"/>
    <w:rsid w:val="00514939"/>
    <w:rsid w:val="0051551F"/>
    <w:rsid w:val="00515ACB"/>
    <w:rsid w:val="00517564"/>
    <w:rsid w:val="00517A01"/>
    <w:rsid w:val="005200C4"/>
    <w:rsid w:val="00520264"/>
    <w:rsid w:val="00520B7E"/>
    <w:rsid w:val="0052219B"/>
    <w:rsid w:val="00522324"/>
    <w:rsid w:val="00522477"/>
    <w:rsid w:val="00522B3D"/>
    <w:rsid w:val="00522E73"/>
    <w:rsid w:val="00523005"/>
    <w:rsid w:val="0052328A"/>
    <w:rsid w:val="0052348A"/>
    <w:rsid w:val="005237BC"/>
    <w:rsid w:val="00523871"/>
    <w:rsid w:val="00523935"/>
    <w:rsid w:val="0052400C"/>
    <w:rsid w:val="00524EAD"/>
    <w:rsid w:val="0052500A"/>
    <w:rsid w:val="005251B0"/>
    <w:rsid w:val="00525CFB"/>
    <w:rsid w:val="005260F4"/>
    <w:rsid w:val="00526D7F"/>
    <w:rsid w:val="0052784F"/>
    <w:rsid w:val="00530535"/>
    <w:rsid w:val="00530E58"/>
    <w:rsid w:val="005314D1"/>
    <w:rsid w:val="005321A7"/>
    <w:rsid w:val="0053246B"/>
    <w:rsid w:val="00532D1E"/>
    <w:rsid w:val="00532F99"/>
    <w:rsid w:val="005332EC"/>
    <w:rsid w:val="00533929"/>
    <w:rsid w:val="005339A7"/>
    <w:rsid w:val="005339DB"/>
    <w:rsid w:val="00533FD2"/>
    <w:rsid w:val="005340F9"/>
    <w:rsid w:val="00534A0E"/>
    <w:rsid w:val="00534BF6"/>
    <w:rsid w:val="00534E33"/>
    <w:rsid w:val="00535533"/>
    <w:rsid w:val="0053676D"/>
    <w:rsid w:val="00536BE7"/>
    <w:rsid w:val="00536CE7"/>
    <w:rsid w:val="00536D9D"/>
    <w:rsid w:val="0053757E"/>
    <w:rsid w:val="0053771A"/>
    <w:rsid w:val="005446B8"/>
    <w:rsid w:val="0054555F"/>
    <w:rsid w:val="00546B87"/>
    <w:rsid w:val="005476F5"/>
    <w:rsid w:val="00547B22"/>
    <w:rsid w:val="00547D32"/>
    <w:rsid w:val="00547DC9"/>
    <w:rsid w:val="005501FF"/>
    <w:rsid w:val="00550287"/>
    <w:rsid w:val="005508EC"/>
    <w:rsid w:val="00550BBD"/>
    <w:rsid w:val="00550F8A"/>
    <w:rsid w:val="00551038"/>
    <w:rsid w:val="0055170C"/>
    <w:rsid w:val="00551DBA"/>
    <w:rsid w:val="0055487A"/>
    <w:rsid w:val="00554B53"/>
    <w:rsid w:val="00555054"/>
    <w:rsid w:val="00555922"/>
    <w:rsid w:val="00557714"/>
    <w:rsid w:val="005601C9"/>
    <w:rsid w:val="00560D51"/>
    <w:rsid w:val="005613AF"/>
    <w:rsid w:val="005623C0"/>
    <w:rsid w:val="00563088"/>
    <w:rsid w:val="005644BD"/>
    <w:rsid w:val="00565001"/>
    <w:rsid w:val="00565679"/>
    <w:rsid w:val="00565826"/>
    <w:rsid w:val="00565E58"/>
    <w:rsid w:val="005675AF"/>
    <w:rsid w:val="00567A0A"/>
    <w:rsid w:val="00567AE9"/>
    <w:rsid w:val="00567E2D"/>
    <w:rsid w:val="00567E83"/>
    <w:rsid w:val="00570B1A"/>
    <w:rsid w:val="00571731"/>
    <w:rsid w:val="00571C86"/>
    <w:rsid w:val="0057213F"/>
    <w:rsid w:val="00572450"/>
    <w:rsid w:val="0057278F"/>
    <w:rsid w:val="0057487E"/>
    <w:rsid w:val="00574FC4"/>
    <w:rsid w:val="00576583"/>
    <w:rsid w:val="00577593"/>
    <w:rsid w:val="00577829"/>
    <w:rsid w:val="0058066B"/>
    <w:rsid w:val="00580710"/>
    <w:rsid w:val="00581151"/>
    <w:rsid w:val="00581977"/>
    <w:rsid w:val="00581EB3"/>
    <w:rsid w:val="00582B25"/>
    <w:rsid w:val="005830FB"/>
    <w:rsid w:val="00583B3D"/>
    <w:rsid w:val="00583CA3"/>
    <w:rsid w:val="00583EC1"/>
    <w:rsid w:val="00583FE6"/>
    <w:rsid w:val="005843F7"/>
    <w:rsid w:val="00584D49"/>
    <w:rsid w:val="00586960"/>
    <w:rsid w:val="00587B4F"/>
    <w:rsid w:val="00587DAE"/>
    <w:rsid w:val="00587E58"/>
    <w:rsid w:val="00587F9D"/>
    <w:rsid w:val="0059003B"/>
    <w:rsid w:val="0059069C"/>
    <w:rsid w:val="00592A11"/>
    <w:rsid w:val="0059301B"/>
    <w:rsid w:val="0059388D"/>
    <w:rsid w:val="0059509D"/>
    <w:rsid w:val="0059533F"/>
    <w:rsid w:val="0059599D"/>
    <w:rsid w:val="00596B82"/>
    <w:rsid w:val="00597B0E"/>
    <w:rsid w:val="005A01B6"/>
    <w:rsid w:val="005A0331"/>
    <w:rsid w:val="005A05F3"/>
    <w:rsid w:val="005A09EA"/>
    <w:rsid w:val="005A21DE"/>
    <w:rsid w:val="005A2DA4"/>
    <w:rsid w:val="005A3542"/>
    <w:rsid w:val="005A36A7"/>
    <w:rsid w:val="005A370A"/>
    <w:rsid w:val="005A4338"/>
    <w:rsid w:val="005A58CD"/>
    <w:rsid w:val="005A5F6A"/>
    <w:rsid w:val="005A6292"/>
    <w:rsid w:val="005A6477"/>
    <w:rsid w:val="005A6607"/>
    <w:rsid w:val="005A7CEF"/>
    <w:rsid w:val="005A7D7C"/>
    <w:rsid w:val="005A7F15"/>
    <w:rsid w:val="005A7F31"/>
    <w:rsid w:val="005B01ED"/>
    <w:rsid w:val="005B1AE1"/>
    <w:rsid w:val="005B26F4"/>
    <w:rsid w:val="005B4026"/>
    <w:rsid w:val="005B50BA"/>
    <w:rsid w:val="005B541E"/>
    <w:rsid w:val="005B5FBA"/>
    <w:rsid w:val="005B7B62"/>
    <w:rsid w:val="005C09BF"/>
    <w:rsid w:val="005C0B4E"/>
    <w:rsid w:val="005C0E74"/>
    <w:rsid w:val="005C0EE0"/>
    <w:rsid w:val="005C351E"/>
    <w:rsid w:val="005C3695"/>
    <w:rsid w:val="005C3932"/>
    <w:rsid w:val="005C3EEB"/>
    <w:rsid w:val="005C5BB6"/>
    <w:rsid w:val="005C6EA1"/>
    <w:rsid w:val="005C7D70"/>
    <w:rsid w:val="005D0527"/>
    <w:rsid w:val="005D06A8"/>
    <w:rsid w:val="005D101F"/>
    <w:rsid w:val="005D13D3"/>
    <w:rsid w:val="005D183B"/>
    <w:rsid w:val="005D39D6"/>
    <w:rsid w:val="005D400E"/>
    <w:rsid w:val="005D45F9"/>
    <w:rsid w:val="005D469E"/>
    <w:rsid w:val="005D4DF3"/>
    <w:rsid w:val="005D5407"/>
    <w:rsid w:val="005D5780"/>
    <w:rsid w:val="005D5912"/>
    <w:rsid w:val="005D59D7"/>
    <w:rsid w:val="005D5E94"/>
    <w:rsid w:val="005D5F21"/>
    <w:rsid w:val="005D60B5"/>
    <w:rsid w:val="005D688B"/>
    <w:rsid w:val="005D6E54"/>
    <w:rsid w:val="005D6F39"/>
    <w:rsid w:val="005D720C"/>
    <w:rsid w:val="005D73C4"/>
    <w:rsid w:val="005D7518"/>
    <w:rsid w:val="005D7639"/>
    <w:rsid w:val="005D7D52"/>
    <w:rsid w:val="005E017A"/>
    <w:rsid w:val="005E01F1"/>
    <w:rsid w:val="005E1875"/>
    <w:rsid w:val="005E22A4"/>
    <w:rsid w:val="005E2B4B"/>
    <w:rsid w:val="005E333F"/>
    <w:rsid w:val="005E3C5A"/>
    <w:rsid w:val="005E3EA6"/>
    <w:rsid w:val="005E4019"/>
    <w:rsid w:val="005E443A"/>
    <w:rsid w:val="005E4727"/>
    <w:rsid w:val="005E4961"/>
    <w:rsid w:val="005E4E2A"/>
    <w:rsid w:val="005E5539"/>
    <w:rsid w:val="005E55DE"/>
    <w:rsid w:val="005E5B9E"/>
    <w:rsid w:val="005E6DF8"/>
    <w:rsid w:val="005E739F"/>
    <w:rsid w:val="005F10FC"/>
    <w:rsid w:val="005F13A0"/>
    <w:rsid w:val="005F1E18"/>
    <w:rsid w:val="005F2010"/>
    <w:rsid w:val="005F28C9"/>
    <w:rsid w:val="005F2EE7"/>
    <w:rsid w:val="005F327E"/>
    <w:rsid w:val="005F34D4"/>
    <w:rsid w:val="005F3662"/>
    <w:rsid w:val="005F4818"/>
    <w:rsid w:val="005F52AF"/>
    <w:rsid w:val="005F5C47"/>
    <w:rsid w:val="005F62EB"/>
    <w:rsid w:val="005F7AD1"/>
    <w:rsid w:val="005F7E63"/>
    <w:rsid w:val="00601968"/>
    <w:rsid w:val="00602F8D"/>
    <w:rsid w:val="00603433"/>
    <w:rsid w:val="00603BB7"/>
    <w:rsid w:val="00604F50"/>
    <w:rsid w:val="00605361"/>
    <w:rsid w:val="006053BC"/>
    <w:rsid w:val="00606A48"/>
    <w:rsid w:val="00606D71"/>
    <w:rsid w:val="006071AB"/>
    <w:rsid w:val="00607C13"/>
    <w:rsid w:val="00607C9B"/>
    <w:rsid w:val="00610352"/>
    <w:rsid w:val="00610BEC"/>
    <w:rsid w:val="00612210"/>
    <w:rsid w:val="0061313E"/>
    <w:rsid w:val="006132CB"/>
    <w:rsid w:val="00614215"/>
    <w:rsid w:val="00614986"/>
    <w:rsid w:val="00614E1F"/>
    <w:rsid w:val="00614FE2"/>
    <w:rsid w:val="00615712"/>
    <w:rsid w:val="0061587B"/>
    <w:rsid w:val="0061590C"/>
    <w:rsid w:val="00616A63"/>
    <w:rsid w:val="00617AC2"/>
    <w:rsid w:val="00620E58"/>
    <w:rsid w:val="00621979"/>
    <w:rsid w:val="00621C73"/>
    <w:rsid w:val="00621EAC"/>
    <w:rsid w:val="00623B41"/>
    <w:rsid w:val="00624BD5"/>
    <w:rsid w:val="00624DB0"/>
    <w:rsid w:val="00625374"/>
    <w:rsid w:val="00625BE6"/>
    <w:rsid w:val="00626FBD"/>
    <w:rsid w:val="00627464"/>
    <w:rsid w:val="00627F81"/>
    <w:rsid w:val="00630029"/>
    <w:rsid w:val="00630446"/>
    <w:rsid w:val="00630ED3"/>
    <w:rsid w:val="006314B7"/>
    <w:rsid w:val="006314D6"/>
    <w:rsid w:val="00631910"/>
    <w:rsid w:val="0063194D"/>
    <w:rsid w:val="00631AAA"/>
    <w:rsid w:val="0063339F"/>
    <w:rsid w:val="00633DC9"/>
    <w:rsid w:val="006349DA"/>
    <w:rsid w:val="00634C97"/>
    <w:rsid w:val="006358A6"/>
    <w:rsid w:val="0063658B"/>
    <w:rsid w:val="00637588"/>
    <w:rsid w:val="00640402"/>
    <w:rsid w:val="0064068A"/>
    <w:rsid w:val="0064080E"/>
    <w:rsid w:val="00641AE2"/>
    <w:rsid w:val="00641C41"/>
    <w:rsid w:val="00641EB4"/>
    <w:rsid w:val="006424E6"/>
    <w:rsid w:val="00642A60"/>
    <w:rsid w:val="006434BE"/>
    <w:rsid w:val="006439CB"/>
    <w:rsid w:val="00643DBD"/>
    <w:rsid w:val="00646CC1"/>
    <w:rsid w:val="0064705D"/>
    <w:rsid w:val="00650EBB"/>
    <w:rsid w:val="00652306"/>
    <w:rsid w:val="00652A97"/>
    <w:rsid w:val="006530E7"/>
    <w:rsid w:val="00653B25"/>
    <w:rsid w:val="00653C85"/>
    <w:rsid w:val="006540E0"/>
    <w:rsid w:val="006544BD"/>
    <w:rsid w:val="0065480D"/>
    <w:rsid w:val="00655806"/>
    <w:rsid w:val="00655CD8"/>
    <w:rsid w:val="00657A97"/>
    <w:rsid w:val="0066074B"/>
    <w:rsid w:val="0066150D"/>
    <w:rsid w:val="00661659"/>
    <w:rsid w:val="00661941"/>
    <w:rsid w:val="00661DD1"/>
    <w:rsid w:val="00661FB2"/>
    <w:rsid w:val="00662800"/>
    <w:rsid w:val="00662E13"/>
    <w:rsid w:val="006636C1"/>
    <w:rsid w:val="006675C4"/>
    <w:rsid w:val="00667698"/>
    <w:rsid w:val="00670528"/>
    <w:rsid w:val="0067083C"/>
    <w:rsid w:val="00670A90"/>
    <w:rsid w:val="00670EBA"/>
    <w:rsid w:val="006718F8"/>
    <w:rsid w:val="00672204"/>
    <w:rsid w:val="00672227"/>
    <w:rsid w:val="00672AAE"/>
    <w:rsid w:val="00672D68"/>
    <w:rsid w:val="00673DBE"/>
    <w:rsid w:val="00673E1E"/>
    <w:rsid w:val="00674CAE"/>
    <w:rsid w:val="006758F2"/>
    <w:rsid w:val="006759BB"/>
    <w:rsid w:val="00677350"/>
    <w:rsid w:val="006774A6"/>
    <w:rsid w:val="0067759F"/>
    <w:rsid w:val="00677BBD"/>
    <w:rsid w:val="00677DE5"/>
    <w:rsid w:val="00680151"/>
    <w:rsid w:val="00680949"/>
    <w:rsid w:val="006809C3"/>
    <w:rsid w:val="00680A2F"/>
    <w:rsid w:val="00680C5C"/>
    <w:rsid w:val="00680F6E"/>
    <w:rsid w:val="006818E3"/>
    <w:rsid w:val="006837A4"/>
    <w:rsid w:val="00687A5A"/>
    <w:rsid w:val="006911F9"/>
    <w:rsid w:val="006919BD"/>
    <w:rsid w:val="00692059"/>
    <w:rsid w:val="00692735"/>
    <w:rsid w:val="00692914"/>
    <w:rsid w:val="00692919"/>
    <w:rsid w:val="00693408"/>
    <w:rsid w:val="00693D37"/>
    <w:rsid w:val="00694683"/>
    <w:rsid w:val="006946C3"/>
    <w:rsid w:val="00695001"/>
    <w:rsid w:val="0069523D"/>
    <w:rsid w:val="00695920"/>
    <w:rsid w:val="0069616A"/>
    <w:rsid w:val="00696863"/>
    <w:rsid w:val="00696966"/>
    <w:rsid w:val="00696CB3"/>
    <w:rsid w:val="006978B5"/>
    <w:rsid w:val="00697DA6"/>
    <w:rsid w:val="006A013F"/>
    <w:rsid w:val="006A099F"/>
    <w:rsid w:val="006A0FA4"/>
    <w:rsid w:val="006A119C"/>
    <w:rsid w:val="006A1AD7"/>
    <w:rsid w:val="006A1D24"/>
    <w:rsid w:val="006A2799"/>
    <w:rsid w:val="006A3A7C"/>
    <w:rsid w:val="006A43F1"/>
    <w:rsid w:val="006A45F3"/>
    <w:rsid w:val="006A4C2A"/>
    <w:rsid w:val="006A518B"/>
    <w:rsid w:val="006A5B71"/>
    <w:rsid w:val="006A6191"/>
    <w:rsid w:val="006A794B"/>
    <w:rsid w:val="006A7F59"/>
    <w:rsid w:val="006B1557"/>
    <w:rsid w:val="006B1D06"/>
    <w:rsid w:val="006B371F"/>
    <w:rsid w:val="006B4271"/>
    <w:rsid w:val="006B46E3"/>
    <w:rsid w:val="006B4DAE"/>
    <w:rsid w:val="006B6329"/>
    <w:rsid w:val="006B72C8"/>
    <w:rsid w:val="006B7981"/>
    <w:rsid w:val="006B7D52"/>
    <w:rsid w:val="006C06D4"/>
    <w:rsid w:val="006C07DB"/>
    <w:rsid w:val="006C0B88"/>
    <w:rsid w:val="006C0C01"/>
    <w:rsid w:val="006C0E09"/>
    <w:rsid w:val="006C138E"/>
    <w:rsid w:val="006C1510"/>
    <w:rsid w:val="006C1E6C"/>
    <w:rsid w:val="006C3123"/>
    <w:rsid w:val="006C3ADC"/>
    <w:rsid w:val="006C4EC2"/>
    <w:rsid w:val="006C4F76"/>
    <w:rsid w:val="006C5635"/>
    <w:rsid w:val="006C5677"/>
    <w:rsid w:val="006C5780"/>
    <w:rsid w:val="006C5C76"/>
    <w:rsid w:val="006C6C34"/>
    <w:rsid w:val="006C70CB"/>
    <w:rsid w:val="006C78B0"/>
    <w:rsid w:val="006C7AF9"/>
    <w:rsid w:val="006D0879"/>
    <w:rsid w:val="006D0B41"/>
    <w:rsid w:val="006D0BDE"/>
    <w:rsid w:val="006D1660"/>
    <w:rsid w:val="006D17DE"/>
    <w:rsid w:val="006D1AB1"/>
    <w:rsid w:val="006D1C25"/>
    <w:rsid w:val="006D1E05"/>
    <w:rsid w:val="006D2A33"/>
    <w:rsid w:val="006D2B90"/>
    <w:rsid w:val="006D2D15"/>
    <w:rsid w:val="006D343C"/>
    <w:rsid w:val="006D3A03"/>
    <w:rsid w:val="006D3C26"/>
    <w:rsid w:val="006D45A2"/>
    <w:rsid w:val="006D4681"/>
    <w:rsid w:val="006D54AB"/>
    <w:rsid w:val="006D5787"/>
    <w:rsid w:val="006D6B02"/>
    <w:rsid w:val="006D6C00"/>
    <w:rsid w:val="006D6F94"/>
    <w:rsid w:val="006D7949"/>
    <w:rsid w:val="006D7FDC"/>
    <w:rsid w:val="006E00AC"/>
    <w:rsid w:val="006E0BB8"/>
    <w:rsid w:val="006E0E06"/>
    <w:rsid w:val="006E18DB"/>
    <w:rsid w:val="006E26F2"/>
    <w:rsid w:val="006E2A25"/>
    <w:rsid w:val="006E2ECF"/>
    <w:rsid w:val="006E3B8C"/>
    <w:rsid w:val="006E3EBC"/>
    <w:rsid w:val="006E5394"/>
    <w:rsid w:val="006E6281"/>
    <w:rsid w:val="006E7B50"/>
    <w:rsid w:val="006E7BFA"/>
    <w:rsid w:val="006E7D03"/>
    <w:rsid w:val="006F0E44"/>
    <w:rsid w:val="006F0E4E"/>
    <w:rsid w:val="006F1162"/>
    <w:rsid w:val="006F1C7E"/>
    <w:rsid w:val="006F2F23"/>
    <w:rsid w:val="006F2F40"/>
    <w:rsid w:val="006F380D"/>
    <w:rsid w:val="006F3C04"/>
    <w:rsid w:val="006F3F51"/>
    <w:rsid w:val="006F4B5D"/>
    <w:rsid w:val="006F4D73"/>
    <w:rsid w:val="006F529B"/>
    <w:rsid w:val="006F63EB"/>
    <w:rsid w:val="006F6E6E"/>
    <w:rsid w:val="00700218"/>
    <w:rsid w:val="0070148A"/>
    <w:rsid w:val="0070257D"/>
    <w:rsid w:val="007025EA"/>
    <w:rsid w:val="007033A9"/>
    <w:rsid w:val="00704846"/>
    <w:rsid w:val="00704EFF"/>
    <w:rsid w:val="00705AFF"/>
    <w:rsid w:val="00705FFF"/>
    <w:rsid w:val="007060F1"/>
    <w:rsid w:val="007067C0"/>
    <w:rsid w:val="007101C4"/>
    <w:rsid w:val="00711173"/>
    <w:rsid w:val="00711B1A"/>
    <w:rsid w:val="00712997"/>
    <w:rsid w:val="00713492"/>
    <w:rsid w:val="00713BBA"/>
    <w:rsid w:val="0071442C"/>
    <w:rsid w:val="00715070"/>
    <w:rsid w:val="00715A35"/>
    <w:rsid w:val="00716926"/>
    <w:rsid w:val="0071706B"/>
    <w:rsid w:val="007178B3"/>
    <w:rsid w:val="00720C08"/>
    <w:rsid w:val="00721AF9"/>
    <w:rsid w:val="00721F8E"/>
    <w:rsid w:val="00722020"/>
    <w:rsid w:val="00722120"/>
    <w:rsid w:val="00723732"/>
    <w:rsid w:val="00725468"/>
    <w:rsid w:val="0072600C"/>
    <w:rsid w:val="00726316"/>
    <w:rsid w:val="007272B7"/>
    <w:rsid w:val="007277F9"/>
    <w:rsid w:val="00727893"/>
    <w:rsid w:val="00727C35"/>
    <w:rsid w:val="0073048A"/>
    <w:rsid w:val="00730DF7"/>
    <w:rsid w:val="00731F06"/>
    <w:rsid w:val="007359B3"/>
    <w:rsid w:val="007365EB"/>
    <w:rsid w:val="00736D5F"/>
    <w:rsid w:val="0073741C"/>
    <w:rsid w:val="00737525"/>
    <w:rsid w:val="00737E3C"/>
    <w:rsid w:val="00740809"/>
    <w:rsid w:val="00741373"/>
    <w:rsid w:val="0074178F"/>
    <w:rsid w:val="00742D4F"/>
    <w:rsid w:val="007430BE"/>
    <w:rsid w:val="007438B5"/>
    <w:rsid w:val="00743E34"/>
    <w:rsid w:val="00744246"/>
    <w:rsid w:val="00744B56"/>
    <w:rsid w:val="0074571E"/>
    <w:rsid w:val="00746AF6"/>
    <w:rsid w:val="0074726A"/>
    <w:rsid w:val="00747516"/>
    <w:rsid w:val="007478FD"/>
    <w:rsid w:val="00750655"/>
    <w:rsid w:val="00750D48"/>
    <w:rsid w:val="0075371D"/>
    <w:rsid w:val="00753847"/>
    <w:rsid w:val="00753FC3"/>
    <w:rsid w:val="00754018"/>
    <w:rsid w:val="00754928"/>
    <w:rsid w:val="00754EAA"/>
    <w:rsid w:val="007554BD"/>
    <w:rsid w:val="007555FF"/>
    <w:rsid w:val="00756169"/>
    <w:rsid w:val="00756AF9"/>
    <w:rsid w:val="00756B96"/>
    <w:rsid w:val="00756E06"/>
    <w:rsid w:val="00756E22"/>
    <w:rsid w:val="0076211D"/>
    <w:rsid w:val="00762149"/>
    <w:rsid w:val="007623AE"/>
    <w:rsid w:val="0076425B"/>
    <w:rsid w:val="007652B1"/>
    <w:rsid w:val="00765C17"/>
    <w:rsid w:val="007669EB"/>
    <w:rsid w:val="0076711A"/>
    <w:rsid w:val="00770D1D"/>
    <w:rsid w:val="007715FF"/>
    <w:rsid w:val="00771A67"/>
    <w:rsid w:val="00772452"/>
    <w:rsid w:val="00772667"/>
    <w:rsid w:val="00772BCE"/>
    <w:rsid w:val="00772C18"/>
    <w:rsid w:val="00773774"/>
    <w:rsid w:val="00773FBA"/>
    <w:rsid w:val="00774B0C"/>
    <w:rsid w:val="00774F27"/>
    <w:rsid w:val="007756D9"/>
    <w:rsid w:val="00775C1C"/>
    <w:rsid w:val="00775D12"/>
    <w:rsid w:val="00776AC5"/>
    <w:rsid w:val="0077729F"/>
    <w:rsid w:val="00777EC0"/>
    <w:rsid w:val="00780857"/>
    <w:rsid w:val="00780997"/>
    <w:rsid w:val="0078132F"/>
    <w:rsid w:val="00781BD7"/>
    <w:rsid w:val="00781CD5"/>
    <w:rsid w:val="0078204F"/>
    <w:rsid w:val="00782399"/>
    <w:rsid w:val="00782AAB"/>
    <w:rsid w:val="00783C69"/>
    <w:rsid w:val="00784896"/>
    <w:rsid w:val="00785338"/>
    <w:rsid w:val="0078543F"/>
    <w:rsid w:val="00785FAF"/>
    <w:rsid w:val="007868BC"/>
    <w:rsid w:val="00786C40"/>
    <w:rsid w:val="007878B4"/>
    <w:rsid w:val="00787BA4"/>
    <w:rsid w:val="00791646"/>
    <w:rsid w:val="0079240E"/>
    <w:rsid w:val="007924CE"/>
    <w:rsid w:val="00792B47"/>
    <w:rsid w:val="00794082"/>
    <w:rsid w:val="0079427D"/>
    <w:rsid w:val="007946C6"/>
    <w:rsid w:val="00794A59"/>
    <w:rsid w:val="0079575B"/>
    <w:rsid w:val="00795EAB"/>
    <w:rsid w:val="00796204"/>
    <w:rsid w:val="007962FF"/>
    <w:rsid w:val="00796B20"/>
    <w:rsid w:val="00796E47"/>
    <w:rsid w:val="007970FA"/>
    <w:rsid w:val="00797484"/>
    <w:rsid w:val="00797573"/>
    <w:rsid w:val="00797B32"/>
    <w:rsid w:val="007A0F3F"/>
    <w:rsid w:val="007A10AE"/>
    <w:rsid w:val="007A1BB1"/>
    <w:rsid w:val="007A22AA"/>
    <w:rsid w:val="007A265A"/>
    <w:rsid w:val="007A3887"/>
    <w:rsid w:val="007A4289"/>
    <w:rsid w:val="007A5989"/>
    <w:rsid w:val="007A5ADB"/>
    <w:rsid w:val="007A66B1"/>
    <w:rsid w:val="007A6CD2"/>
    <w:rsid w:val="007A6E38"/>
    <w:rsid w:val="007A70E2"/>
    <w:rsid w:val="007A7C46"/>
    <w:rsid w:val="007A7C9F"/>
    <w:rsid w:val="007B0314"/>
    <w:rsid w:val="007B0875"/>
    <w:rsid w:val="007B105F"/>
    <w:rsid w:val="007B1559"/>
    <w:rsid w:val="007B2680"/>
    <w:rsid w:val="007B327B"/>
    <w:rsid w:val="007B4911"/>
    <w:rsid w:val="007B4C10"/>
    <w:rsid w:val="007B5DCC"/>
    <w:rsid w:val="007B63CC"/>
    <w:rsid w:val="007B7AC2"/>
    <w:rsid w:val="007B7CF5"/>
    <w:rsid w:val="007B7FD9"/>
    <w:rsid w:val="007C0505"/>
    <w:rsid w:val="007C07BC"/>
    <w:rsid w:val="007C0FD1"/>
    <w:rsid w:val="007C1DB9"/>
    <w:rsid w:val="007C206C"/>
    <w:rsid w:val="007C227C"/>
    <w:rsid w:val="007C26CD"/>
    <w:rsid w:val="007C2C9B"/>
    <w:rsid w:val="007C30F0"/>
    <w:rsid w:val="007C343C"/>
    <w:rsid w:val="007C3928"/>
    <w:rsid w:val="007C54A2"/>
    <w:rsid w:val="007C5736"/>
    <w:rsid w:val="007C64BB"/>
    <w:rsid w:val="007C6796"/>
    <w:rsid w:val="007C6861"/>
    <w:rsid w:val="007C705E"/>
    <w:rsid w:val="007C7883"/>
    <w:rsid w:val="007C7DEE"/>
    <w:rsid w:val="007D05AE"/>
    <w:rsid w:val="007D0A42"/>
    <w:rsid w:val="007D0B43"/>
    <w:rsid w:val="007D17DE"/>
    <w:rsid w:val="007D20DD"/>
    <w:rsid w:val="007D223F"/>
    <w:rsid w:val="007D29D1"/>
    <w:rsid w:val="007D343A"/>
    <w:rsid w:val="007D3D70"/>
    <w:rsid w:val="007D401F"/>
    <w:rsid w:val="007D4518"/>
    <w:rsid w:val="007D52E6"/>
    <w:rsid w:val="007D6051"/>
    <w:rsid w:val="007D6AF9"/>
    <w:rsid w:val="007D7081"/>
    <w:rsid w:val="007D7130"/>
    <w:rsid w:val="007D7778"/>
    <w:rsid w:val="007D7C0A"/>
    <w:rsid w:val="007D7EFD"/>
    <w:rsid w:val="007E0493"/>
    <w:rsid w:val="007E0FD4"/>
    <w:rsid w:val="007E1193"/>
    <w:rsid w:val="007E1270"/>
    <w:rsid w:val="007E2526"/>
    <w:rsid w:val="007E47E7"/>
    <w:rsid w:val="007E5EF9"/>
    <w:rsid w:val="007E6562"/>
    <w:rsid w:val="007E6801"/>
    <w:rsid w:val="007E707E"/>
    <w:rsid w:val="007E7F52"/>
    <w:rsid w:val="007F0244"/>
    <w:rsid w:val="007F1344"/>
    <w:rsid w:val="007F1CE9"/>
    <w:rsid w:val="007F33D2"/>
    <w:rsid w:val="007F3F4E"/>
    <w:rsid w:val="007F5E8C"/>
    <w:rsid w:val="007F6027"/>
    <w:rsid w:val="007F6188"/>
    <w:rsid w:val="007F62FE"/>
    <w:rsid w:val="007F6AD4"/>
    <w:rsid w:val="007F6C67"/>
    <w:rsid w:val="007F77D8"/>
    <w:rsid w:val="007F7861"/>
    <w:rsid w:val="007F7C60"/>
    <w:rsid w:val="007F7F8A"/>
    <w:rsid w:val="00800251"/>
    <w:rsid w:val="00801582"/>
    <w:rsid w:val="008027E1"/>
    <w:rsid w:val="00802A89"/>
    <w:rsid w:val="008039A6"/>
    <w:rsid w:val="00803AE8"/>
    <w:rsid w:val="00803AFC"/>
    <w:rsid w:val="00805322"/>
    <w:rsid w:val="00805D14"/>
    <w:rsid w:val="00805ECC"/>
    <w:rsid w:val="008063C7"/>
    <w:rsid w:val="008064EB"/>
    <w:rsid w:val="00806DD8"/>
    <w:rsid w:val="008078F8"/>
    <w:rsid w:val="00807B94"/>
    <w:rsid w:val="0081070D"/>
    <w:rsid w:val="008108FB"/>
    <w:rsid w:val="0081103B"/>
    <w:rsid w:val="00811E87"/>
    <w:rsid w:val="0081212B"/>
    <w:rsid w:val="008125B6"/>
    <w:rsid w:val="008128CF"/>
    <w:rsid w:val="00812B3C"/>
    <w:rsid w:val="0081344F"/>
    <w:rsid w:val="00813A60"/>
    <w:rsid w:val="008152B1"/>
    <w:rsid w:val="00815894"/>
    <w:rsid w:val="00817631"/>
    <w:rsid w:val="00817D71"/>
    <w:rsid w:val="008201B9"/>
    <w:rsid w:val="008201D3"/>
    <w:rsid w:val="00820D28"/>
    <w:rsid w:val="008213FF"/>
    <w:rsid w:val="00821E0A"/>
    <w:rsid w:val="00821F32"/>
    <w:rsid w:val="0082249D"/>
    <w:rsid w:val="008241B3"/>
    <w:rsid w:val="0082462B"/>
    <w:rsid w:val="0082479D"/>
    <w:rsid w:val="00824D89"/>
    <w:rsid w:val="0082510F"/>
    <w:rsid w:val="00825766"/>
    <w:rsid w:val="0082588F"/>
    <w:rsid w:val="008279FE"/>
    <w:rsid w:val="0083018E"/>
    <w:rsid w:val="00830795"/>
    <w:rsid w:val="00831667"/>
    <w:rsid w:val="00833934"/>
    <w:rsid w:val="0083518A"/>
    <w:rsid w:val="00835314"/>
    <w:rsid w:val="00835A38"/>
    <w:rsid w:val="00835DB0"/>
    <w:rsid w:val="00836931"/>
    <w:rsid w:val="00836FC3"/>
    <w:rsid w:val="008373F2"/>
    <w:rsid w:val="008377E3"/>
    <w:rsid w:val="00841144"/>
    <w:rsid w:val="008411F9"/>
    <w:rsid w:val="00841BE2"/>
    <w:rsid w:val="00842016"/>
    <w:rsid w:val="0084378F"/>
    <w:rsid w:val="008438D3"/>
    <w:rsid w:val="00844079"/>
    <w:rsid w:val="00844461"/>
    <w:rsid w:val="00844467"/>
    <w:rsid w:val="008455F3"/>
    <w:rsid w:val="00846034"/>
    <w:rsid w:val="008460D2"/>
    <w:rsid w:val="00846C25"/>
    <w:rsid w:val="00847201"/>
    <w:rsid w:val="008477AB"/>
    <w:rsid w:val="0084791E"/>
    <w:rsid w:val="00847EF2"/>
    <w:rsid w:val="00850A28"/>
    <w:rsid w:val="008517A4"/>
    <w:rsid w:val="00851A40"/>
    <w:rsid w:val="00851C19"/>
    <w:rsid w:val="00851FB9"/>
    <w:rsid w:val="0085243E"/>
    <w:rsid w:val="008527D2"/>
    <w:rsid w:val="00852D19"/>
    <w:rsid w:val="00853134"/>
    <w:rsid w:val="008537D0"/>
    <w:rsid w:val="00854400"/>
    <w:rsid w:val="00854980"/>
    <w:rsid w:val="0085525B"/>
    <w:rsid w:val="00855D13"/>
    <w:rsid w:val="00855EDD"/>
    <w:rsid w:val="008565D0"/>
    <w:rsid w:val="0085675F"/>
    <w:rsid w:val="008569B0"/>
    <w:rsid w:val="00857076"/>
    <w:rsid w:val="00857F2A"/>
    <w:rsid w:val="0086163E"/>
    <w:rsid w:val="00861769"/>
    <w:rsid w:val="00861B36"/>
    <w:rsid w:val="008624DF"/>
    <w:rsid w:val="00863020"/>
    <w:rsid w:val="00864D25"/>
    <w:rsid w:val="00864FBB"/>
    <w:rsid w:val="008658C0"/>
    <w:rsid w:val="008672D0"/>
    <w:rsid w:val="00871F30"/>
    <w:rsid w:val="00872165"/>
    <w:rsid w:val="0087255A"/>
    <w:rsid w:val="00872E00"/>
    <w:rsid w:val="0087390E"/>
    <w:rsid w:val="0087532F"/>
    <w:rsid w:val="008764D5"/>
    <w:rsid w:val="00876E25"/>
    <w:rsid w:val="00877757"/>
    <w:rsid w:val="00877ED4"/>
    <w:rsid w:val="008803DD"/>
    <w:rsid w:val="008805C7"/>
    <w:rsid w:val="008811A2"/>
    <w:rsid w:val="00881465"/>
    <w:rsid w:val="008818FB"/>
    <w:rsid w:val="008819FE"/>
    <w:rsid w:val="00881B57"/>
    <w:rsid w:val="0088202A"/>
    <w:rsid w:val="0088390C"/>
    <w:rsid w:val="008839AF"/>
    <w:rsid w:val="00883F26"/>
    <w:rsid w:val="00884BE1"/>
    <w:rsid w:val="00884F98"/>
    <w:rsid w:val="00885079"/>
    <w:rsid w:val="00885718"/>
    <w:rsid w:val="0088577C"/>
    <w:rsid w:val="008858B7"/>
    <w:rsid w:val="00886701"/>
    <w:rsid w:val="0088799F"/>
    <w:rsid w:val="008926E9"/>
    <w:rsid w:val="00892AE0"/>
    <w:rsid w:val="008930FF"/>
    <w:rsid w:val="008931BD"/>
    <w:rsid w:val="00893D0E"/>
    <w:rsid w:val="00893F58"/>
    <w:rsid w:val="0089432B"/>
    <w:rsid w:val="008943EC"/>
    <w:rsid w:val="008948B0"/>
    <w:rsid w:val="00895451"/>
    <w:rsid w:val="0089563E"/>
    <w:rsid w:val="00895E81"/>
    <w:rsid w:val="00897AAF"/>
    <w:rsid w:val="008A0E22"/>
    <w:rsid w:val="008A0ECE"/>
    <w:rsid w:val="008A0ED0"/>
    <w:rsid w:val="008A1BE3"/>
    <w:rsid w:val="008A2431"/>
    <w:rsid w:val="008A25C2"/>
    <w:rsid w:val="008A32A7"/>
    <w:rsid w:val="008A3A16"/>
    <w:rsid w:val="008A4485"/>
    <w:rsid w:val="008A635D"/>
    <w:rsid w:val="008A65B9"/>
    <w:rsid w:val="008A6B22"/>
    <w:rsid w:val="008A6BC1"/>
    <w:rsid w:val="008B0397"/>
    <w:rsid w:val="008B0C2F"/>
    <w:rsid w:val="008B27EA"/>
    <w:rsid w:val="008B2C6D"/>
    <w:rsid w:val="008B5887"/>
    <w:rsid w:val="008B591D"/>
    <w:rsid w:val="008B5E5C"/>
    <w:rsid w:val="008B6A56"/>
    <w:rsid w:val="008B6C10"/>
    <w:rsid w:val="008B7DA0"/>
    <w:rsid w:val="008C0BCD"/>
    <w:rsid w:val="008C13D3"/>
    <w:rsid w:val="008C1486"/>
    <w:rsid w:val="008C17FA"/>
    <w:rsid w:val="008C1876"/>
    <w:rsid w:val="008C1DE8"/>
    <w:rsid w:val="008C1EE2"/>
    <w:rsid w:val="008C2141"/>
    <w:rsid w:val="008C2F06"/>
    <w:rsid w:val="008C3001"/>
    <w:rsid w:val="008C40C2"/>
    <w:rsid w:val="008C4344"/>
    <w:rsid w:val="008C5EB9"/>
    <w:rsid w:val="008C62B0"/>
    <w:rsid w:val="008C6480"/>
    <w:rsid w:val="008C69DA"/>
    <w:rsid w:val="008C7AC4"/>
    <w:rsid w:val="008C7B67"/>
    <w:rsid w:val="008D0017"/>
    <w:rsid w:val="008D0365"/>
    <w:rsid w:val="008D061F"/>
    <w:rsid w:val="008D0D72"/>
    <w:rsid w:val="008D104A"/>
    <w:rsid w:val="008D3184"/>
    <w:rsid w:val="008D3233"/>
    <w:rsid w:val="008D4D2C"/>
    <w:rsid w:val="008D5392"/>
    <w:rsid w:val="008D5FA4"/>
    <w:rsid w:val="008D6B65"/>
    <w:rsid w:val="008D6CEB"/>
    <w:rsid w:val="008D6D40"/>
    <w:rsid w:val="008E0A28"/>
    <w:rsid w:val="008E1523"/>
    <w:rsid w:val="008E1BAF"/>
    <w:rsid w:val="008E2AE1"/>
    <w:rsid w:val="008E342B"/>
    <w:rsid w:val="008E34D2"/>
    <w:rsid w:val="008E3B15"/>
    <w:rsid w:val="008E3FA2"/>
    <w:rsid w:val="008E4A27"/>
    <w:rsid w:val="008E4AD8"/>
    <w:rsid w:val="008E4CE4"/>
    <w:rsid w:val="008E4E2A"/>
    <w:rsid w:val="008E70F5"/>
    <w:rsid w:val="008E7684"/>
    <w:rsid w:val="008E7B8F"/>
    <w:rsid w:val="008F08E2"/>
    <w:rsid w:val="008F132F"/>
    <w:rsid w:val="008F1837"/>
    <w:rsid w:val="008F27E3"/>
    <w:rsid w:val="008F2AF8"/>
    <w:rsid w:val="008F32A9"/>
    <w:rsid w:val="008F36CB"/>
    <w:rsid w:val="008F465B"/>
    <w:rsid w:val="008F481B"/>
    <w:rsid w:val="008F51F0"/>
    <w:rsid w:val="008F5B82"/>
    <w:rsid w:val="008F5BA3"/>
    <w:rsid w:val="008F5C7A"/>
    <w:rsid w:val="008F5FCE"/>
    <w:rsid w:val="008F67E7"/>
    <w:rsid w:val="008F6A71"/>
    <w:rsid w:val="008F6A74"/>
    <w:rsid w:val="008F713A"/>
    <w:rsid w:val="008F7759"/>
    <w:rsid w:val="008F78C5"/>
    <w:rsid w:val="008F79FC"/>
    <w:rsid w:val="008F7C78"/>
    <w:rsid w:val="00900429"/>
    <w:rsid w:val="0090134D"/>
    <w:rsid w:val="00901420"/>
    <w:rsid w:val="0090177C"/>
    <w:rsid w:val="00901F22"/>
    <w:rsid w:val="0090230E"/>
    <w:rsid w:val="00902398"/>
    <w:rsid w:val="009026CF"/>
    <w:rsid w:val="00902D65"/>
    <w:rsid w:val="00902E8B"/>
    <w:rsid w:val="0090450A"/>
    <w:rsid w:val="00904C82"/>
    <w:rsid w:val="00905DDD"/>
    <w:rsid w:val="00905FA7"/>
    <w:rsid w:val="00906722"/>
    <w:rsid w:val="0090674B"/>
    <w:rsid w:val="00906C69"/>
    <w:rsid w:val="00906F5E"/>
    <w:rsid w:val="00907816"/>
    <w:rsid w:val="0090799D"/>
    <w:rsid w:val="009104C4"/>
    <w:rsid w:val="009109FB"/>
    <w:rsid w:val="00910D4D"/>
    <w:rsid w:val="009112B4"/>
    <w:rsid w:val="0091137E"/>
    <w:rsid w:val="009114FA"/>
    <w:rsid w:val="0091167B"/>
    <w:rsid w:val="009117D7"/>
    <w:rsid w:val="00911913"/>
    <w:rsid w:val="00911CA0"/>
    <w:rsid w:val="00911D6C"/>
    <w:rsid w:val="00911D79"/>
    <w:rsid w:val="00912DE0"/>
    <w:rsid w:val="00913349"/>
    <w:rsid w:val="00915A61"/>
    <w:rsid w:val="009162A3"/>
    <w:rsid w:val="00916793"/>
    <w:rsid w:val="00916F68"/>
    <w:rsid w:val="00917928"/>
    <w:rsid w:val="0092064F"/>
    <w:rsid w:val="00920AFE"/>
    <w:rsid w:val="00921549"/>
    <w:rsid w:val="00922231"/>
    <w:rsid w:val="00922575"/>
    <w:rsid w:val="00922A41"/>
    <w:rsid w:val="009236A5"/>
    <w:rsid w:val="00923E56"/>
    <w:rsid w:val="00924250"/>
    <w:rsid w:val="00924981"/>
    <w:rsid w:val="00924ED6"/>
    <w:rsid w:val="009251AF"/>
    <w:rsid w:val="00925355"/>
    <w:rsid w:val="00925404"/>
    <w:rsid w:val="00926642"/>
    <w:rsid w:val="00926651"/>
    <w:rsid w:val="009272F6"/>
    <w:rsid w:val="009276D1"/>
    <w:rsid w:val="00927D15"/>
    <w:rsid w:val="00931E44"/>
    <w:rsid w:val="009329AD"/>
    <w:rsid w:val="009335BA"/>
    <w:rsid w:val="009340C5"/>
    <w:rsid w:val="009347E8"/>
    <w:rsid w:val="0093487B"/>
    <w:rsid w:val="00934AD2"/>
    <w:rsid w:val="00935169"/>
    <w:rsid w:val="009352CD"/>
    <w:rsid w:val="00936464"/>
    <w:rsid w:val="009364D3"/>
    <w:rsid w:val="00936D8C"/>
    <w:rsid w:val="00936DB6"/>
    <w:rsid w:val="009370F6"/>
    <w:rsid w:val="009408C3"/>
    <w:rsid w:val="00940ECB"/>
    <w:rsid w:val="009411FF"/>
    <w:rsid w:val="00942106"/>
    <w:rsid w:val="0094383A"/>
    <w:rsid w:val="00945E5F"/>
    <w:rsid w:val="0094615A"/>
    <w:rsid w:val="0094631B"/>
    <w:rsid w:val="009465BE"/>
    <w:rsid w:val="00946F2A"/>
    <w:rsid w:val="009479BE"/>
    <w:rsid w:val="00952541"/>
    <w:rsid w:val="0095501C"/>
    <w:rsid w:val="00955885"/>
    <w:rsid w:val="00955AE0"/>
    <w:rsid w:val="00955D98"/>
    <w:rsid w:val="00957552"/>
    <w:rsid w:val="00960453"/>
    <w:rsid w:val="00960FE5"/>
    <w:rsid w:val="00961245"/>
    <w:rsid w:val="0096148B"/>
    <w:rsid w:val="00962806"/>
    <w:rsid w:val="00963F63"/>
    <w:rsid w:val="009643A9"/>
    <w:rsid w:val="00964C17"/>
    <w:rsid w:val="00966986"/>
    <w:rsid w:val="00966DD5"/>
    <w:rsid w:val="009673BD"/>
    <w:rsid w:val="00967920"/>
    <w:rsid w:val="0097080E"/>
    <w:rsid w:val="00970B4F"/>
    <w:rsid w:val="00972340"/>
    <w:rsid w:val="0097399F"/>
    <w:rsid w:val="00974A44"/>
    <w:rsid w:val="0097505C"/>
    <w:rsid w:val="0097639B"/>
    <w:rsid w:val="00976AE2"/>
    <w:rsid w:val="00976CAC"/>
    <w:rsid w:val="00977310"/>
    <w:rsid w:val="009811B5"/>
    <w:rsid w:val="00983F08"/>
    <w:rsid w:val="00984025"/>
    <w:rsid w:val="00984A53"/>
    <w:rsid w:val="00984DA9"/>
    <w:rsid w:val="00984F5F"/>
    <w:rsid w:val="00987CA9"/>
    <w:rsid w:val="0099066C"/>
    <w:rsid w:val="00991B99"/>
    <w:rsid w:val="00991F66"/>
    <w:rsid w:val="009924DC"/>
    <w:rsid w:val="00993E76"/>
    <w:rsid w:val="00993E91"/>
    <w:rsid w:val="009943B2"/>
    <w:rsid w:val="00994565"/>
    <w:rsid w:val="00995E79"/>
    <w:rsid w:val="00997ECC"/>
    <w:rsid w:val="009A0C68"/>
    <w:rsid w:val="009A1186"/>
    <w:rsid w:val="009A18BE"/>
    <w:rsid w:val="009A20B8"/>
    <w:rsid w:val="009A2422"/>
    <w:rsid w:val="009A2E49"/>
    <w:rsid w:val="009A303E"/>
    <w:rsid w:val="009A4903"/>
    <w:rsid w:val="009A4D94"/>
    <w:rsid w:val="009A5C89"/>
    <w:rsid w:val="009A5E16"/>
    <w:rsid w:val="009A7B85"/>
    <w:rsid w:val="009B000B"/>
    <w:rsid w:val="009B0BF6"/>
    <w:rsid w:val="009B0C70"/>
    <w:rsid w:val="009B198F"/>
    <w:rsid w:val="009B1B2D"/>
    <w:rsid w:val="009B1CF6"/>
    <w:rsid w:val="009B23AE"/>
    <w:rsid w:val="009B323D"/>
    <w:rsid w:val="009B44D1"/>
    <w:rsid w:val="009B5E50"/>
    <w:rsid w:val="009B5E84"/>
    <w:rsid w:val="009B66E3"/>
    <w:rsid w:val="009B69AA"/>
    <w:rsid w:val="009B6C2F"/>
    <w:rsid w:val="009B7FED"/>
    <w:rsid w:val="009C0920"/>
    <w:rsid w:val="009C14F6"/>
    <w:rsid w:val="009C1A55"/>
    <w:rsid w:val="009C1F9A"/>
    <w:rsid w:val="009C2977"/>
    <w:rsid w:val="009C2D46"/>
    <w:rsid w:val="009C33DF"/>
    <w:rsid w:val="009C475A"/>
    <w:rsid w:val="009C4BAC"/>
    <w:rsid w:val="009C520A"/>
    <w:rsid w:val="009C56B2"/>
    <w:rsid w:val="009C5714"/>
    <w:rsid w:val="009C6250"/>
    <w:rsid w:val="009C6A73"/>
    <w:rsid w:val="009C7175"/>
    <w:rsid w:val="009C767C"/>
    <w:rsid w:val="009C7B52"/>
    <w:rsid w:val="009C7CBA"/>
    <w:rsid w:val="009C7CEA"/>
    <w:rsid w:val="009D14BB"/>
    <w:rsid w:val="009D1B6E"/>
    <w:rsid w:val="009D1B7F"/>
    <w:rsid w:val="009D2517"/>
    <w:rsid w:val="009D32C2"/>
    <w:rsid w:val="009D3C4A"/>
    <w:rsid w:val="009D3C80"/>
    <w:rsid w:val="009D45C1"/>
    <w:rsid w:val="009D4625"/>
    <w:rsid w:val="009D4D2F"/>
    <w:rsid w:val="009D5C04"/>
    <w:rsid w:val="009D5CC0"/>
    <w:rsid w:val="009D6259"/>
    <w:rsid w:val="009D6854"/>
    <w:rsid w:val="009D714E"/>
    <w:rsid w:val="009D7D1A"/>
    <w:rsid w:val="009D7DEE"/>
    <w:rsid w:val="009E05C3"/>
    <w:rsid w:val="009E05CC"/>
    <w:rsid w:val="009E08D9"/>
    <w:rsid w:val="009E0BEB"/>
    <w:rsid w:val="009E1FDC"/>
    <w:rsid w:val="009E240B"/>
    <w:rsid w:val="009E25DE"/>
    <w:rsid w:val="009E35DD"/>
    <w:rsid w:val="009E37DB"/>
    <w:rsid w:val="009E3B42"/>
    <w:rsid w:val="009E3FCA"/>
    <w:rsid w:val="009E5810"/>
    <w:rsid w:val="009E67EE"/>
    <w:rsid w:val="009E7087"/>
    <w:rsid w:val="009E7272"/>
    <w:rsid w:val="009E7527"/>
    <w:rsid w:val="009E7A0A"/>
    <w:rsid w:val="009F0557"/>
    <w:rsid w:val="009F07EF"/>
    <w:rsid w:val="009F0FFA"/>
    <w:rsid w:val="009F1469"/>
    <w:rsid w:val="009F175D"/>
    <w:rsid w:val="009F2044"/>
    <w:rsid w:val="009F22F8"/>
    <w:rsid w:val="009F26A0"/>
    <w:rsid w:val="009F28ED"/>
    <w:rsid w:val="009F3162"/>
    <w:rsid w:val="009F45F3"/>
    <w:rsid w:val="009F465C"/>
    <w:rsid w:val="009F4D3A"/>
    <w:rsid w:val="009F5036"/>
    <w:rsid w:val="009F63E1"/>
    <w:rsid w:val="009F6567"/>
    <w:rsid w:val="009F6A99"/>
    <w:rsid w:val="009F7DEF"/>
    <w:rsid w:val="00A017C7"/>
    <w:rsid w:val="00A01A1F"/>
    <w:rsid w:val="00A023E4"/>
    <w:rsid w:val="00A025B8"/>
    <w:rsid w:val="00A026B5"/>
    <w:rsid w:val="00A02716"/>
    <w:rsid w:val="00A030B6"/>
    <w:rsid w:val="00A030D2"/>
    <w:rsid w:val="00A0357E"/>
    <w:rsid w:val="00A0375A"/>
    <w:rsid w:val="00A0386D"/>
    <w:rsid w:val="00A0443E"/>
    <w:rsid w:val="00A04487"/>
    <w:rsid w:val="00A04565"/>
    <w:rsid w:val="00A04C5C"/>
    <w:rsid w:val="00A0530E"/>
    <w:rsid w:val="00A056C3"/>
    <w:rsid w:val="00A05AE5"/>
    <w:rsid w:val="00A05D56"/>
    <w:rsid w:val="00A06138"/>
    <w:rsid w:val="00A06D5A"/>
    <w:rsid w:val="00A06E74"/>
    <w:rsid w:val="00A0720E"/>
    <w:rsid w:val="00A07512"/>
    <w:rsid w:val="00A0759E"/>
    <w:rsid w:val="00A07DE3"/>
    <w:rsid w:val="00A10761"/>
    <w:rsid w:val="00A10CB8"/>
    <w:rsid w:val="00A11AE2"/>
    <w:rsid w:val="00A126BB"/>
    <w:rsid w:val="00A13519"/>
    <w:rsid w:val="00A13602"/>
    <w:rsid w:val="00A14A1B"/>
    <w:rsid w:val="00A1570F"/>
    <w:rsid w:val="00A16360"/>
    <w:rsid w:val="00A16941"/>
    <w:rsid w:val="00A16B47"/>
    <w:rsid w:val="00A20182"/>
    <w:rsid w:val="00A20436"/>
    <w:rsid w:val="00A21BDB"/>
    <w:rsid w:val="00A2238E"/>
    <w:rsid w:val="00A2274E"/>
    <w:rsid w:val="00A243DE"/>
    <w:rsid w:val="00A249D5"/>
    <w:rsid w:val="00A25C3B"/>
    <w:rsid w:val="00A262E1"/>
    <w:rsid w:val="00A26C0A"/>
    <w:rsid w:val="00A26E6B"/>
    <w:rsid w:val="00A27A47"/>
    <w:rsid w:val="00A305C9"/>
    <w:rsid w:val="00A30A43"/>
    <w:rsid w:val="00A31A10"/>
    <w:rsid w:val="00A3282E"/>
    <w:rsid w:val="00A33F37"/>
    <w:rsid w:val="00A3467F"/>
    <w:rsid w:val="00A34A28"/>
    <w:rsid w:val="00A35E45"/>
    <w:rsid w:val="00A36219"/>
    <w:rsid w:val="00A36762"/>
    <w:rsid w:val="00A36BF3"/>
    <w:rsid w:val="00A36D40"/>
    <w:rsid w:val="00A37B18"/>
    <w:rsid w:val="00A4072F"/>
    <w:rsid w:val="00A41077"/>
    <w:rsid w:val="00A41878"/>
    <w:rsid w:val="00A428B0"/>
    <w:rsid w:val="00A43495"/>
    <w:rsid w:val="00A435F6"/>
    <w:rsid w:val="00A462EC"/>
    <w:rsid w:val="00A463E8"/>
    <w:rsid w:val="00A46560"/>
    <w:rsid w:val="00A47215"/>
    <w:rsid w:val="00A507B2"/>
    <w:rsid w:val="00A50CCD"/>
    <w:rsid w:val="00A5164A"/>
    <w:rsid w:val="00A5208E"/>
    <w:rsid w:val="00A52B98"/>
    <w:rsid w:val="00A532B9"/>
    <w:rsid w:val="00A55394"/>
    <w:rsid w:val="00A55468"/>
    <w:rsid w:val="00A561E8"/>
    <w:rsid w:val="00A56266"/>
    <w:rsid w:val="00A564D5"/>
    <w:rsid w:val="00A57246"/>
    <w:rsid w:val="00A57870"/>
    <w:rsid w:val="00A601D7"/>
    <w:rsid w:val="00A614B1"/>
    <w:rsid w:val="00A622BE"/>
    <w:rsid w:val="00A635C0"/>
    <w:rsid w:val="00A6415B"/>
    <w:rsid w:val="00A6428D"/>
    <w:rsid w:val="00A64CEE"/>
    <w:rsid w:val="00A65142"/>
    <w:rsid w:val="00A65493"/>
    <w:rsid w:val="00A67504"/>
    <w:rsid w:val="00A708F8"/>
    <w:rsid w:val="00A71C2A"/>
    <w:rsid w:val="00A71D85"/>
    <w:rsid w:val="00A732B4"/>
    <w:rsid w:val="00A73CE6"/>
    <w:rsid w:val="00A73D39"/>
    <w:rsid w:val="00A7422A"/>
    <w:rsid w:val="00A74391"/>
    <w:rsid w:val="00A748A6"/>
    <w:rsid w:val="00A74BA7"/>
    <w:rsid w:val="00A75101"/>
    <w:rsid w:val="00A751BF"/>
    <w:rsid w:val="00A75333"/>
    <w:rsid w:val="00A7534C"/>
    <w:rsid w:val="00A77D45"/>
    <w:rsid w:val="00A812F2"/>
    <w:rsid w:val="00A81CC7"/>
    <w:rsid w:val="00A82540"/>
    <w:rsid w:val="00A82F99"/>
    <w:rsid w:val="00A831CA"/>
    <w:rsid w:val="00A8343F"/>
    <w:rsid w:val="00A83523"/>
    <w:rsid w:val="00A83A56"/>
    <w:rsid w:val="00A840E5"/>
    <w:rsid w:val="00A85E57"/>
    <w:rsid w:val="00A87063"/>
    <w:rsid w:val="00A870F6"/>
    <w:rsid w:val="00A90B47"/>
    <w:rsid w:val="00A90D6B"/>
    <w:rsid w:val="00A90E44"/>
    <w:rsid w:val="00A91867"/>
    <w:rsid w:val="00A920A2"/>
    <w:rsid w:val="00A92500"/>
    <w:rsid w:val="00A927FE"/>
    <w:rsid w:val="00A937E5"/>
    <w:rsid w:val="00A93F4C"/>
    <w:rsid w:val="00A9439F"/>
    <w:rsid w:val="00A9440E"/>
    <w:rsid w:val="00A94F1A"/>
    <w:rsid w:val="00A9500E"/>
    <w:rsid w:val="00A9518D"/>
    <w:rsid w:val="00A96390"/>
    <w:rsid w:val="00A969C7"/>
    <w:rsid w:val="00A96B2A"/>
    <w:rsid w:val="00A97643"/>
    <w:rsid w:val="00A97701"/>
    <w:rsid w:val="00AA04AD"/>
    <w:rsid w:val="00AA0D59"/>
    <w:rsid w:val="00AA2FE4"/>
    <w:rsid w:val="00AA3B13"/>
    <w:rsid w:val="00AA3E34"/>
    <w:rsid w:val="00AA4526"/>
    <w:rsid w:val="00AA4E87"/>
    <w:rsid w:val="00AA4E97"/>
    <w:rsid w:val="00AA4F1F"/>
    <w:rsid w:val="00AA507D"/>
    <w:rsid w:val="00AA6376"/>
    <w:rsid w:val="00AA666D"/>
    <w:rsid w:val="00AA6670"/>
    <w:rsid w:val="00AA730E"/>
    <w:rsid w:val="00AA798B"/>
    <w:rsid w:val="00AB02B8"/>
    <w:rsid w:val="00AB0496"/>
    <w:rsid w:val="00AB1506"/>
    <w:rsid w:val="00AB3D81"/>
    <w:rsid w:val="00AB47B1"/>
    <w:rsid w:val="00AB4C9C"/>
    <w:rsid w:val="00AB513D"/>
    <w:rsid w:val="00AB69C8"/>
    <w:rsid w:val="00AB79ED"/>
    <w:rsid w:val="00AC0A03"/>
    <w:rsid w:val="00AC10E8"/>
    <w:rsid w:val="00AC11A5"/>
    <w:rsid w:val="00AC1428"/>
    <w:rsid w:val="00AC17B7"/>
    <w:rsid w:val="00AC26E8"/>
    <w:rsid w:val="00AC2DEC"/>
    <w:rsid w:val="00AC33DC"/>
    <w:rsid w:val="00AC3CC7"/>
    <w:rsid w:val="00AC4875"/>
    <w:rsid w:val="00AC57FF"/>
    <w:rsid w:val="00AC775C"/>
    <w:rsid w:val="00AC786F"/>
    <w:rsid w:val="00AC7952"/>
    <w:rsid w:val="00AC7C4A"/>
    <w:rsid w:val="00AD03E4"/>
    <w:rsid w:val="00AD0892"/>
    <w:rsid w:val="00AD154B"/>
    <w:rsid w:val="00AD1854"/>
    <w:rsid w:val="00AD28C9"/>
    <w:rsid w:val="00AD2FED"/>
    <w:rsid w:val="00AD3E0A"/>
    <w:rsid w:val="00AD4ECF"/>
    <w:rsid w:val="00AD535C"/>
    <w:rsid w:val="00AD6356"/>
    <w:rsid w:val="00AD655F"/>
    <w:rsid w:val="00AD6C9D"/>
    <w:rsid w:val="00AD6D6D"/>
    <w:rsid w:val="00AD7555"/>
    <w:rsid w:val="00AE152F"/>
    <w:rsid w:val="00AE17A4"/>
    <w:rsid w:val="00AE1AAD"/>
    <w:rsid w:val="00AE2B75"/>
    <w:rsid w:val="00AE3655"/>
    <w:rsid w:val="00AE3C88"/>
    <w:rsid w:val="00AE428D"/>
    <w:rsid w:val="00AE43F2"/>
    <w:rsid w:val="00AE4E5C"/>
    <w:rsid w:val="00AE5598"/>
    <w:rsid w:val="00AE5638"/>
    <w:rsid w:val="00AE6611"/>
    <w:rsid w:val="00AE6D04"/>
    <w:rsid w:val="00AE758A"/>
    <w:rsid w:val="00AF010C"/>
    <w:rsid w:val="00AF05C7"/>
    <w:rsid w:val="00AF08CE"/>
    <w:rsid w:val="00AF0C0D"/>
    <w:rsid w:val="00AF1502"/>
    <w:rsid w:val="00AF19D7"/>
    <w:rsid w:val="00AF2BF1"/>
    <w:rsid w:val="00AF2C37"/>
    <w:rsid w:val="00AF2CF8"/>
    <w:rsid w:val="00AF31ED"/>
    <w:rsid w:val="00AF399C"/>
    <w:rsid w:val="00AF4AF3"/>
    <w:rsid w:val="00AF5AE7"/>
    <w:rsid w:val="00AF5E1C"/>
    <w:rsid w:val="00AF5F28"/>
    <w:rsid w:val="00AF6E36"/>
    <w:rsid w:val="00AF7227"/>
    <w:rsid w:val="00AF7ADB"/>
    <w:rsid w:val="00AF7CCF"/>
    <w:rsid w:val="00B007EA"/>
    <w:rsid w:val="00B00FC6"/>
    <w:rsid w:val="00B033F7"/>
    <w:rsid w:val="00B040C9"/>
    <w:rsid w:val="00B04226"/>
    <w:rsid w:val="00B04559"/>
    <w:rsid w:val="00B046F6"/>
    <w:rsid w:val="00B05F7C"/>
    <w:rsid w:val="00B10158"/>
    <w:rsid w:val="00B1037C"/>
    <w:rsid w:val="00B11569"/>
    <w:rsid w:val="00B11E50"/>
    <w:rsid w:val="00B1269B"/>
    <w:rsid w:val="00B13B5D"/>
    <w:rsid w:val="00B13DBA"/>
    <w:rsid w:val="00B14218"/>
    <w:rsid w:val="00B1493D"/>
    <w:rsid w:val="00B153EA"/>
    <w:rsid w:val="00B15798"/>
    <w:rsid w:val="00B16696"/>
    <w:rsid w:val="00B167C2"/>
    <w:rsid w:val="00B16B08"/>
    <w:rsid w:val="00B173AE"/>
    <w:rsid w:val="00B17A29"/>
    <w:rsid w:val="00B17C95"/>
    <w:rsid w:val="00B2076C"/>
    <w:rsid w:val="00B20B66"/>
    <w:rsid w:val="00B20C2F"/>
    <w:rsid w:val="00B20F19"/>
    <w:rsid w:val="00B21069"/>
    <w:rsid w:val="00B218DE"/>
    <w:rsid w:val="00B21B47"/>
    <w:rsid w:val="00B21BC6"/>
    <w:rsid w:val="00B21C65"/>
    <w:rsid w:val="00B21FA6"/>
    <w:rsid w:val="00B22073"/>
    <w:rsid w:val="00B232D1"/>
    <w:rsid w:val="00B234E2"/>
    <w:rsid w:val="00B234F5"/>
    <w:rsid w:val="00B2597D"/>
    <w:rsid w:val="00B263D7"/>
    <w:rsid w:val="00B27054"/>
    <w:rsid w:val="00B274F3"/>
    <w:rsid w:val="00B27FB7"/>
    <w:rsid w:val="00B303EC"/>
    <w:rsid w:val="00B32545"/>
    <w:rsid w:val="00B33CB7"/>
    <w:rsid w:val="00B3400A"/>
    <w:rsid w:val="00B34F9F"/>
    <w:rsid w:val="00B3539F"/>
    <w:rsid w:val="00B35D00"/>
    <w:rsid w:val="00B372A0"/>
    <w:rsid w:val="00B37407"/>
    <w:rsid w:val="00B37EC2"/>
    <w:rsid w:val="00B37F96"/>
    <w:rsid w:val="00B40A6C"/>
    <w:rsid w:val="00B41235"/>
    <w:rsid w:val="00B413F2"/>
    <w:rsid w:val="00B415B0"/>
    <w:rsid w:val="00B41F6F"/>
    <w:rsid w:val="00B420D5"/>
    <w:rsid w:val="00B42C05"/>
    <w:rsid w:val="00B4322A"/>
    <w:rsid w:val="00B43576"/>
    <w:rsid w:val="00B43C31"/>
    <w:rsid w:val="00B45652"/>
    <w:rsid w:val="00B458C0"/>
    <w:rsid w:val="00B45BD0"/>
    <w:rsid w:val="00B46C5F"/>
    <w:rsid w:val="00B473DD"/>
    <w:rsid w:val="00B47FC3"/>
    <w:rsid w:val="00B5096E"/>
    <w:rsid w:val="00B510B3"/>
    <w:rsid w:val="00B5171F"/>
    <w:rsid w:val="00B51CE8"/>
    <w:rsid w:val="00B524E3"/>
    <w:rsid w:val="00B52919"/>
    <w:rsid w:val="00B53075"/>
    <w:rsid w:val="00B53916"/>
    <w:rsid w:val="00B53A75"/>
    <w:rsid w:val="00B545DE"/>
    <w:rsid w:val="00B54881"/>
    <w:rsid w:val="00B55626"/>
    <w:rsid w:val="00B55B71"/>
    <w:rsid w:val="00B55C09"/>
    <w:rsid w:val="00B564D1"/>
    <w:rsid w:val="00B56BFA"/>
    <w:rsid w:val="00B5717F"/>
    <w:rsid w:val="00B5722B"/>
    <w:rsid w:val="00B572E0"/>
    <w:rsid w:val="00B60FA5"/>
    <w:rsid w:val="00B613EF"/>
    <w:rsid w:val="00B615CC"/>
    <w:rsid w:val="00B61970"/>
    <w:rsid w:val="00B61C4F"/>
    <w:rsid w:val="00B61C7B"/>
    <w:rsid w:val="00B61E21"/>
    <w:rsid w:val="00B64548"/>
    <w:rsid w:val="00B64B08"/>
    <w:rsid w:val="00B656A6"/>
    <w:rsid w:val="00B658DF"/>
    <w:rsid w:val="00B65BA1"/>
    <w:rsid w:val="00B65F16"/>
    <w:rsid w:val="00B6668D"/>
    <w:rsid w:val="00B66AD2"/>
    <w:rsid w:val="00B67438"/>
    <w:rsid w:val="00B67D0C"/>
    <w:rsid w:val="00B70C84"/>
    <w:rsid w:val="00B71D51"/>
    <w:rsid w:val="00B722C3"/>
    <w:rsid w:val="00B72D83"/>
    <w:rsid w:val="00B730AC"/>
    <w:rsid w:val="00B730B7"/>
    <w:rsid w:val="00B7461D"/>
    <w:rsid w:val="00B74F21"/>
    <w:rsid w:val="00B74FBC"/>
    <w:rsid w:val="00B7519D"/>
    <w:rsid w:val="00B7552C"/>
    <w:rsid w:val="00B7603E"/>
    <w:rsid w:val="00B76D89"/>
    <w:rsid w:val="00B77826"/>
    <w:rsid w:val="00B80109"/>
    <w:rsid w:val="00B806FB"/>
    <w:rsid w:val="00B80C58"/>
    <w:rsid w:val="00B80D68"/>
    <w:rsid w:val="00B816DE"/>
    <w:rsid w:val="00B82396"/>
    <w:rsid w:val="00B833D4"/>
    <w:rsid w:val="00B83659"/>
    <w:rsid w:val="00B8388B"/>
    <w:rsid w:val="00B85BD8"/>
    <w:rsid w:val="00B85E62"/>
    <w:rsid w:val="00B86391"/>
    <w:rsid w:val="00B87D88"/>
    <w:rsid w:val="00B87FA2"/>
    <w:rsid w:val="00B901B9"/>
    <w:rsid w:val="00B90428"/>
    <w:rsid w:val="00B916D7"/>
    <w:rsid w:val="00B91747"/>
    <w:rsid w:val="00B92195"/>
    <w:rsid w:val="00B9245D"/>
    <w:rsid w:val="00B92CAB"/>
    <w:rsid w:val="00B93549"/>
    <w:rsid w:val="00B93811"/>
    <w:rsid w:val="00B94A72"/>
    <w:rsid w:val="00B96C59"/>
    <w:rsid w:val="00B9701F"/>
    <w:rsid w:val="00B975FE"/>
    <w:rsid w:val="00B9793D"/>
    <w:rsid w:val="00B979C5"/>
    <w:rsid w:val="00B97B5A"/>
    <w:rsid w:val="00BA01AE"/>
    <w:rsid w:val="00BA0307"/>
    <w:rsid w:val="00BA0BB1"/>
    <w:rsid w:val="00BA1B91"/>
    <w:rsid w:val="00BA21C2"/>
    <w:rsid w:val="00BA3896"/>
    <w:rsid w:val="00BA4480"/>
    <w:rsid w:val="00BA4516"/>
    <w:rsid w:val="00BA61A3"/>
    <w:rsid w:val="00BA63BB"/>
    <w:rsid w:val="00BA643E"/>
    <w:rsid w:val="00BA6AD8"/>
    <w:rsid w:val="00BA6C8E"/>
    <w:rsid w:val="00BA6EEB"/>
    <w:rsid w:val="00BA7042"/>
    <w:rsid w:val="00BA7E4C"/>
    <w:rsid w:val="00BB075E"/>
    <w:rsid w:val="00BB08BA"/>
    <w:rsid w:val="00BB0979"/>
    <w:rsid w:val="00BB1D22"/>
    <w:rsid w:val="00BB2052"/>
    <w:rsid w:val="00BB28D7"/>
    <w:rsid w:val="00BB29E8"/>
    <w:rsid w:val="00BB3C29"/>
    <w:rsid w:val="00BB4CAA"/>
    <w:rsid w:val="00BB4E0D"/>
    <w:rsid w:val="00BB5576"/>
    <w:rsid w:val="00BB5A8C"/>
    <w:rsid w:val="00BB5D66"/>
    <w:rsid w:val="00BB7AC3"/>
    <w:rsid w:val="00BB7CFD"/>
    <w:rsid w:val="00BC0150"/>
    <w:rsid w:val="00BC102C"/>
    <w:rsid w:val="00BC245A"/>
    <w:rsid w:val="00BC265D"/>
    <w:rsid w:val="00BC3433"/>
    <w:rsid w:val="00BC362A"/>
    <w:rsid w:val="00BC3ED9"/>
    <w:rsid w:val="00BC5FC0"/>
    <w:rsid w:val="00BC6DA8"/>
    <w:rsid w:val="00BC6FF6"/>
    <w:rsid w:val="00BD04FC"/>
    <w:rsid w:val="00BD0DE3"/>
    <w:rsid w:val="00BD10C8"/>
    <w:rsid w:val="00BD1962"/>
    <w:rsid w:val="00BD20C7"/>
    <w:rsid w:val="00BD2B78"/>
    <w:rsid w:val="00BD33EB"/>
    <w:rsid w:val="00BD371A"/>
    <w:rsid w:val="00BD45F1"/>
    <w:rsid w:val="00BD488B"/>
    <w:rsid w:val="00BD5138"/>
    <w:rsid w:val="00BD6247"/>
    <w:rsid w:val="00BD7076"/>
    <w:rsid w:val="00BD7D33"/>
    <w:rsid w:val="00BE0571"/>
    <w:rsid w:val="00BE108E"/>
    <w:rsid w:val="00BE179B"/>
    <w:rsid w:val="00BE1F3E"/>
    <w:rsid w:val="00BE1FA9"/>
    <w:rsid w:val="00BE2BD6"/>
    <w:rsid w:val="00BE34C3"/>
    <w:rsid w:val="00BE3523"/>
    <w:rsid w:val="00BE35C7"/>
    <w:rsid w:val="00BE36AE"/>
    <w:rsid w:val="00BE3B73"/>
    <w:rsid w:val="00BE42D4"/>
    <w:rsid w:val="00BE54EE"/>
    <w:rsid w:val="00BE5FA9"/>
    <w:rsid w:val="00BF1A67"/>
    <w:rsid w:val="00BF2053"/>
    <w:rsid w:val="00BF2057"/>
    <w:rsid w:val="00BF2538"/>
    <w:rsid w:val="00BF2E89"/>
    <w:rsid w:val="00BF2EA9"/>
    <w:rsid w:val="00BF318F"/>
    <w:rsid w:val="00BF3487"/>
    <w:rsid w:val="00BF38C9"/>
    <w:rsid w:val="00BF46F2"/>
    <w:rsid w:val="00BF4FFC"/>
    <w:rsid w:val="00BF615B"/>
    <w:rsid w:val="00BF7822"/>
    <w:rsid w:val="00BF7F9A"/>
    <w:rsid w:val="00C00A45"/>
    <w:rsid w:val="00C0115A"/>
    <w:rsid w:val="00C0178C"/>
    <w:rsid w:val="00C02C29"/>
    <w:rsid w:val="00C03562"/>
    <w:rsid w:val="00C047E6"/>
    <w:rsid w:val="00C053F5"/>
    <w:rsid w:val="00C05F83"/>
    <w:rsid w:val="00C06424"/>
    <w:rsid w:val="00C06DEB"/>
    <w:rsid w:val="00C07665"/>
    <w:rsid w:val="00C07D77"/>
    <w:rsid w:val="00C10940"/>
    <w:rsid w:val="00C120D1"/>
    <w:rsid w:val="00C12A84"/>
    <w:rsid w:val="00C1407E"/>
    <w:rsid w:val="00C14B92"/>
    <w:rsid w:val="00C15079"/>
    <w:rsid w:val="00C15378"/>
    <w:rsid w:val="00C15F77"/>
    <w:rsid w:val="00C17BFB"/>
    <w:rsid w:val="00C21E2E"/>
    <w:rsid w:val="00C23496"/>
    <w:rsid w:val="00C23BD2"/>
    <w:rsid w:val="00C23BE4"/>
    <w:rsid w:val="00C23C9A"/>
    <w:rsid w:val="00C2533B"/>
    <w:rsid w:val="00C25BC3"/>
    <w:rsid w:val="00C25C9A"/>
    <w:rsid w:val="00C271A8"/>
    <w:rsid w:val="00C2754F"/>
    <w:rsid w:val="00C31F74"/>
    <w:rsid w:val="00C3213C"/>
    <w:rsid w:val="00C322E3"/>
    <w:rsid w:val="00C33C42"/>
    <w:rsid w:val="00C34BC3"/>
    <w:rsid w:val="00C35D21"/>
    <w:rsid w:val="00C36400"/>
    <w:rsid w:val="00C36EFA"/>
    <w:rsid w:val="00C37365"/>
    <w:rsid w:val="00C37816"/>
    <w:rsid w:val="00C37DAA"/>
    <w:rsid w:val="00C40018"/>
    <w:rsid w:val="00C40175"/>
    <w:rsid w:val="00C40522"/>
    <w:rsid w:val="00C416DA"/>
    <w:rsid w:val="00C4419B"/>
    <w:rsid w:val="00C447DF"/>
    <w:rsid w:val="00C44CE1"/>
    <w:rsid w:val="00C44CE3"/>
    <w:rsid w:val="00C45AAA"/>
    <w:rsid w:val="00C46EE7"/>
    <w:rsid w:val="00C47650"/>
    <w:rsid w:val="00C479AB"/>
    <w:rsid w:val="00C51559"/>
    <w:rsid w:val="00C5165A"/>
    <w:rsid w:val="00C51959"/>
    <w:rsid w:val="00C51DAD"/>
    <w:rsid w:val="00C5226D"/>
    <w:rsid w:val="00C5244A"/>
    <w:rsid w:val="00C5248E"/>
    <w:rsid w:val="00C52D93"/>
    <w:rsid w:val="00C531E6"/>
    <w:rsid w:val="00C540CE"/>
    <w:rsid w:val="00C55DF2"/>
    <w:rsid w:val="00C55F0D"/>
    <w:rsid w:val="00C563F6"/>
    <w:rsid w:val="00C569F2"/>
    <w:rsid w:val="00C5716E"/>
    <w:rsid w:val="00C572BE"/>
    <w:rsid w:val="00C6012B"/>
    <w:rsid w:val="00C60AB6"/>
    <w:rsid w:val="00C62395"/>
    <w:rsid w:val="00C627AC"/>
    <w:rsid w:val="00C628C5"/>
    <w:rsid w:val="00C63780"/>
    <w:rsid w:val="00C63AF7"/>
    <w:rsid w:val="00C63F9B"/>
    <w:rsid w:val="00C642AF"/>
    <w:rsid w:val="00C644AF"/>
    <w:rsid w:val="00C64ACD"/>
    <w:rsid w:val="00C65038"/>
    <w:rsid w:val="00C65B8C"/>
    <w:rsid w:val="00C65F5E"/>
    <w:rsid w:val="00C67097"/>
    <w:rsid w:val="00C67B85"/>
    <w:rsid w:val="00C7125C"/>
    <w:rsid w:val="00C712E5"/>
    <w:rsid w:val="00C71F39"/>
    <w:rsid w:val="00C7235C"/>
    <w:rsid w:val="00C73360"/>
    <w:rsid w:val="00C73AC9"/>
    <w:rsid w:val="00C7413E"/>
    <w:rsid w:val="00C7496E"/>
    <w:rsid w:val="00C7572D"/>
    <w:rsid w:val="00C76B18"/>
    <w:rsid w:val="00C77E15"/>
    <w:rsid w:val="00C80D6A"/>
    <w:rsid w:val="00C81277"/>
    <w:rsid w:val="00C812A5"/>
    <w:rsid w:val="00C81B05"/>
    <w:rsid w:val="00C823CD"/>
    <w:rsid w:val="00C82E03"/>
    <w:rsid w:val="00C83023"/>
    <w:rsid w:val="00C8352D"/>
    <w:rsid w:val="00C8511F"/>
    <w:rsid w:val="00C85D93"/>
    <w:rsid w:val="00C86197"/>
    <w:rsid w:val="00C86C2A"/>
    <w:rsid w:val="00C87438"/>
    <w:rsid w:val="00C87543"/>
    <w:rsid w:val="00C87E7F"/>
    <w:rsid w:val="00C900FB"/>
    <w:rsid w:val="00C905CA"/>
    <w:rsid w:val="00C92FDB"/>
    <w:rsid w:val="00C934DB"/>
    <w:rsid w:val="00C93765"/>
    <w:rsid w:val="00C94F94"/>
    <w:rsid w:val="00C95A7E"/>
    <w:rsid w:val="00C96124"/>
    <w:rsid w:val="00C961E3"/>
    <w:rsid w:val="00C96986"/>
    <w:rsid w:val="00C971A8"/>
    <w:rsid w:val="00CA01CC"/>
    <w:rsid w:val="00CA0E6C"/>
    <w:rsid w:val="00CA3320"/>
    <w:rsid w:val="00CA41A9"/>
    <w:rsid w:val="00CA4619"/>
    <w:rsid w:val="00CA4B29"/>
    <w:rsid w:val="00CA6360"/>
    <w:rsid w:val="00CA78CD"/>
    <w:rsid w:val="00CA7F05"/>
    <w:rsid w:val="00CB03B8"/>
    <w:rsid w:val="00CB07ED"/>
    <w:rsid w:val="00CB25DA"/>
    <w:rsid w:val="00CB2D31"/>
    <w:rsid w:val="00CB39DD"/>
    <w:rsid w:val="00CB3F8B"/>
    <w:rsid w:val="00CB4664"/>
    <w:rsid w:val="00CB4D59"/>
    <w:rsid w:val="00CC071F"/>
    <w:rsid w:val="00CC0874"/>
    <w:rsid w:val="00CC1383"/>
    <w:rsid w:val="00CC1865"/>
    <w:rsid w:val="00CC1EAC"/>
    <w:rsid w:val="00CC3F3B"/>
    <w:rsid w:val="00CC4006"/>
    <w:rsid w:val="00CC5F58"/>
    <w:rsid w:val="00CC795D"/>
    <w:rsid w:val="00CC7E2C"/>
    <w:rsid w:val="00CD0AF0"/>
    <w:rsid w:val="00CD1750"/>
    <w:rsid w:val="00CD288B"/>
    <w:rsid w:val="00CD2CCE"/>
    <w:rsid w:val="00CD2F5A"/>
    <w:rsid w:val="00CD3E38"/>
    <w:rsid w:val="00CD4A7C"/>
    <w:rsid w:val="00CD4DC7"/>
    <w:rsid w:val="00CD5693"/>
    <w:rsid w:val="00CD64FC"/>
    <w:rsid w:val="00CD6A45"/>
    <w:rsid w:val="00CD7160"/>
    <w:rsid w:val="00CE043C"/>
    <w:rsid w:val="00CE1CA9"/>
    <w:rsid w:val="00CE214B"/>
    <w:rsid w:val="00CE2E12"/>
    <w:rsid w:val="00CE33CC"/>
    <w:rsid w:val="00CE34A9"/>
    <w:rsid w:val="00CE46C8"/>
    <w:rsid w:val="00CE4B0B"/>
    <w:rsid w:val="00CE515A"/>
    <w:rsid w:val="00CE5210"/>
    <w:rsid w:val="00CE6835"/>
    <w:rsid w:val="00CE6C9D"/>
    <w:rsid w:val="00CE6FC0"/>
    <w:rsid w:val="00CF0C9B"/>
    <w:rsid w:val="00CF0E15"/>
    <w:rsid w:val="00CF15B3"/>
    <w:rsid w:val="00CF27BA"/>
    <w:rsid w:val="00CF27ED"/>
    <w:rsid w:val="00CF2AE9"/>
    <w:rsid w:val="00CF2E20"/>
    <w:rsid w:val="00CF5481"/>
    <w:rsid w:val="00CF56C5"/>
    <w:rsid w:val="00CF68E4"/>
    <w:rsid w:val="00D003E0"/>
    <w:rsid w:val="00D01527"/>
    <w:rsid w:val="00D01CE9"/>
    <w:rsid w:val="00D01D24"/>
    <w:rsid w:val="00D02613"/>
    <w:rsid w:val="00D02C9C"/>
    <w:rsid w:val="00D03152"/>
    <w:rsid w:val="00D037E9"/>
    <w:rsid w:val="00D0383D"/>
    <w:rsid w:val="00D04A0B"/>
    <w:rsid w:val="00D04D9F"/>
    <w:rsid w:val="00D05AB2"/>
    <w:rsid w:val="00D05BD6"/>
    <w:rsid w:val="00D065BE"/>
    <w:rsid w:val="00D07100"/>
    <w:rsid w:val="00D10311"/>
    <w:rsid w:val="00D1063F"/>
    <w:rsid w:val="00D108C5"/>
    <w:rsid w:val="00D11334"/>
    <w:rsid w:val="00D117E4"/>
    <w:rsid w:val="00D119EA"/>
    <w:rsid w:val="00D1288A"/>
    <w:rsid w:val="00D133C8"/>
    <w:rsid w:val="00D137C2"/>
    <w:rsid w:val="00D1409F"/>
    <w:rsid w:val="00D14202"/>
    <w:rsid w:val="00D14DB7"/>
    <w:rsid w:val="00D15DB9"/>
    <w:rsid w:val="00D15DEF"/>
    <w:rsid w:val="00D16189"/>
    <w:rsid w:val="00D16254"/>
    <w:rsid w:val="00D16F0D"/>
    <w:rsid w:val="00D179CD"/>
    <w:rsid w:val="00D17DE3"/>
    <w:rsid w:val="00D20002"/>
    <w:rsid w:val="00D20B04"/>
    <w:rsid w:val="00D2186B"/>
    <w:rsid w:val="00D2214B"/>
    <w:rsid w:val="00D222FF"/>
    <w:rsid w:val="00D22F5B"/>
    <w:rsid w:val="00D2387B"/>
    <w:rsid w:val="00D2391B"/>
    <w:rsid w:val="00D23B29"/>
    <w:rsid w:val="00D23DA9"/>
    <w:rsid w:val="00D24050"/>
    <w:rsid w:val="00D24254"/>
    <w:rsid w:val="00D243BD"/>
    <w:rsid w:val="00D248A7"/>
    <w:rsid w:val="00D2497B"/>
    <w:rsid w:val="00D25798"/>
    <w:rsid w:val="00D25BE2"/>
    <w:rsid w:val="00D260DC"/>
    <w:rsid w:val="00D26AA3"/>
    <w:rsid w:val="00D27931"/>
    <w:rsid w:val="00D301CE"/>
    <w:rsid w:val="00D3038B"/>
    <w:rsid w:val="00D30BCB"/>
    <w:rsid w:val="00D30C9C"/>
    <w:rsid w:val="00D31D07"/>
    <w:rsid w:val="00D322B5"/>
    <w:rsid w:val="00D32A5A"/>
    <w:rsid w:val="00D32E4A"/>
    <w:rsid w:val="00D335DF"/>
    <w:rsid w:val="00D348CE"/>
    <w:rsid w:val="00D34C36"/>
    <w:rsid w:val="00D34E18"/>
    <w:rsid w:val="00D3511A"/>
    <w:rsid w:val="00D356C1"/>
    <w:rsid w:val="00D36285"/>
    <w:rsid w:val="00D3757F"/>
    <w:rsid w:val="00D37C58"/>
    <w:rsid w:val="00D37EB6"/>
    <w:rsid w:val="00D40FA4"/>
    <w:rsid w:val="00D425FF"/>
    <w:rsid w:val="00D42B30"/>
    <w:rsid w:val="00D43215"/>
    <w:rsid w:val="00D4460B"/>
    <w:rsid w:val="00D454CC"/>
    <w:rsid w:val="00D4589F"/>
    <w:rsid w:val="00D46237"/>
    <w:rsid w:val="00D479B8"/>
    <w:rsid w:val="00D47CD4"/>
    <w:rsid w:val="00D50B63"/>
    <w:rsid w:val="00D529CF"/>
    <w:rsid w:val="00D544D2"/>
    <w:rsid w:val="00D553AD"/>
    <w:rsid w:val="00D556B5"/>
    <w:rsid w:val="00D56CB5"/>
    <w:rsid w:val="00D56E1A"/>
    <w:rsid w:val="00D57F78"/>
    <w:rsid w:val="00D60A10"/>
    <w:rsid w:val="00D60AC4"/>
    <w:rsid w:val="00D60DED"/>
    <w:rsid w:val="00D61203"/>
    <w:rsid w:val="00D61558"/>
    <w:rsid w:val="00D6165A"/>
    <w:rsid w:val="00D62C89"/>
    <w:rsid w:val="00D63F9B"/>
    <w:rsid w:val="00D64E6D"/>
    <w:rsid w:val="00D664C1"/>
    <w:rsid w:val="00D67C47"/>
    <w:rsid w:val="00D67EDF"/>
    <w:rsid w:val="00D67F96"/>
    <w:rsid w:val="00D70208"/>
    <w:rsid w:val="00D706BC"/>
    <w:rsid w:val="00D70B33"/>
    <w:rsid w:val="00D714CF"/>
    <w:rsid w:val="00D719BF"/>
    <w:rsid w:val="00D728A0"/>
    <w:rsid w:val="00D74187"/>
    <w:rsid w:val="00D75945"/>
    <w:rsid w:val="00D77387"/>
    <w:rsid w:val="00D8022F"/>
    <w:rsid w:val="00D811FB"/>
    <w:rsid w:val="00D82626"/>
    <w:rsid w:val="00D836C7"/>
    <w:rsid w:val="00D83F86"/>
    <w:rsid w:val="00D84096"/>
    <w:rsid w:val="00D84598"/>
    <w:rsid w:val="00D845D9"/>
    <w:rsid w:val="00D85A7B"/>
    <w:rsid w:val="00D8690F"/>
    <w:rsid w:val="00D91374"/>
    <w:rsid w:val="00D91CAC"/>
    <w:rsid w:val="00D91CF1"/>
    <w:rsid w:val="00D91DA7"/>
    <w:rsid w:val="00D92836"/>
    <w:rsid w:val="00D9377E"/>
    <w:rsid w:val="00D93AD4"/>
    <w:rsid w:val="00D94E99"/>
    <w:rsid w:val="00D953A9"/>
    <w:rsid w:val="00D95EC1"/>
    <w:rsid w:val="00D96286"/>
    <w:rsid w:val="00D96A9F"/>
    <w:rsid w:val="00D96E9D"/>
    <w:rsid w:val="00D97BDD"/>
    <w:rsid w:val="00D97DF9"/>
    <w:rsid w:val="00DA06B2"/>
    <w:rsid w:val="00DA1634"/>
    <w:rsid w:val="00DA174C"/>
    <w:rsid w:val="00DA17ED"/>
    <w:rsid w:val="00DA1FF7"/>
    <w:rsid w:val="00DA2935"/>
    <w:rsid w:val="00DA37F9"/>
    <w:rsid w:val="00DA381B"/>
    <w:rsid w:val="00DA3B60"/>
    <w:rsid w:val="00DA5C95"/>
    <w:rsid w:val="00DA682D"/>
    <w:rsid w:val="00DA6BDB"/>
    <w:rsid w:val="00DA6F65"/>
    <w:rsid w:val="00DA7104"/>
    <w:rsid w:val="00DA78B0"/>
    <w:rsid w:val="00DA7A65"/>
    <w:rsid w:val="00DB0D63"/>
    <w:rsid w:val="00DB0F04"/>
    <w:rsid w:val="00DB0F3D"/>
    <w:rsid w:val="00DB1274"/>
    <w:rsid w:val="00DB1CAE"/>
    <w:rsid w:val="00DB2131"/>
    <w:rsid w:val="00DB277A"/>
    <w:rsid w:val="00DB312A"/>
    <w:rsid w:val="00DB33B7"/>
    <w:rsid w:val="00DB349E"/>
    <w:rsid w:val="00DB3B6D"/>
    <w:rsid w:val="00DB3F8D"/>
    <w:rsid w:val="00DB49B9"/>
    <w:rsid w:val="00DB4C43"/>
    <w:rsid w:val="00DB4E2E"/>
    <w:rsid w:val="00DB626C"/>
    <w:rsid w:val="00DB69A8"/>
    <w:rsid w:val="00DB6D1E"/>
    <w:rsid w:val="00DB7BC1"/>
    <w:rsid w:val="00DC07A4"/>
    <w:rsid w:val="00DC0C1E"/>
    <w:rsid w:val="00DC162E"/>
    <w:rsid w:val="00DC20C3"/>
    <w:rsid w:val="00DC28F6"/>
    <w:rsid w:val="00DC4C25"/>
    <w:rsid w:val="00DC59E0"/>
    <w:rsid w:val="00DC6EF8"/>
    <w:rsid w:val="00DC78A8"/>
    <w:rsid w:val="00DD040C"/>
    <w:rsid w:val="00DD0E07"/>
    <w:rsid w:val="00DD2114"/>
    <w:rsid w:val="00DD214C"/>
    <w:rsid w:val="00DD2E5D"/>
    <w:rsid w:val="00DD39C8"/>
    <w:rsid w:val="00DD3DC9"/>
    <w:rsid w:val="00DD54E6"/>
    <w:rsid w:val="00DD59EC"/>
    <w:rsid w:val="00DD7253"/>
    <w:rsid w:val="00DD72D2"/>
    <w:rsid w:val="00DD7493"/>
    <w:rsid w:val="00DE016D"/>
    <w:rsid w:val="00DE06BC"/>
    <w:rsid w:val="00DE32E9"/>
    <w:rsid w:val="00DE3C13"/>
    <w:rsid w:val="00DE3C71"/>
    <w:rsid w:val="00DE6416"/>
    <w:rsid w:val="00DE6BA9"/>
    <w:rsid w:val="00DE6DF5"/>
    <w:rsid w:val="00DE6F50"/>
    <w:rsid w:val="00DE6FDE"/>
    <w:rsid w:val="00DE72AC"/>
    <w:rsid w:val="00DE7D98"/>
    <w:rsid w:val="00DF05AD"/>
    <w:rsid w:val="00DF122B"/>
    <w:rsid w:val="00DF1E9F"/>
    <w:rsid w:val="00DF3909"/>
    <w:rsid w:val="00DF3E49"/>
    <w:rsid w:val="00DF413C"/>
    <w:rsid w:val="00DF4C7B"/>
    <w:rsid w:val="00DF5EB4"/>
    <w:rsid w:val="00DF67D2"/>
    <w:rsid w:val="00DF6BCB"/>
    <w:rsid w:val="00DF70DD"/>
    <w:rsid w:val="00DF7350"/>
    <w:rsid w:val="00DF7ECC"/>
    <w:rsid w:val="00E00D08"/>
    <w:rsid w:val="00E00DDF"/>
    <w:rsid w:val="00E019B1"/>
    <w:rsid w:val="00E01C39"/>
    <w:rsid w:val="00E021FF"/>
    <w:rsid w:val="00E02651"/>
    <w:rsid w:val="00E039D3"/>
    <w:rsid w:val="00E046E9"/>
    <w:rsid w:val="00E04959"/>
    <w:rsid w:val="00E04963"/>
    <w:rsid w:val="00E04AE3"/>
    <w:rsid w:val="00E05D4B"/>
    <w:rsid w:val="00E05FD4"/>
    <w:rsid w:val="00E060A4"/>
    <w:rsid w:val="00E07254"/>
    <w:rsid w:val="00E10E8E"/>
    <w:rsid w:val="00E110D1"/>
    <w:rsid w:val="00E14952"/>
    <w:rsid w:val="00E14C4D"/>
    <w:rsid w:val="00E14D69"/>
    <w:rsid w:val="00E15238"/>
    <w:rsid w:val="00E15484"/>
    <w:rsid w:val="00E15BEE"/>
    <w:rsid w:val="00E203E6"/>
    <w:rsid w:val="00E20FD8"/>
    <w:rsid w:val="00E21254"/>
    <w:rsid w:val="00E2162D"/>
    <w:rsid w:val="00E21689"/>
    <w:rsid w:val="00E21871"/>
    <w:rsid w:val="00E21886"/>
    <w:rsid w:val="00E21E96"/>
    <w:rsid w:val="00E2245D"/>
    <w:rsid w:val="00E224D4"/>
    <w:rsid w:val="00E22B36"/>
    <w:rsid w:val="00E246F3"/>
    <w:rsid w:val="00E2479D"/>
    <w:rsid w:val="00E249B3"/>
    <w:rsid w:val="00E26068"/>
    <w:rsid w:val="00E27498"/>
    <w:rsid w:val="00E277A3"/>
    <w:rsid w:val="00E278B3"/>
    <w:rsid w:val="00E30A75"/>
    <w:rsid w:val="00E3151A"/>
    <w:rsid w:val="00E318FB"/>
    <w:rsid w:val="00E31B1C"/>
    <w:rsid w:val="00E31FB5"/>
    <w:rsid w:val="00E32BDC"/>
    <w:rsid w:val="00E32FF0"/>
    <w:rsid w:val="00E33A2A"/>
    <w:rsid w:val="00E34A9A"/>
    <w:rsid w:val="00E34F0A"/>
    <w:rsid w:val="00E35362"/>
    <w:rsid w:val="00E35A1C"/>
    <w:rsid w:val="00E37F35"/>
    <w:rsid w:val="00E4010D"/>
    <w:rsid w:val="00E40123"/>
    <w:rsid w:val="00E40403"/>
    <w:rsid w:val="00E40419"/>
    <w:rsid w:val="00E405A9"/>
    <w:rsid w:val="00E412EF"/>
    <w:rsid w:val="00E4168F"/>
    <w:rsid w:val="00E421CB"/>
    <w:rsid w:val="00E425C1"/>
    <w:rsid w:val="00E42B6B"/>
    <w:rsid w:val="00E42DBC"/>
    <w:rsid w:val="00E446D4"/>
    <w:rsid w:val="00E4580C"/>
    <w:rsid w:val="00E4682C"/>
    <w:rsid w:val="00E47124"/>
    <w:rsid w:val="00E476D9"/>
    <w:rsid w:val="00E50A3F"/>
    <w:rsid w:val="00E51236"/>
    <w:rsid w:val="00E51F7D"/>
    <w:rsid w:val="00E5276F"/>
    <w:rsid w:val="00E546CB"/>
    <w:rsid w:val="00E55154"/>
    <w:rsid w:val="00E55710"/>
    <w:rsid w:val="00E56016"/>
    <w:rsid w:val="00E5644C"/>
    <w:rsid w:val="00E6017A"/>
    <w:rsid w:val="00E60849"/>
    <w:rsid w:val="00E608B8"/>
    <w:rsid w:val="00E60DEE"/>
    <w:rsid w:val="00E612FC"/>
    <w:rsid w:val="00E616E4"/>
    <w:rsid w:val="00E616FA"/>
    <w:rsid w:val="00E62AD5"/>
    <w:rsid w:val="00E62B50"/>
    <w:rsid w:val="00E62BBA"/>
    <w:rsid w:val="00E63405"/>
    <w:rsid w:val="00E635A3"/>
    <w:rsid w:val="00E63DA1"/>
    <w:rsid w:val="00E6439B"/>
    <w:rsid w:val="00E6477E"/>
    <w:rsid w:val="00E65A70"/>
    <w:rsid w:val="00E70E03"/>
    <w:rsid w:val="00E71913"/>
    <w:rsid w:val="00E72B2E"/>
    <w:rsid w:val="00E72B63"/>
    <w:rsid w:val="00E72ED9"/>
    <w:rsid w:val="00E73B32"/>
    <w:rsid w:val="00E745D8"/>
    <w:rsid w:val="00E74716"/>
    <w:rsid w:val="00E750FD"/>
    <w:rsid w:val="00E75D8C"/>
    <w:rsid w:val="00E76B7D"/>
    <w:rsid w:val="00E80071"/>
    <w:rsid w:val="00E80F93"/>
    <w:rsid w:val="00E80FFE"/>
    <w:rsid w:val="00E81B24"/>
    <w:rsid w:val="00E81C86"/>
    <w:rsid w:val="00E82193"/>
    <w:rsid w:val="00E823FE"/>
    <w:rsid w:val="00E824F9"/>
    <w:rsid w:val="00E82910"/>
    <w:rsid w:val="00E82BAD"/>
    <w:rsid w:val="00E8431A"/>
    <w:rsid w:val="00E8492B"/>
    <w:rsid w:val="00E8583D"/>
    <w:rsid w:val="00E85FBF"/>
    <w:rsid w:val="00E86725"/>
    <w:rsid w:val="00E87931"/>
    <w:rsid w:val="00E87D05"/>
    <w:rsid w:val="00E90969"/>
    <w:rsid w:val="00E90BAB"/>
    <w:rsid w:val="00E90C70"/>
    <w:rsid w:val="00E91A73"/>
    <w:rsid w:val="00E92C06"/>
    <w:rsid w:val="00E938A1"/>
    <w:rsid w:val="00E93A4D"/>
    <w:rsid w:val="00E94998"/>
    <w:rsid w:val="00E94EA5"/>
    <w:rsid w:val="00E950B4"/>
    <w:rsid w:val="00E950CB"/>
    <w:rsid w:val="00E95A46"/>
    <w:rsid w:val="00E95F9D"/>
    <w:rsid w:val="00E96F3B"/>
    <w:rsid w:val="00E97514"/>
    <w:rsid w:val="00E9756A"/>
    <w:rsid w:val="00EA0323"/>
    <w:rsid w:val="00EA064B"/>
    <w:rsid w:val="00EA09E8"/>
    <w:rsid w:val="00EA0A6E"/>
    <w:rsid w:val="00EA1931"/>
    <w:rsid w:val="00EA2FAC"/>
    <w:rsid w:val="00EA3370"/>
    <w:rsid w:val="00EA34B6"/>
    <w:rsid w:val="00EA39FE"/>
    <w:rsid w:val="00EA4564"/>
    <w:rsid w:val="00EA5B00"/>
    <w:rsid w:val="00EA5C12"/>
    <w:rsid w:val="00EA616C"/>
    <w:rsid w:val="00EA636B"/>
    <w:rsid w:val="00EB00DF"/>
    <w:rsid w:val="00EB05F3"/>
    <w:rsid w:val="00EB173B"/>
    <w:rsid w:val="00EB181E"/>
    <w:rsid w:val="00EB1F4A"/>
    <w:rsid w:val="00EB2B74"/>
    <w:rsid w:val="00EB2FBA"/>
    <w:rsid w:val="00EB39B9"/>
    <w:rsid w:val="00EB3A2D"/>
    <w:rsid w:val="00EB411F"/>
    <w:rsid w:val="00EB50F5"/>
    <w:rsid w:val="00EB5485"/>
    <w:rsid w:val="00EB636A"/>
    <w:rsid w:val="00EB6680"/>
    <w:rsid w:val="00EB71CC"/>
    <w:rsid w:val="00EB776A"/>
    <w:rsid w:val="00EB7B92"/>
    <w:rsid w:val="00EB7F24"/>
    <w:rsid w:val="00EC002D"/>
    <w:rsid w:val="00EC0AC7"/>
    <w:rsid w:val="00EC2712"/>
    <w:rsid w:val="00EC2B9C"/>
    <w:rsid w:val="00EC447B"/>
    <w:rsid w:val="00EC56BD"/>
    <w:rsid w:val="00EC59A5"/>
    <w:rsid w:val="00EC63E7"/>
    <w:rsid w:val="00EC67BE"/>
    <w:rsid w:val="00EC6EDF"/>
    <w:rsid w:val="00EC7AD7"/>
    <w:rsid w:val="00EC7E8C"/>
    <w:rsid w:val="00ED1454"/>
    <w:rsid w:val="00ED23C4"/>
    <w:rsid w:val="00ED335C"/>
    <w:rsid w:val="00ED39BD"/>
    <w:rsid w:val="00ED3AA2"/>
    <w:rsid w:val="00ED452E"/>
    <w:rsid w:val="00ED4C7F"/>
    <w:rsid w:val="00ED4E94"/>
    <w:rsid w:val="00ED5086"/>
    <w:rsid w:val="00ED519D"/>
    <w:rsid w:val="00ED52A9"/>
    <w:rsid w:val="00ED57C3"/>
    <w:rsid w:val="00ED702B"/>
    <w:rsid w:val="00ED72FA"/>
    <w:rsid w:val="00ED785A"/>
    <w:rsid w:val="00EE1310"/>
    <w:rsid w:val="00EE36C3"/>
    <w:rsid w:val="00EE47A9"/>
    <w:rsid w:val="00EE5C1B"/>
    <w:rsid w:val="00EE6172"/>
    <w:rsid w:val="00EE714B"/>
    <w:rsid w:val="00EE71B1"/>
    <w:rsid w:val="00EE76EA"/>
    <w:rsid w:val="00EE7EFC"/>
    <w:rsid w:val="00EF167D"/>
    <w:rsid w:val="00EF2018"/>
    <w:rsid w:val="00EF2117"/>
    <w:rsid w:val="00EF23D0"/>
    <w:rsid w:val="00EF2AD0"/>
    <w:rsid w:val="00EF31C8"/>
    <w:rsid w:val="00EF3351"/>
    <w:rsid w:val="00EF477B"/>
    <w:rsid w:val="00EF4BF6"/>
    <w:rsid w:val="00EF5DC4"/>
    <w:rsid w:val="00EF6BF2"/>
    <w:rsid w:val="00EF7E0F"/>
    <w:rsid w:val="00F00600"/>
    <w:rsid w:val="00F00EBF"/>
    <w:rsid w:val="00F01634"/>
    <w:rsid w:val="00F01C60"/>
    <w:rsid w:val="00F028DA"/>
    <w:rsid w:val="00F02D4B"/>
    <w:rsid w:val="00F031DD"/>
    <w:rsid w:val="00F03607"/>
    <w:rsid w:val="00F03694"/>
    <w:rsid w:val="00F0384B"/>
    <w:rsid w:val="00F04077"/>
    <w:rsid w:val="00F04668"/>
    <w:rsid w:val="00F04E13"/>
    <w:rsid w:val="00F05662"/>
    <w:rsid w:val="00F06232"/>
    <w:rsid w:val="00F073BE"/>
    <w:rsid w:val="00F10800"/>
    <w:rsid w:val="00F108DB"/>
    <w:rsid w:val="00F113DF"/>
    <w:rsid w:val="00F12F8B"/>
    <w:rsid w:val="00F14D52"/>
    <w:rsid w:val="00F15AEF"/>
    <w:rsid w:val="00F16036"/>
    <w:rsid w:val="00F16124"/>
    <w:rsid w:val="00F167FB"/>
    <w:rsid w:val="00F172EA"/>
    <w:rsid w:val="00F179B8"/>
    <w:rsid w:val="00F202F1"/>
    <w:rsid w:val="00F208A0"/>
    <w:rsid w:val="00F20E58"/>
    <w:rsid w:val="00F2130D"/>
    <w:rsid w:val="00F215EF"/>
    <w:rsid w:val="00F2172B"/>
    <w:rsid w:val="00F22586"/>
    <w:rsid w:val="00F22C67"/>
    <w:rsid w:val="00F2320E"/>
    <w:rsid w:val="00F24396"/>
    <w:rsid w:val="00F24479"/>
    <w:rsid w:val="00F24559"/>
    <w:rsid w:val="00F249F2"/>
    <w:rsid w:val="00F2557C"/>
    <w:rsid w:val="00F25E51"/>
    <w:rsid w:val="00F26170"/>
    <w:rsid w:val="00F2720D"/>
    <w:rsid w:val="00F2780F"/>
    <w:rsid w:val="00F27DE1"/>
    <w:rsid w:val="00F27EF5"/>
    <w:rsid w:val="00F30599"/>
    <w:rsid w:val="00F30F15"/>
    <w:rsid w:val="00F32220"/>
    <w:rsid w:val="00F32E94"/>
    <w:rsid w:val="00F34149"/>
    <w:rsid w:val="00F345BC"/>
    <w:rsid w:val="00F34749"/>
    <w:rsid w:val="00F3485C"/>
    <w:rsid w:val="00F34B8B"/>
    <w:rsid w:val="00F34EEA"/>
    <w:rsid w:val="00F3502B"/>
    <w:rsid w:val="00F36EBE"/>
    <w:rsid w:val="00F374C7"/>
    <w:rsid w:val="00F4074C"/>
    <w:rsid w:val="00F408E6"/>
    <w:rsid w:val="00F419A3"/>
    <w:rsid w:val="00F421DC"/>
    <w:rsid w:val="00F42501"/>
    <w:rsid w:val="00F42828"/>
    <w:rsid w:val="00F4412F"/>
    <w:rsid w:val="00F449F6"/>
    <w:rsid w:val="00F44D92"/>
    <w:rsid w:val="00F4538D"/>
    <w:rsid w:val="00F45686"/>
    <w:rsid w:val="00F45A54"/>
    <w:rsid w:val="00F45C0B"/>
    <w:rsid w:val="00F46D8D"/>
    <w:rsid w:val="00F47062"/>
    <w:rsid w:val="00F473A8"/>
    <w:rsid w:val="00F51EB5"/>
    <w:rsid w:val="00F520A2"/>
    <w:rsid w:val="00F522DA"/>
    <w:rsid w:val="00F52480"/>
    <w:rsid w:val="00F5374D"/>
    <w:rsid w:val="00F53C2D"/>
    <w:rsid w:val="00F54D07"/>
    <w:rsid w:val="00F5520A"/>
    <w:rsid w:val="00F5557E"/>
    <w:rsid w:val="00F5648C"/>
    <w:rsid w:val="00F5676B"/>
    <w:rsid w:val="00F57DB2"/>
    <w:rsid w:val="00F60157"/>
    <w:rsid w:val="00F6020F"/>
    <w:rsid w:val="00F609DD"/>
    <w:rsid w:val="00F60E50"/>
    <w:rsid w:val="00F61342"/>
    <w:rsid w:val="00F650FE"/>
    <w:rsid w:val="00F655F4"/>
    <w:rsid w:val="00F658C2"/>
    <w:rsid w:val="00F65AF6"/>
    <w:rsid w:val="00F6678C"/>
    <w:rsid w:val="00F668D5"/>
    <w:rsid w:val="00F6743D"/>
    <w:rsid w:val="00F7094D"/>
    <w:rsid w:val="00F712D6"/>
    <w:rsid w:val="00F71D46"/>
    <w:rsid w:val="00F72FA4"/>
    <w:rsid w:val="00F732FB"/>
    <w:rsid w:val="00F73685"/>
    <w:rsid w:val="00F73CF3"/>
    <w:rsid w:val="00F758A9"/>
    <w:rsid w:val="00F75E4E"/>
    <w:rsid w:val="00F76700"/>
    <w:rsid w:val="00F76D28"/>
    <w:rsid w:val="00F772F4"/>
    <w:rsid w:val="00F776D4"/>
    <w:rsid w:val="00F778CC"/>
    <w:rsid w:val="00F77A33"/>
    <w:rsid w:val="00F77FAF"/>
    <w:rsid w:val="00F80262"/>
    <w:rsid w:val="00F80755"/>
    <w:rsid w:val="00F80890"/>
    <w:rsid w:val="00F80C42"/>
    <w:rsid w:val="00F80D15"/>
    <w:rsid w:val="00F83244"/>
    <w:rsid w:val="00F83D20"/>
    <w:rsid w:val="00F8591B"/>
    <w:rsid w:val="00F85B39"/>
    <w:rsid w:val="00F85C1A"/>
    <w:rsid w:val="00F85D28"/>
    <w:rsid w:val="00F86AA5"/>
    <w:rsid w:val="00F87073"/>
    <w:rsid w:val="00F875FF"/>
    <w:rsid w:val="00F879BF"/>
    <w:rsid w:val="00F87A1A"/>
    <w:rsid w:val="00F87C8B"/>
    <w:rsid w:val="00F87F24"/>
    <w:rsid w:val="00F903C4"/>
    <w:rsid w:val="00F90A97"/>
    <w:rsid w:val="00F910E6"/>
    <w:rsid w:val="00F928D6"/>
    <w:rsid w:val="00F92F67"/>
    <w:rsid w:val="00F93684"/>
    <w:rsid w:val="00F94002"/>
    <w:rsid w:val="00F94B43"/>
    <w:rsid w:val="00F9525A"/>
    <w:rsid w:val="00F959FA"/>
    <w:rsid w:val="00F95C09"/>
    <w:rsid w:val="00F95E97"/>
    <w:rsid w:val="00F966AD"/>
    <w:rsid w:val="00F96D85"/>
    <w:rsid w:val="00F96FEA"/>
    <w:rsid w:val="00F97217"/>
    <w:rsid w:val="00F97A30"/>
    <w:rsid w:val="00F97B16"/>
    <w:rsid w:val="00FA0442"/>
    <w:rsid w:val="00FA09AA"/>
    <w:rsid w:val="00FA1046"/>
    <w:rsid w:val="00FA1335"/>
    <w:rsid w:val="00FA17BE"/>
    <w:rsid w:val="00FA31BF"/>
    <w:rsid w:val="00FA425D"/>
    <w:rsid w:val="00FA42B4"/>
    <w:rsid w:val="00FA433E"/>
    <w:rsid w:val="00FA4814"/>
    <w:rsid w:val="00FA4883"/>
    <w:rsid w:val="00FA4EF4"/>
    <w:rsid w:val="00FA502D"/>
    <w:rsid w:val="00FA5589"/>
    <w:rsid w:val="00FA5CB0"/>
    <w:rsid w:val="00FA6245"/>
    <w:rsid w:val="00FA66FF"/>
    <w:rsid w:val="00FA7825"/>
    <w:rsid w:val="00FA7993"/>
    <w:rsid w:val="00FB10B1"/>
    <w:rsid w:val="00FB1A76"/>
    <w:rsid w:val="00FB21F4"/>
    <w:rsid w:val="00FB2AF5"/>
    <w:rsid w:val="00FB3294"/>
    <w:rsid w:val="00FB3A81"/>
    <w:rsid w:val="00FB44EF"/>
    <w:rsid w:val="00FB44FD"/>
    <w:rsid w:val="00FB57B4"/>
    <w:rsid w:val="00FB5C0D"/>
    <w:rsid w:val="00FB641E"/>
    <w:rsid w:val="00FB6AC8"/>
    <w:rsid w:val="00FB6D7F"/>
    <w:rsid w:val="00FB785A"/>
    <w:rsid w:val="00FB7F99"/>
    <w:rsid w:val="00FC0361"/>
    <w:rsid w:val="00FC0677"/>
    <w:rsid w:val="00FC0E2B"/>
    <w:rsid w:val="00FC3420"/>
    <w:rsid w:val="00FC49E6"/>
    <w:rsid w:val="00FC55D9"/>
    <w:rsid w:val="00FC5F74"/>
    <w:rsid w:val="00FC6367"/>
    <w:rsid w:val="00FC69EF"/>
    <w:rsid w:val="00FC6FAC"/>
    <w:rsid w:val="00FC7B9F"/>
    <w:rsid w:val="00FD0DF5"/>
    <w:rsid w:val="00FD348F"/>
    <w:rsid w:val="00FD399E"/>
    <w:rsid w:val="00FD4260"/>
    <w:rsid w:val="00FD46DD"/>
    <w:rsid w:val="00FD4F16"/>
    <w:rsid w:val="00FD54F9"/>
    <w:rsid w:val="00FD5912"/>
    <w:rsid w:val="00FD700C"/>
    <w:rsid w:val="00FD7CBE"/>
    <w:rsid w:val="00FE031B"/>
    <w:rsid w:val="00FE129A"/>
    <w:rsid w:val="00FE198A"/>
    <w:rsid w:val="00FE1BE3"/>
    <w:rsid w:val="00FE3053"/>
    <w:rsid w:val="00FE311E"/>
    <w:rsid w:val="00FE4287"/>
    <w:rsid w:val="00FE4910"/>
    <w:rsid w:val="00FE53F7"/>
    <w:rsid w:val="00FE567F"/>
    <w:rsid w:val="00FE667C"/>
    <w:rsid w:val="00FE6CC0"/>
    <w:rsid w:val="00FF18C0"/>
    <w:rsid w:val="00FF21EC"/>
    <w:rsid w:val="00FF3E16"/>
    <w:rsid w:val="00FF4DCD"/>
    <w:rsid w:val="00FF51C4"/>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F204FD"/>
  <w15:docId w15:val="{7D29DABE-AD15-42C4-BD09-83A08B1F8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71BA9"/>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style>
  <w:style w:type="character" w:customStyle="1" w:styleId="EncabezadoCar">
    <w:name w:val="Encabezado Car"/>
    <w:link w:val="Encabezado"/>
    <w:uiPriority w:val="99"/>
    <w:rsid w:val="009B198F"/>
    <w:rPr>
      <w:rFonts w:ascii="Times New Roman" w:eastAsia="Times New Roman" w:hAnsi="Times New Roman" w:cs="Times New Roman"/>
      <w:sz w:val="24"/>
      <w:szCs w:val="24"/>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character" w:customStyle="1" w:styleId="PrrafodelistaCar">
    <w:name w:val="Párrafo de lista Car"/>
    <w:aliases w:val="Párrafo de lista 2 Car"/>
    <w:link w:val="Prrafodelista"/>
    <w:uiPriority w:val="34"/>
    <w:rsid w:val="005A6477"/>
    <w:rPr>
      <w:rFonts w:ascii="Times New Roman" w:eastAsia="Times New Roman" w:hAnsi="Times New Roman"/>
      <w:sz w:val="24"/>
      <w:szCs w:val="24"/>
      <w:lang w:val="es-ES" w:eastAsia="es-ES"/>
    </w:r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uiPriority w:val="99"/>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EB2FBA"/>
    <w:pPr>
      <w:pBdr>
        <w:top w:val="thinThickSmallGap" w:sz="24" w:space="1" w:color="585858"/>
      </w:pBdr>
      <w:tabs>
        <w:tab w:val="center" w:pos="4419"/>
        <w:tab w:val="right" w:pos="8838"/>
      </w:tabs>
    </w:pPr>
    <w:rPr>
      <w:rFonts w:ascii="Constantia" w:hAnsi="Constantia"/>
    </w:rPr>
  </w:style>
  <w:style w:type="character" w:customStyle="1" w:styleId="PiedepginaCar">
    <w:name w:val="Pie de página Car"/>
    <w:link w:val="Piedepgina"/>
    <w:uiPriority w:val="99"/>
    <w:rsid w:val="00EB2FBA"/>
    <w:rPr>
      <w:rFonts w:ascii="Constantia" w:eastAsia="Times New Roman" w:hAnsi="Constantia"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lang w:val="es-GT" w:eastAsia="es-GT"/>
    </w:rPr>
  </w:style>
  <w:style w:type="paragraph" w:styleId="Sinespaciado">
    <w:name w:val="No Spacing"/>
    <w:link w:val="SinespaciadoCar"/>
    <w:uiPriority w:val="1"/>
    <w:qFormat/>
    <w:rsid w:val="00C7413E"/>
    <w:rPr>
      <w:rFonts w:ascii="Constantia" w:eastAsia="Times New Roman" w:hAnsi="Constantia"/>
      <w:sz w:val="24"/>
      <w:szCs w:val="24"/>
      <w:lang w:val="es-ES_tradnl" w:eastAsia="ja-JP"/>
    </w:rPr>
  </w:style>
  <w:style w:type="character" w:customStyle="1" w:styleId="SinespaciadoCar">
    <w:name w:val="Sin espaciado Car"/>
    <w:basedOn w:val="Fuentedeprrafopredeter"/>
    <w:link w:val="Sinespaciado"/>
    <w:uiPriority w:val="1"/>
    <w:locked/>
    <w:rsid w:val="005B1AE1"/>
    <w:rPr>
      <w:rFonts w:ascii="Constantia" w:eastAsia="Times New Roman" w:hAnsi="Constantia"/>
      <w:sz w:val="24"/>
      <w:szCs w:val="24"/>
      <w:lang w:val="es-ES_tradnl" w:eastAsia="ja-JP"/>
    </w:rPr>
  </w:style>
  <w:style w:type="paragraph" w:styleId="TtuloTDC">
    <w:name w:val="TOC Heading"/>
    <w:basedOn w:val="Ttulo1"/>
    <w:next w:val="Normal"/>
    <w:uiPriority w:val="39"/>
    <w:unhideWhenUsed/>
    <w:qFormat/>
    <w:rsid w:val="00D61558"/>
    <w:pPr>
      <w:keepLines/>
      <w:numPr>
        <w:numId w:val="0"/>
      </w:numPr>
      <w:spacing w:before="480" w:line="276" w:lineRule="auto"/>
      <w:outlineLvl w:val="9"/>
    </w:pPr>
    <w:rPr>
      <w:rFonts w:ascii="Constantia" w:hAnsi="Constantia"/>
      <w:color w:val="A5A5A5"/>
      <w:sz w:val="28"/>
      <w:szCs w:val="28"/>
      <w:lang w:val="es-GT" w:eastAsia="es-GT"/>
    </w:rPr>
  </w:style>
  <w:style w:type="paragraph" w:styleId="TDC1">
    <w:name w:val="toc 1"/>
    <w:basedOn w:val="Normal"/>
    <w:next w:val="Normal"/>
    <w:autoRedefine/>
    <w:uiPriority w:val="39"/>
    <w:unhideWhenUsed/>
    <w:rsid w:val="00383CA7"/>
    <w:pPr>
      <w:tabs>
        <w:tab w:val="left" w:pos="480"/>
        <w:tab w:val="right" w:leader="dot" w:pos="9062"/>
      </w:tabs>
      <w:spacing w:after="100"/>
      <w:jc w:val="both"/>
    </w:pPr>
  </w:style>
  <w:style w:type="paragraph" w:styleId="TDC2">
    <w:name w:val="toc 2"/>
    <w:basedOn w:val="Normal"/>
    <w:next w:val="Normal"/>
    <w:autoRedefine/>
    <w:uiPriority w:val="39"/>
    <w:unhideWhenUsed/>
    <w:rsid w:val="00AB0496"/>
    <w:pPr>
      <w:tabs>
        <w:tab w:val="left" w:pos="880"/>
        <w:tab w:val="right" w:leader="dot" w:pos="9072"/>
      </w:tabs>
      <w:spacing w:after="100"/>
      <w:ind w:left="240"/>
      <w:jc w:val="both"/>
    </w:pPr>
  </w:style>
  <w:style w:type="paragraph" w:styleId="TDC3">
    <w:name w:val="toc 3"/>
    <w:basedOn w:val="Normal"/>
    <w:next w:val="Normal"/>
    <w:autoRedefine/>
    <w:uiPriority w:val="39"/>
    <w:unhideWhenUsed/>
    <w:rsid w:val="004F48BD"/>
    <w:pPr>
      <w:tabs>
        <w:tab w:val="left" w:pos="1100"/>
        <w:tab w:val="right" w:leader="dot" w:pos="9062"/>
      </w:tabs>
      <w:spacing w:after="100"/>
      <w:ind w:left="480"/>
      <w:jc w:val="both"/>
    </w:pPr>
  </w:style>
  <w:style w:type="character" w:styleId="Refdecomentario">
    <w:name w:val="annotation reference"/>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link w:val="Asuntodelcomentario"/>
    <w:uiPriority w:val="99"/>
    <w:semiHidden/>
    <w:rsid w:val="00B372A0"/>
    <w:rPr>
      <w:rFonts w:ascii="Times New Roman" w:eastAsia="Times New Roman" w:hAnsi="Times New Roman"/>
      <w:b/>
      <w:bCs/>
      <w:lang w:val="es-ES" w:eastAsia="es-ES"/>
    </w:rPr>
  </w:style>
  <w:style w:type="table" w:customStyle="1" w:styleId="Listamedia2-nfasis11">
    <w:name w:val="Lista media 2 - Énfasis 11"/>
    <w:basedOn w:val="Tablanormal"/>
    <w:uiPriority w:val="66"/>
    <w:rsid w:val="0085525B"/>
    <w:rPr>
      <w:rFonts w:ascii="Cambria" w:eastAsia="Times New Roman" w:hAnsi="Cambria"/>
      <w:color w:val="000000"/>
      <w:sz w:val="22"/>
      <w:szCs w:val="22"/>
      <w:lang w:val="es-E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stamedia2-nfasis1">
    <w:name w:val="Medium List 2 Accent 1"/>
    <w:basedOn w:val="Tablanormal"/>
    <w:uiPriority w:val="66"/>
    <w:rsid w:val="0085525B"/>
    <w:rPr>
      <w:rFonts w:ascii="Constantia" w:eastAsia="Times New Roman" w:hAnsi="Constantia"/>
      <w:color w:val="000000"/>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sz w:val="24"/>
        <w:szCs w:val="24"/>
      </w:rPr>
      <w:tblPr/>
      <w:tcPr>
        <w:tcBorders>
          <w:top w:val="nil"/>
          <w:left w:val="nil"/>
          <w:bottom w:val="single" w:sz="24" w:space="0" w:color="DDDDDD"/>
          <w:right w:val="nil"/>
          <w:insideH w:val="nil"/>
          <w:insideV w:val="nil"/>
        </w:tcBorders>
        <w:shd w:val="clear" w:color="auto" w:fill="FFFFFF"/>
      </w:tcPr>
    </w:tblStylePr>
    <w:tblStylePr w:type="lastRow">
      <w:tblPr/>
      <w:tcPr>
        <w:tcBorders>
          <w:top w:val="single" w:sz="8" w:space="0" w:color="DDDDDD"/>
          <w:left w:val="nil"/>
          <w:bottom w:val="nil"/>
          <w:right w:val="nil"/>
          <w:insideH w:val="nil"/>
          <w:insideV w:val="nil"/>
        </w:tcBorders>
        <w:shd w:val="clear" w:color="auto" w:fill="FFFFFF"/>
      </w:tcPr>
    </w:tblStylePr>
    <w:tblStylePr w:type="firstCol">
      <w:tblPr/>
      <w:tcPr>
        <w:tcBorders>
          <w:top w:val="nil"/>
          <w:left w:val="nil"/>
          <w:bottom w:val="nil"/>
          <w:right w:val="single" w:sz="8" w:space="0" w:color="DDDDDD"/>
          <w:insideH w:val="nil"/>
          <w:insideV w:val="nil"/>
        </w:tcBorders>
        <w:shd w:val="clear" w:color="auto" w:fill="FFFFFF"/>
      </w:tcPr>
    </w:tblStylePr>
    <w:tblStylePr w:type="lastCol">
      <w:tblPr/>
      <w:tcPr>
        <w:tcBorders>
          <w:top w:val="nil"/>
          <w:left w:val="single" w:sz="8" w:space="0" w:color="DDDDD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F6F6"/>
      </w:tcPr>
    </w:tblStylePr>
    <w:tblStylePr w:type="band1Horz">
      <w:tblPr/>
      <w:tcPr>
        <w:tcBorders>
          <w:top w:val="nil"/>
          <w:bottom w:val="nil"/>
          <w:insideH w:val="nil"/>
          <w:insideV w:val="nil"/>
        </w:tcBorders>
        <w:shd w:val="clear" w:color="auto" w:fill="F6F6F6"/>
      </w:tcPr>
    </w:tblStylePr>
    <w:tblStylePr w:type="nwCell">
      <w:tblPr/>
      <w:tcPr>
        <w:shd w:val="clear" w:color="auto" w:fill="FFFFFF"/>
      </w:tcPr>
    </w:tblStylePr>
    <w:tblStylePr w:type="swCell">
      <w:tblPr/>
      <w:tcPr>
        <w:tcBorders>
          <w:top w:val="nil"/>
        </w:tcBorders>
      </w:tcPr>
    </w:tblStylePr>
  </w:style>
  <w:style w:type="table" w:customStyle="1" w:styleId="Tablaconcuadrcula1">
    <w:name w:val="Tabla con cuadrícula1"/>
    <w:basedOn w:val="Tablanormal"/>
    <w:next w:val="Tablaconcuadrcula"/>
    <w:uiPriority w:val="59"/>
    <w:rsid w:val="00DA6BDB"/>
    <w:rPr>
      <w:rFonts w:ascii="Times New Roman" w:eastAsia="Times New Roman" w:hAnsi="Times New Roman"/>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link w:val="DescripcinCar"/>
    <w:uiPriority w:val="35"/>
    <w:unhideWhenUsed/>
    <w:qFormat/>
    <w:rsid w:val="00DB0F04"/>
    <w:pPr>
      <w:spacing w:after="200"/>
    </w:pPr>
    <w:rPr>
      <w:rFonts w:asciiTheme="minorHAnsi" w:eastAsiaTheme="minorHAnsi" w:hAnsiTheme="minorHAnsi" w:cstheme="minorBidi"/>
      <w:i/>
      <w:iCs/>
      <w:color w:val="000000" w:themeColor="text2"/>
      <w:sz w:val="18"/>
      <w:szCs w:val="18"/>
      <w:lang w:val="es-GT" w:eastAsia="en-US"/>
    </w:rPr>
  </w:style>
  <w:style w:type="character" w:customStyle="1" w:styleId="DescripcinCar">
    <w:name w:val="Descripción Car"/>
    <w:basedOn w:val="Fuentedeprrafopredeter"/>
    <w:link w:val="Descripcin"/>
    <w:uiPriority w:val="35"/>
    <w:rsid w:val="00F34749"/>
    <w:rPr>
      <w:rFonts w:asciiTheme="minorHAnsi" w:eastAsiaTheme="minorHAnsi" w:hAnsiTheme="minorHAnsi" w:cstheme="minorBidi"/>
      <w:i/>
      <w:iCs/>
      <w:color w:val="000000" w:themeColor="text2"/>
      <w:sz w:val="18"/>
      <w:szCs w:val="18"/>
      <w:lang w:val="es-GT" w:eastAsia="en-US"/>
    </w:rPr>
  </w:style>
  <w:style w:type="paragraph" w:customStyle="1" w:styleId="TableHeading">
    <w:name w:val="Table Heading"/>
    <w:basedOn w:val="Normal"/>
    <w:qFormat/>
    <w:rsid w:val="00217D82"/>
    <w:pPr>
      <w:suppressLineNumbers/>
      <w:overflowPunct w:val="0"/>
      <w:jc w:val="center"/>
    </w:pPr>
    <w:rPr>
      <w:rFonts w:ascii="Liberation Serif" w:eastAsia="Noto Serif CJK SC" w:hAnsi="Liberation Serif" w:cs="Droid Sans Devanagari"/>
      <w:b/>
      <w:bCs/>
      <w:kern w:val="2"/>
      <w:lang w:val="es-GT" w:eastAsia="zh-CN" w:bidi="hi-IN"/>
    </w:rPr>
  </w:style>
  <w:style w:type="paragraph" w:customStyle="1" w:styleId="TableContents">
    <w:name w:val="Table Contents"/>
    <w:basedOn w:val="Normal"/>
    <w:qFormat/>
    <w:rsid w:val="00217D82"/>
    <w:pPr>
      <w:suppressLineNumbers/>
    </w:pPr>
    <w:rPr>
      <w:rFonts w:ascii="Liberation Serif" w:eastAsia="Noto Serif CJK SC" w:hAnsi="Liberation Serif" w:cs="Droid Sans Devanagari"/>
      <w:kern w:val="2"/>
      <w:lang w:val="es-GT" w:eastAsia="zh-CN" w:bidi="hi-IN"/>
    </w:rPr>
  </w:style>
  <w:style w:type="paragraph" w:customStyle="1" w:styleId="Tabla">
    <w:name w:val="Tabla"/>
    <w:basedOn w:val="Descripcin"/>
    <w:qFormat/>
    <w:rsid w:val="00217D82"/>
    <w:pPr>
      <w:suppressLineNumbers/>
      <w:spacing w:before="120" w:after="120"/>
    </w:pPr>
    <w:rPr>
      <w:rFonts w:ascii="Liberation Serif" w:eastAsia="Noto Serif CJK SC" w:hAnsi="Liberation Serif" w:cs="Droid Sans Devanagari"/>
      <w:color w:val="auto"/>
      <w:kern w:val="2"/>
      <w:sz w:val="24"/>
      <w:szCs w:val="24"/>
      <w:lang w:eastAsia="zh-CN" w:bidi="hi-IN"/>
    </w:rPr>
  </w:style>
  <w:style w:type="character" w:styleId="nfasis">
    <w:name w:val="Emphasis"/>
    <w:basedOn w:val="Fuentedeprrafopredeter"/>
    <w:uiPriority w:val="20"/>
    <w:qFormat/>
    <w:rsid w:val="00217D82"/>
    <w:rPr>
      <w:i/>
      <w:iCs/>
    </w:rPr>
  </w:style>
  <w:style w:type="character" w:customStyle="1" w:styleId="A6">
    <w:name w:val="A6"/>
    <w:uiPriority w:val="99"/>
    <w:rsid w:val="00217D82"/>
    <w:rPr>
      <w:rFonts w:cs="Atlas Grotesk Regular"/>
      <w:color w:val="000000"/>
      <w:sz w:val="22"/>
      <w:szCs w:val="22"/>
    </w:rPr>
  </w:style>
  <w:style w:type="table" w:styleId="Tablaconcuadrcula3-nfasis1">
    <w:name w:val="Grid Table 3 Accent 1"/>
    <w:basedOn w:val="Tablanormal"/>
    <w:uiPriority w:val="48"/>
    <w:rsid w:val="00742D4F"/>
    <w:rPr>
      <w:rFonts w:asciiTheme="minorHAnsi" w:eastAsia="Times New Roman" w:hAnsiTheme="minorHAnsi"/>
      <w:sz w:val="22"/>
      <w:szCs w:val="22"/>
      <w:lang w:val="es-GT" w:eastAsia="en-US"/>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rFonts w:cs="Times New Roman"/>
        <w:b/>
        <w:bCs/>
      </w:rPr>
      <w:tblPr/>
      <w:tcPr>
        <w:tcBorders>
          <w:top w:val="nil"/>
          <w:left w:val="nil"/>
          <w:right w:val="nil"/>
          <w:insideH w:val="nil"/>
          <w:insideV w:val="nil"/>
        </w:tcBorders>
        <w:shd w:val="clear" w:color="auto" w:fill="FFFFFF" w:themeFill="background1"/>
      </w:tcPr>
    </w:tblStylePr>
    <w:tblStylePr w:type="lastRow">
      <w:rPr>
        <w:rFonts w:cs="Times New Roman"/>
        <w:b/>
        <w:bCs/>
      </w:rPr>
      <w:tblPr/>
      <w:tcPr>
        <w:tcBorders>
          <w:left w:val="nil"/>
          <w:bottom w:val="nil"/>
          <w:right w:val="nil"/>
          <w:insideH w:val="nil"/>
          <w:insideV w:val="nil"/>
        </w:tcBorders>
        <w:shd w:val="clear" w:color="auto" w:fill="FFFFFF" w:themeFill="background1"/>
      </w:tcPr>
    </w:tblStylePr>
    <w:tblStylePr w:type="firstCol">
      <w:pPr>
        <w:jc w:val="right"/>
      </w:pPr>
      <w:rPr>
        <w:rFonts w:cs="Times New Roman"/>
        <w:i/>
        <w:iCs/>
      </w:rPr>
      <w:tblPr/>
      <w:tcPr>
        <w:tcBorders>
          <w:top w:val="nil"/>
          <w:left w:val="nil"/>
          <w:bottom w:val="nil"/>
          <w:insideH w:val="nil"/>
          <w:insideV w:val="nil"/>
        </w:tcBorders>
        <w:shd w:val="clear" w:color="auto" w:fill="FFFFFF" w:themeFill="background1"/>
      </w:tcPr>
    </w:tblStylePr>
    <w:tblStylePr w:type="lastCol">
      <w:rPr>
        <w:rFonts w:cs="Times New Roman"/>
        <w:i/>
        <w:iCs/>
      </w:rPr>
      <w:tblPr/>
      <w:tcPr>
        <w:tcBorders>
          <w:top w:val="nil"/>
          <w:bottom w:val="nil"/>
          <w:right w:val="nil"/>
          <w:insideH w:val="nil"/>
          <w:insideV w:val="nil"/>
        </w:tcBorders>
        <w:shd w:val="clear" w:color="auto" w:fill="FFFFFF" w:themeFill="background1"/>
      </w:tcPr>
    </w:tblStylePr>
    <w:tblStylePr w:type="band1Vert">
      <w:rPr>
        <w:rFonts w:cs="Times New Roman"/>
      </w:rPr>
      <w:tblPr/>
      <w:tcPr>
        <w:shd w:val="clear" w:color="auto" w:fill="F8F8F8" w:themeFill="accent1" w:themeFillTint="33"/>
      </w:tcPr>
    </w:tblStylePr>
    <w:tblStylePr w:type="band1Horz">
      <w:rPr>
        <w:rFonts w:cs="Times New Roman"/>
      </w:rPr>
      <w:tblPr/>
      <w:tcPr>
        <w:shd w:val="clear" w:color="auto" w:fill="F8F8F8" w:themeFill="accent1" w:themeFillTint="33"/>
      </w:tcPr>
    </w:tblStylePr>
    <w:tblStylePr w:type="neCell">
      <w:rPr>
        <w:rFonts w:cs="Times New Roman"/>
      </w:rPr>
      <w:tblPr/>
      <w:tcPr>
        <w:tcBorders>
          <w:bottom w:val="single" w:sz="4" w:space="0" w:color="EAEAEA" w:themeColor="accent1" w:themeTint="99"/>
        </w:tcBorders>
      </w:tcPr>
    </w:tblStylePr>
    <w:tblStylePr w:type="nwCell">
      <w:rPr>
        <w:rFonts w:cs="Times New Roman"/>
      </w:rPr>
      <w:tblPr/>
      <w:tcPr>
        <w:tcBorders>
          <w:bottom w:val="single" w:sz="4" w:space="0" w:color="EAEAEA" w:themeColor="accent1" w:themeTint="99"/>
        </w:tcBorders>
      </w:tcPr>
    </w:tblStylePr>
    <w:tblStylePr w:type="seCell">
      <w:rPr>
        <w:rFonts w:cs="Times New Roman"/>
      </w:rPr>
      <w:tblPr/>
      <w:tcPr>
        <w:tcBorders>
          <w:top w:val="single" w:sz="4" w:space="0" w:color="EAEAEA" w:themeColor="accent1" w:themeTint="99"/>
        </w:tcBorders>
      </w:tcPr>
    </w:tblStylePr>
    <w:tblStylePr w:type="swCell">
      <w:rPr>
        <w:rFonts w:cs="Times New Roman"/>
      </w:rPr>
      <w:tblPr/>
      <w:tcPr>
        <w:tcBorders>
          <w:top w:val="single" w:sz="4" w:space="0" w:color="EAEAEA" w:themeColor="accent1" w:themeTint="99"/>
        </w:tcBorders>
      </w:tcPr>
    </w:tblStylePr>
  </w:style>
  <w:style w:type="paragraph" w:styleId="Citadestacada">
    <w:name w:val="Intense Quote"/>
    <w:basedOn w:val="Normal"/>
    <w:next w:val="Normal"/>
    <w:link w:val="CitadestacadaCar"/>
    <w:uiPriority w:val="30"/>
    <w:qFormat/>
    <w:rsid w:val="00742D4F"/>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CitadestacadaCar">
    <w:name w:val="Cita destacada Car"/>
    <w:basedOn w:val="Fuentedeprrafopredeter"/>
    <w:link w:val="Citadestacada"/>
    <w:uiPriority w:val="30"/>
    <w:rsid w:val="00742D4F"/>
    <w:rPr>
      <w:rFonts w:ascii="Times New Roman" w:eastAsia="Times New Roman" w:hAnsi="Times New Roman"/>
      <w:i/>
      <w:iCs/>
      <w:color w:val="DDDDDD" w:themeColor="accent1"/>
      <w:sz w:val="24"/>
      <w:szCs w:val="24"/>
      <w:lang w:val="es-ES" w:eastAsia="es-ES"/>
    </w:rPr>
  </w:style>
  <w:style w:type="paragraph" w:styleId="Tabladeilustraciones">
    <w:name w:val="table of figures"/>
    <w:basedOn w:val="Normal"/>
    <w:next w:val="Normal"/>
    <w:uiPriority w:val="99"/>
    <w:unhideWhenUsed/>
    <w:rsid w:val="00742D4F"/>
  </w:style>
  <w:style w:type="character" w:styleId="Mencinsinresolver">
    <w:name w:val="Unresolved Mention"/>
    <w:basedOn w:val="Fuentedeprrafopredeter"/>
    <w:uiPriority w:val="99"/>
    <w:semiHidden/>
    <w:unhideWhenUsed/>
    <w:rsid w:val="00DF1E9F"/>
    <w:rPr>
      <w:color w:val="605E5C"/>
      <w:shd w:val="clear" w:color="auto" w:fill="E1DFDD"/>
    </w:rPr>
  </w:style>
  <w:style w:type="table" w:customStyle="1" w:styleId="Tablaconcuadrcula2">
    <w:name w:val="Tabla con cuadrícula2"/>
    <w:basedOn w:val="Tablanormal"/>
    <w:next w:val="Tablaconcuadrcula"/>
    <w:uiPriority w:val="59"/>
    <w:rsid w:val="00B545D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1863">
      <w:bodyDiv w:val="1"/>
      <w:marLeft w:val="0"/>
      <w:marRight w:val="0"/>
      <w:marTop w:val="0"/>
      <w:marBottom w:val="0"/>
      <w:divBdr>
        <w:top w:val="none" w:sz="0" w:space="0" w:color="auto"/>
        <w:left w:val="none" w:sz="0" w:space="0" w:color="auto"/>
        <w:bottom w:val="none" w:sz="0" w:space="0" w:color="auto"/>
        <w:right w:val="none" w:sz="0" w:space="0" w:color="auto"/>
      </w:divBdr>
    </w:div>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19479179">
      <w:bodyDiv w:val="1"/>
      <w:marLeft w:val="0"/>
      <w:marRight w:val="0"/>
      <w:marTop w:val="0"/>
      <w:marBottom w:val="0"/>
      <w:divBdr>
        <w:top w:val="none" w:sz="0" w:space="0" w:color="auto"/>
        <w:left w:val="none" w:sz="0" w:space="0" w:color="auto"/>
        <w:bottom w:val="none" w:sz="0" w:space="0" w:color="auto"/>
        <w:right w:val="none" w:sz="0" w:space="0" w:color="auto"/>
      </w:divBdr>
    </w:div>
    <w:div w:id="22218641">
      <w:bodyDiv w:val="1"/>
      <w:marLeft w:val="0"/>
      <w:marRight w:val="0"/>
      <w:marTop w:val="0"/>
      <w:marBottom w:val="0"/>
      <w:divBdr>
        <w:top w:val="none" w:sz="0" w:space="0" w:color="auto"/>
        <w:left w:val="none" w:sz="0" w:space="0" w:color="auto"/>
        <w:bottom w:val="none" w:sz="0" w:space="0" w:color="auto"/>
        <w:right w:val="none" w:sz="0" w:space="0" w:color="auto"/>
      </w:divBdr>
    </w:div>
    <w:div w:id="74597903">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124812311">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277689072">
      <w:bodyDiv w:val="1"/>
      <w:marLeft w:val="0"/>
      <w:marRight w:val="0"/>
      <w:marTop w:val="0"/>
      <w:marBottom w:val="0"/>
      <w:divBdr>
        <w:top w:val="none" w:sz="0" w:space="0" w:color="auto"/>
        <w:left w:val="none" w:sz="0" w:space="0" w:color="auto"/>
        <w:bottom w:val="none" w:sz="0" w:space="0" w:color="auto"/>
        <w:right w:val="none" w:sz="0" w:space="0" w:color="auto"/>
      </w:divBdr>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398746429">
      <w:bodyDiv w:val="1"/>
      <w:marLeft w:val="0"/>
      <w:marRight w:val="0"/>
      <w:marTop w:val="0"/>
      <w:marBottom w:val="0"/>
      <w:divBdr>
        <w:top w:val="none" w:sz="0" w:space="0" w:color="auto"/>
        <w:left w:val="none" w:sz="0" w:space="0" w:color="auto"/>
        <w:bottom w:val="none" w:sz="0" w:space="0" w:color="auto"/>
        <w:right w:val="none" w:sz="0" w:space="0" w:color="auto"/>
      </w:divBdr>
    </w:div>
    <w:div w:id="403335456">
      <w:bodyDiv w:val="1"/>
      <w:marLeft w:val="0"/>
      <w:marRight w:val="0"/>
      <w:marTop w:val="0"/>
      <w:marBottom w:val="0"/>
      <w:divBdr>
        <w:top w:val="none" w:sz="0" w:space="0" w:color="auto"/>
        <w:left w:val="none" w:sz="0" w:space="0" w:color="auto"/>
        <w:bottom w:val="none" w:sz="0" w:space="0" w:color="auto"/>
        <w:right w:val="none" w:sz="0" w:space="0" w:color="auto"/>
      </w:divBdr>
    </w:div>
    <w:div w:id="438334676">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53980856">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494607275">
      <w:bodyDiv w:val="1"/>
      <w:marLeft w:val="0"/>
      <w:marRight w:val="0"/>
      <w:marTop w:val="0"/>
      <w:marBottom w:val="0"/>
      <w:divBdr>
        <w:top w:val="none" w:sz="0" w:space="0" w:color="auto"/>
        <w:left w:val="none" w:sz="0" w:space="0" w:color="auto"/>
        <w:bottom w:val="none" w:sz="0" w:space="0" w:color="auto"/>
        <w:right w:val="none" w:sz="0" w:space="0" w:color="auto"/>
      </w:divBdr>
    </w:div>
    <w:div w:id="524638195">
      <w:bodyDiv w:val="1"/>
      <w:marLeft w:val="0"/>
      <w:marRight w:val="0"/>
      <w:marTop w:val="0"/>
      <w:marBottom w:val="0"/>
      <w:divBdr>
        <w:top w:val="none" w:sz="0" w:space="0" w:color="auto"/>
        <w:left w:val="none" w:sz="0" w:space="0" w:color="auto"/>
        <w:bottom w:val="none" w:sz="0" w:space="0" w:color="auto"/>
        <w:right w:val="none" w:sz="0" w:space="0" w:color="auto"/>
      </w:divBdr>
    </w:div>
    <w:div w:id="532572793">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0306928">
      <w:bodyDiv w:val="1"/>
      <w:marLeft w:val="0"/>
      <w:marRight w:val="0"/>
      <w:marTop w:val="0"/>
      <w:marBottom w:val="0"/>
      <w:divBdr>
        <w:top w:val="none" w:sz="0" w:space="0" w:color="auto"/>
        <w:left w:val="none" w:sz="0" w:space="0" w:color="auto"/>
        <w:bottom w:val="none" w:sz="0" w:space="0" w:color="auto"/>
        <w:right w:val="none" w:sz="0" w:space="0" w:color="auto"/>
      </w:divBdr>
    </w:div>
    <w:div w:id="562522481">
      <w:bodyDiv w:val="1"/>
      <w:marLeft w:val="0"/>
      <w:marRight w:val="0"/>
      <w:marTop w:val="0"/>
      <w:marBottom w:val="0"/>
      <w:divBdr>
        <w:top w:val="none" w:sz="0" w:space="0" w:color="auto"/>
        <w:left w:val="none" w:sz="0" w:space="0" w:color="auto"/>
        <w:bottom w:val="none" w:sz="0" w:space="0" w:color="auto"/>
        <w:right w:val="none" w:sz="0" w:space="0" w:color="auto"/>
      </w:divBdr>
    </w:div>
    <w:div w:id="571045068">
      <w:bodyDiv w:val="1"/>
      <w:marLeft w:val="0"/>
      <w:marRight w:val="0"/>
      <w:marTop w:val="0"/>
      <w:marBottom w:val="0"/>
      <w:divBdr>
        <w:top w:val="none" w:sz="0" w:space="0" w:color="auto"/>
        <w:left w:val="none" w:sz="0" w:space="0" w:color="auto"/>
        <w:bottom w:val="none" w:sz="0" w:space="0" w:color="auto"/>
        <w:right w:val="none" w:sz="0" w:space="0" w:color="auto"/>
      </w:divBdr>
    </w:div>
    <w:div w:id="599878590">
      <w:bodyDiv w:val="1"/>
      <w:marLeft w:val="0"/>
      <w:marRight w:val="0"/>
      <w:marTop w:val="0"/>
      <w:marBottom w:val="0"/>
      <w:divBdr>
        <w:top w:val="none" w:sz="0" w:space="0" w:color="auto"/>
        <w:left w:val="none" w:sz="0" w:space="0" w:color="auto"/>
        <w:bottom w:val="none" w:sz="0" w:space="0" w:color="auto"/>
        <w:right w:val="none" w:sz="0" w:space="0" w:color="auto"/>
      </w:divBdr>
    </w:div>
    <w:div w:id="622032882">
      <w:bodyDiv w:val="1"/>
      <w:marLeft w:val="0"/>
      <w:marRight w:val="0"/>
      <w:marTop w:val="0"/>
      <w:marBottom w:val="0"/>
      <w:divBdr>
        <w:top w:val="none" w:sz="0" w:space="0" w:color="auto"/>
        <w:left w:val="none" w:sz="0" w:space="0" w:color="auto"/>
        <w:bottom w:val="none" w:sz="0" w:space="0" w:color="auto"/>
        <w:right w:val="none" w:sz="0" w:space="0" w:color="auto"/>
      </w:divBdr>
    </w:div>
    <w:div w:id="625234014">
      <w:bodyDiv w:val="1"/>
      <w:marLeft w:val="0"/>
      <w:marRight w:val="0"/>
      <w:marTop w:val="0"/>
      <w:marBottom w:val="0"/>
      <w:divBdr>
        <w:top w:val="none" w:sz="0" w:space="0" w:color="auto"/>
        <w:left w:val="none" w:sz="0" w:space="0" w:color="auto"/>
        <w:bottom w:val="none" w:sz="0" w:space="0" w:color="auto"/>
        <w:right w:val="none" w:sz="0" w:space="0" w:color="auto"/>
      </w:divBdr>
    </w:div>
    <w:div w:id="647827619">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73337690">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698821098">
      <w:bodyDiv w:val="1"/>
      <w:marLeft w:val="0"/>
      <w:marRight w:val="0"/>
      <w:marTop w:val="0"/>
      <w:marBottom w:val="0"/>
      <w:divBdr>
        <w:top w:val="none" w:sz="0" w:space="0" w:color="auto"/>
        <w:left w:val="none" w:sz="0" w:space="0" w:color="auto"/>
        <w:bottom w:val="none" w:sz="0" w:space="0" w:color="auto"/>
        <w:right w:val="none" w:sz="0" w:space="0" w:color="auto"/>
      </w:divBdr>
    </w:div>
    <w:div w:id="700592297">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756096498">
      <w:bodyDiv w:val="1"/>
      <w:marLeft w:val="0"/>
      <w:marRight w:val="0"/>
      <w:marTop w:val="0"/>
      <w:marBottom w:val="0"/>
      <w:divBdr>
        <w:top w:val="none" w:sz="0" w:space="0" w:color="auto"/>
        <w:left w:val="none" w:sz="0" w:space="0" w:color="auto"/>
        <w:bottom w:val="none" w:sz="0" w:space="0" w:color="auto"/>
        <w:right w:val="none" w:sz="0" w:space="0" w:color="auto"/>
      </w:divBdr>
    </w:div>
    <w:div w:id="782462308">
      <w:bodyDiv w:val="1"/>
      <w:marLeft w:val="0"/>
      <w:marRight w:val="0"/>
      <w:marTop w:val="0"/>
      <w:marBottom w:val="0"/>
      <w:divBdr>
        <w:top w:val="none" w:sz="0" w:space="0" w:color="auto"/>
        <w:left w:val="none" w:sz="0" w:space="0" w:color="auto"/>
        <w:bottom w:val="none" w:sz="0" w:space="0" w:color="auto"/>
        <w:right w:val="none" w:sz="0" w:space="0" w:color="auto"/>
      </w:divBdr>
    </w:div>
    <w:div w:id="797065889">
      <w:bodyDiv w:val="1"/>
      <w:marLeft w:val="0"/>
      <w:marRight w:val="0"/>
      <w:marTop w:val="0"/>
      <w:marBottom w:val="0"/>
      <w:divBdr>
        <w:top w:val="none" w:sz="0" w:space="0" w:color="auto"/>
        <w:left w:val="none" w:sz="0" w:space="0" w:color="auto"/>
        <w:bottom w:val="none" w:sz="0" w:space="0" w:color="auto"/>
        <w:right w:val="none" w:sz="0" w:space="0" w:color="auto"/>
      </w:divBdr>
    </w:div>
    <w:div w:id="830758260">
      <w:bodyDiv w:val="1"/>
      <w:marLeft w:val="0"/>
      <w:marRight w:val="0"/>
      <w:marTop w:val="0"/>
      <w:marBottom w:val="0"/>
      <w:divBdr>
        <w:top w:val="none" w:sz="0" w:space="0" w:color="auto"/>
        <w:left w:val="none" w:sz="0" w:space="0" w:color="auto"/>
        <w:bottom w:val="none" w:sz="0" w:space="0" w:color="auto"/>
        <w:right w:val="none" w:sz="0" w:space="0" w:color="auto"/>
      </w:divBdr>
    </w:div>
    <w:div w:id="841549736">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01255323">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5894681">
      <w:bodyDiv w:val="1"/>
      <w:marLeft w:val="0"/>
      <w:marRight w:val="0"/>
      <w:marTop w:val="0"/>
      <w:marBottom w:val="0"/>
      <w:divBdr>
        <w:top w:val="none" w:sz="0" w:space="0" w:color="auto"/>
        <w:left w:val="none" w:sz="0" w:space="0" w:color="auto"/>
        <w:bottom w:val="none" w:sz="0" w:space="0" w:color="auto"/>
        <w:right w:val="none" w:sz="0" w:space="0" w:color="auto"/>
      </w:divBdr>
    </w:div>
    <w:div w:id="994917725">
      <w:bodyDiv w:val="1"/>
      <w:marLeft w:val="0"/>
      <w:marRight w:val="0"/>
      <w:marTop w:val="0"/>
      <w:marBottom w:val="0"/>
      <w:divBdr>
        <w:top w:val="none" w:sz="0" w:space="0" w:color="auto"/>
        <w:left w:val="none" w:sz="0" w:space="0" w:color="auto"/>
        <w:bottom w:val="none" w:sz="0" w:space="0" w:color="auto"/>
        <w:right w:val="none" w:sz="0" w:space="0" w:color="auto"/>
      </w:divBdr>
    </w:div>
    <w:div w:id="998920021">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43747576">
      <w:bodyDiv w:val="1"/>
      <w:marLeft w:val="0"/>
      <w:marRight w:val="0"/>
      <w:marTop w:val="0"/>
      <w:marBottom w:val="0"/>
      <w:divBdr>
        <w:top w:val="none" w:sz="0" w:space="0" w:color="auto"/>
        <w:left w:val="none" w:sz="0" w:space="0" w:color="auto"/>
        <w:bottom w:val="none" w:sz="0" w:space="0" w:color="auto"/>
        <w:right w:val="none" w:sz="0" w:space="0" w:color="auto"/>
      </w:divBdr>
    </w:div>
    <w:div w:id="1044598226">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83725844">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2846704">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8279644">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223173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39945534">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77509435">
      <w:bodyDiv w:val="1"/>
      <w:marLeft w:val="0"/>
      <w:marRight w:val="0"/>
      <w:marTop w:val="0"/>
      <w:marBottom w:val="0"/>
      <w:divBdr>
        <w:top w:val="none" w:sz="0" w:space="0" w:color="auto"/>
        <w:left w:val="none" w:sz="0" w:space="0" w:color="auto"/>
        <w:bottom w:val="none" w:sz="0" w:space="0" w:color="auto"/>
        <w:right w:val="none" w:sz="0" w:space="0" w:color="auto"/>
      </w:divBdr>
    </w:div>
    <w:div w:id="1378160490">
      <w:bodyDiv w:val="1"/>
      <w:marLeft w:val="0"/>
      <w:marRight w:val="0"/>
      <w:marTop w:val="0"/>
      <w:marBottom w:val="0"/>
      <w:divBdr>
        <w:top w:val="none" w:sz="0" w:space="0" w:color="auto"/>
        <w:left w:val="none" w:sz="0" w:space="0" w:color="auto"/>
        <w:bottom w:val="none" w:sz="0" w:space="0" w:color="auto"/>
        <w:right w:val="none" w:sz="0" w:space="0" w:color="auto"/>
      </w:divBdr>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06731631">
      <w:bodyDiv w:val="1"/>
      <w:marLeft w:val="0"/>
      <w:marRight w:val="0"/>
      <w:marTop w:val="0"/>
      <w:marBottom w:val="0"/>
      <w:divBdr>
        <w:top w:val="none" w:sz="0" w:space="0" w:color="auto"/>
        <w:left w:val="none" w:sz="0" w:space="0" w:color="auto"/>
        <w:bottom w:val="none" w:sz="0" w:space="0" w:color="auto"/>
        <w:right w:val="none" w:sz="0" w:space="0" w:color="auto"/>
      </w:divBdr>
    </w:div>
    <w:div w:id="1443498282">
      <w:bodyDiv w:val="1"/>
      <w:marLeft w:val="0"/>
      <w:marRight w:val="0"/>
      <w:marTop w:val="0"/>
      <w:marBottom w:val="0"/>
      <w:divBdr>
        <w:top w:val="none" w:sz="0" w:space="0" w:color="auto"/>
        <w:left w:val="none" w:sz="0" w:space="0" w:color="auto"/>
        <w:bottom w:val="none" w:sz="0" w:space="0" w:color="auto"/>
        <w:right w:val="none" w:sz="0" w:space="0" w:color="auto"/>
      </w:divBdr>
    </w:div>
    <w:div w:id="1453094426">
      <w:bodyDiv w:val="1"/>
      <w:marLeft w:val="0"/>
      <w:marRight w:val="0"/>
      <w:marTop w:val="0"/>
      <w:marBottom w:val="0"/>
      <w:divBdr>
        <w:top w:val="none" w:sz="0" w:space="0" w:color="auto"/>
        <w:left w:val="none" w:sz="0" w:space="0" w:color="auto"/>
        <w:bottom w:val="none" w:sz="0" w:space="0" w:color="auto"/>
        <w:right w:val="none" w:sz="0" w:space="0" w:color="auto"/>
      </w:divBdr>
    </w:div>
    <w:div w:id="1453982357">
      <w:bodyDiv w:val="1"/>
      <w:marLeft w:val="0"/>
      <w:marRight w:val="0"/>
      <w:marTop w:val="0"/>
      <w:marBottom w:val="0"/>
      <w:divBdr>
        <w:top w:val="none" w:sz="0" w:space="0" w:color="auto"/>
        <w:left w:val="none" w:sz="0" w:space="0" w:color="auto"/>
        <w:bottom w:val="none" w:sz="0" w:space="0" w:color="auto"/>
        <w:right w:val="none" w:sz="0" w:space="0" w:color="auto"/>
      </w:divBdr>
    </w:div>
    <w:div w:id="1462914901">
      <w:bodyDiv w:val="1"/>
      <w:marLeft w:val="0"/>
      <w:marRight w:val="0"/>
      <w:marTop w:val="0"/>
      <w:marBottom w:val="0"/>
      <w:divBdr>
        <w:top w:val="none" w:sz="0" w:space="0" w:color="auto"/>
        <w:left w:val="none" w:sz="0" w:space="0" w:color="auto"/>
        <w:bottom w:val="none" w:sz="0" w:space="0" w:color="auto"/>
        <w:right w:val="none" w:sz="0" w:space="0" w:color="auto"/>
      </w:divBdr>
    </w:div>
    <w:div w:id="1524590421">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2329713">
      <w:bodyDiv w:val="1"/>
      <w:marLeft w:val="0"/>
      <w:marRight w:val="0"/>
      <w:marTop w:val="0"/>
      <w:marBottom w:val="0"/>
      <w:divBdr>
        <w:top w:val="none" w:sz="0" w:space="0" w:color="auto"/>
        <w:left w:val="none" w:sz="0" w:space="0" w:color="auto"/>
        <w:bottom w:val="none" w:sz="0" w:space="0" w:color="auto"/>
        <w:right w:val="none" w:sz="0" w:space="0" w:color="auto"/>
      </w:divBdr>
    </w:div>
    <w:div w:id="1585263607">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616406584">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80155601">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57288676">
      <w:bodyDiv w:val="1"/>
      <w:marLeft w:val="0"/>
      <w:marRight w:val="0"/>
      <w:marTop w:val="0"/>
      <w:marBottom w:val="0"/>
      <w:divBdr>
        <w:top w:val="none" w:sz="0" w:space="0" w:color="auto"/>
        <w:left w:val="none" w:sz="0" w:space="0" w:color="auto"/>
        <w:bottom w:val="none" w:sz="0" w:space="0" w:color="auto"/>
        <w:right w:val="none" w:sz="0" w:space="0" w:color="auto"/>
      </w:divBdr>
    </w:div>
    <w:div w:id="1793595793">
      <w:bodyDiv w:val="1"/>
      <w:marLeft w:val="0"/>
      <w:marRight w:val="0"/>
      <w:marTop w:val="0"/>
      <w:marBottom w:val="0"/>
      <w:divBdr>
        <w:top w:val="none" w:sz="0" w:space="0" w:color="auto"/>
        <w:left w:val="none" w:sz="0" w:space="0" w:color="auto"/>
        <w:bottom w:val="none" w:sz="0" w:space="0" w:color="auto"/>
        <w:right w:val="none" w:sz="0" w:space="0" w:color="auto"/>
      </w:divBdr>
    </w:div>
    <w:div w:id="1861696497">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35819426">
      <w:bodyDiv w:val="1"/>
      <w:marLeft w:val="0"/>
      <w:marRight w:val="0"/>
      <w:marTop w:val="0"/>
      <w:marBottom w:val="0"/>
      <w:divBdr>
        <w:top w:val="none" w:sz="0" w:space="0" w:color="auto"/>
        <w:left w:val="none" w:sz="0" w:space="0" w:color="auto"/>
        <w:bottom w:val="none" w:sz="0" w:space="0" w:color="auto"/>
        <w:right w:val="none" w:sz="0" w:space="0" w:color="auto"/>
      </w:divBdr>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1952973021">
      <w:bodyDiv w:val="1"/>
      <w:marLeft w:val="0"/>
      <w:marRight w:val="0"/>
      <w:marTop w:val="0"/>
      <w:marBottom w:val="0"/>
      <w:divBdr>
        <w:top w:val="none" w:sz="0" w:space="0" w:color="auto"/>
        <w:left w:val="none" w:sz="0" w:space="0" w:color="auto"/>
        <w:bottom w:val="none" w:sz="0" w:space="0" w:color="auto"/>
        <w:right w:val="none" w:sz="0" w:space="0" w:color="auto"/>
      </w:divBdr>
    </w:div>
    <w:div w:id="1969160249">
      <w:bodyDiv w:val="1"/>
      <w:marLeft w:val="0"/>
      <w:marRight w:val="0"/>
      <w:marTop w:val="0"/>
      <w:marBottom w:val="0"/>
      <w:divBdr>
        <w:top w:val="none" w:sz="0" w:space="0" w:color="auto"/>
        <w:left w:val="none" w:sz="0" w:space="0" w:color="auto"/>
        <w:bottom w:val="none" w:sz="0" w:space="0" w:color="auto"/>
        <w:right w:val="none" w:sz="0" w:space="0" w:color="auto"/>
      </w:divBdr>
    </w:div>
    <w:div w:id="2000037407">
      <w:bodyDiv w:val="1"/>
      <w:marLeft w:val="0"/>
      <w:marRight w:val="0"/>
      <w:marTop w:val="0"/>
      <w:marBottom w:val="0"/>
      <w:divBdr>
        <w:top w:val="none" w:sz="0" w:space="0" w:color="auto"/>
        <w:left w:val="none" w:sz="0" w:space="0" w:color="auto"/>
        <w:bottom w:val="none" w:sz="0" w:space="0" w:color="auto"/>
        <w:right w:val="none" w:sz="0" w:space="0" w:color="auto"/>
      </w:divBdr>
    </w:div>
    <w:div w:id="2037193323">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102413329">
      <w:bodyDiv w:val="1"/>
      <w:marLeft w:val="0"/>
      <w:marRight w:val="0"/>
      <w:marTop w:val="0"/>
      <w:marBottom w:val="0"/>
      <w:divBdr>
        <w:top w:val="none" w:sz="0" w:space="0" w:color="auto"/>
        <w:left w:val="none" w:sz="0" w:space="0" w:color="auto"/>
        <w:bottom w:val="none" w:sz="0" w:space="0" w:color="auto"/>
        <w:right w:val="none" w:sz="0" w:space="0" w:color="auto"/>
      </w:divBdr>
    </w:div>
    <w:div w:id="2106610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chart" Target="charts/chart29.xm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chart" Target="charts/chart31.xml"/><Relationship Id="rId47" Type="http://schemas.openxmlformats.org/officeDocument/2006/relationships/hyperlink" Target="https://talleresdepresupuestoabierto.minfin.gob.gt/" TargetMode="External"/><Relationship Id="rId50" Type="http://schemas.openxmlformats.org/officeDocument/2006/relationships/image" Target="media/image8.emf"/><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image" Target="media/image3.png"/><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8.xml"/><Relationship Id="rId46" Type="http://schemas.openxmlformats.org/officeDocument/2006/relationships/chart" Target="charts/chart34.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chart" Target="charts/chart30.xm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image" Target="media/image4.png"/><Relationship Id="rId45" Type="http://schemas.openxmlformats.org/officeDocument/2006/relationships/chart" Target="charts/chart33.xml"/><Relationship Id="rId53" Type="http://schemas.openxmlformats.org/officeDocument/2006/relationships/header" Target="header2.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6.xml"/><Relationship Id="rId49" Type="http://schemas.openxmlformats.org/officeDocument/2006/relationships/image" Target="media/image7.emf"/><Relationship Id="rId57"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chart" Target="charts/chart9.xml"/><Relationship Id="rId31" Type="http://schemas.openxmlformats.org/officeDocument/2006/relationships/chart" Target="charts/chart21.xml"/><Relationship Id="rId44" Type="http://schemas.openxmlformats.org/officeDocument/2006/relationships/chart" Target="charts/chart32.xm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5.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image" Target="media/image5.emf"/><Relationship Id="rId48" Type="http://schemas.openxmlformats.org/officeDocument/2006/relationships/image" Target="media/image6.emf"/><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9.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halegre\Documents\Heberto\MINFIN\informe_semestral\WTI_spot.csv"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halegre\Documents\Heberto\MINFIN\informe_semestral\materias_primas.csv"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halegre\Documents\Heberto\MINFIN\informe_semestral\barras.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halegre\Documents\Heberto\MINFIN\informe_semestral\imae_energia.csv"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halegre\Documents\Heberto\MINFIN\informe_semestral\inflacion.csv"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Libro2"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halegre\Documents\Heberto\MINFIN\informe_semestral\remesas.csv"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halegre\Documents\Heberto\MINFIN\informe_semestral\tipo_cambio_diario.csv"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halegre\Documents\Heberto\MINFIN\informe_semestral\TPM.csv"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halegre\Documents\Heberto\MINFIN\informe_semestral\barra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6.xlsx"/></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9.xlsx"/></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8.xml"/><Relationship Id="rId1" Type="http://schemas.microsoft.com/office/2011/relationships/chartStyle" Target="style18.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19.xml"/><Relationship Id="rId1" Type="http://schemas.microsoft.com/office/2011/relationships/chartStyle" Target="style1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426045670671523E-2"/>
          <c:y val="2.4249968534971009E-2"/>
          <c:w val="0.89910718598825456"/>
          <c:h val="0.84430655386381936"/>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5"/>
            <c:invertIfNegative val="0"/>
            <c:bubble3D val="0"/>
            <c:spPr>
              <a:solidFill>
                <a:srgbClr val="FF0000"/>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1-5611-43D9-8497-2BFD8932CF3B}"/>
              </c:ext>
            </c:extLst>
          </c:dPt>
          <c:dPt>
            <c:idx val="6"/>
            <c:invertIfNegative val="0"/>
            <c:bubble3D val="0"/>
            <c:spPr>
              <a:solidFill>
                <a:schemeClr val="tx2">
                  <a:lumMod val="60000"/>
                  <a:lumOff val="4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3-5611-43D9-8497-2BFD8932CF3B}"/>
              </c:ext>
            </c:extLst>
          </c:dPt>
          <c:dPt>
            <c:idx val="7"/>
            <c:invertIfNegative val="0"/>
            <c:bubble3D val="0"/>
            <c:spPr>
              <a:solidFill>
                <a:schemeClr val="tx2">
                  <a:lumMod val="60000"/>
                  <a:lumOff val="4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5-5611-43D9-8497-2BFD8932CF3B}"/>
              </c:ext>
            </c:extLst>
          </c:dPt>
          <c:dPt>
            <c:idx val="8"/>
            <c:invertIfNegative val="0"/>
            <c:bubble3D val="0"/>
            <c:spPr>
              <a:solidFill>
                <a:srgbClr val="5B9BD5">
                  <a:lumMod val="50000"/>
                </a:srgb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7-5611-43D9-8497-2BFD8932CF3B}"/>
              </c:ext>
            </c:extLst>
          </c:dPt>
          <c:dPt>
            <c:idx val="9"/>
            <c:invertIfNegative val="0"/>
            <c:bubble3D val="0"/>
            <c:spPr>
              <a:solidFill>
                <a:srgbClr val="5B9BD5">
                  <a:lumMod val="50000"/>
                </a:srgb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9-5611-43D9-8497-2BFD8932CF3B}"/>
              </c:ext>
            </c:extLst>
          </c:dPt>
          <c:dPt>
            <c:idx val="11"/>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B-5611-43D9-8497-2BFD8932CF3B}"/>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D-5611-43D9-8497-2BFD8932CF3B}"/>
              </c:ext>
            </c:extLst>
          </c:dPt>
          <c:dLbls>
            <c:dLbl>
              <c:idx val="5"/>
              <c:layout>
                <c:manualLayout>
                  <c:x val="-2.5864856126738742E-3"/>
                  <c:y val="2.3879775534317867E-4"/>
                </c:manualLayout>
              </c:layout>
              <c:spPr>
                <a:noFill/>
                <a:ln>
                  <a:noFill/>
                </a:ln>
                <a:effectLst/>
              </c:spPr>
              <c:txPr>
                <a:bodyPr/>
                <a:lstStyle/>
                <a:p>
                  <a:pPr>
                    <a:defRPr b="1">
                      <a:solidFill>
                        <a:schemeClr val="bg1"/>
                      </a:solidFill>
                    </a:defRPr>
                  </a:pPr>
                  <a:endParaRPr lang="es-GT"/>
                </a:p>
              </c:txPr>
              <c:dLblPos val="ct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5611-43D9-8497-2BFD8932CF3B}"/>
                </c:ext>
              </c:extLst>
            </c:dLbl>
            <c:spPr>
              <a:noFill/>
              <a:ln>
                <a:noFill/>
              </a:ln>
              <a:effectLst/>
            </c:spPr>
            <c:txPr>
              <a:bodyPr/>
              <a:lstStyle/>
              <a:p>
                <a:pPr>
                  <a:defRPr b="1"/>
                </a:pPr>
                <a:endParaRPr lang="es-GT"/>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'PIB Nacional'!$B$7:$B$16</c:f>
              <c:strCache>
                <c:ptCount val="10"/>
                <c:pt idx="0">
                  <c:v>2015</c:v>
                </c:pt>
                <c:pt idx="1">
                  <c:v>2016</c:v>
                </c:pt>
                <c:pt idx="2">
                  <c:v>2017</c:v>
                </c:pt>
                <c:pt idx="3">
                  <c:v>2018</c:v>
                </c:pt>
                <c:pt idx="4">
                  <c:v>2019 p/</c:v>
                </c:pt>
                <c:pt idx="5">
                  <c:v>2020 p/</c:v>
                </c:pt>
                <c:pt idx="6">
                  <c:v>2021 p/</c:v>
                </c:pt>
                <c:pt idx="7">
                  <c:v>2022 p/</c:v>
                </c:pt>
                <c:pt idx="8">
                  <c:v>2023 py/ (bajo)</c:v>
                </c:pt>
                <c:pt idx="9">
                  <c:v>2023 py/ (alto)</c:v>
                </c:pt>
              </c:strCache>
            </c:strRef>
          </c:cat>
          <c:val>
            <c:numRef>
              <c:f>'PIB Nacional'!$D$7:$D$16</c:f>
              <c:numCache>
                <c:formatCode>_(* #,##0.0_);_(* \(#,##0.0\);_(* "-"??_);_(@_)</c:formatCode>
                <c:ptCount val="10"/>
                <c:pt idx="0">
                  <c:v>4.0921707249436565</c:v>
                </c:pt>
                <c:pt idx="1">
                  <c:v>2.6778027219768035</c:v>
                </c:pt>
                <c:pt idx="2">
                  <c:v>3.0798512832579803</c:v>
                </c:pt>
                <c:pt idx="3">
                  <c:v>3.4068734665204232</c:v>
                </c:pt>
                <c:pt idx="4">
                  <c:v>4.0023150530924028</c:v>
                </c:pt>
                <c:pt idx="5">
                  <c:v>-1.7640829231526709</c:v>
                </c:pt>
                <c:pt idx="6">
                  <c:v>7.9807695126552005</c:v>
                </c:pt>
                <c:pt idx="7">
                  <c:v>4.1180041816274695</c:v>
                </c:pt>
                <c:pt idx="8">
                  <c:v>2.499869064756794</c:v>
                </c:pt>
                <c:pt idx="9">
                  <c:v>4.499869064756794</c:v>
                </c:pt>
              </c:numCache>
            </c:numRef>
          </c:val>
          <c:extLst>
            <c:ext xmlns:c16="http://schemas.microsoft.com/office/drawing/2014/chart" uri="{C3380CC4-5D6E-409C-BE32-E72D297353CC}">
              <c16:uniqueId val="{0000000E-5611-43D9-8497-2BFD8932CF3B}"/>
            </c:ext>
          </c:extLst>
        </c:ser>
        <c:dLbls>
          <c:showLegendKey val="0"/>
          <c:showVal val="0"/>
          <c:showCatName val="0"/>
          <c:showSerName val="0"/>
          <c:showPercent val="0"/>
          <c:showBubbleSize val="0"/>
        </c:dLbls>
        <c:gapWidth val="21"/>
        <c:overlap val="-61"/>
        <c:axId val="99197312"/>
        <c:axId val="99198848"/>
      </c:barChart>
      <c:catAx>
        <c:axId val="99197312"/>
        <c:scaling>
          <c:orientation val="minMax"/>
        </c:scaling>
        <c:delete val="0"/>
        <c:axPos val="b"/>
        <c:numFmt formatCode="0" sourceLinked="0"/>
        <c:majorTickMark val="none"/>
        <c:minorTickMark val="none"/>
        <c:tickLblPos val="low"/>
        <c:spPr>
          <a:ln w="12700"/>
          <a:effectLst>
            <a:softEdge rad="12700"/>
          </a:effectLst>
        </c:spPr>
        <c:txPr>
          <a:bodyPr/>
          <a:lstStyle/>
          <a:p>
            <a:pPr>
              <a:defRPr b="1"/>
            </a:pPr>
            <a:endParaRPr lang="es-GT"/>
          </a:p>
        </c:txPr>
        <c:crossAx val="99198848"/>
        <c:crosses val="autoZero"/>
        <c:auto val="1"/>
        <c:lblAlgn val="ctr"/>
        <c:lblOffset val="100"/>
        <c:noMultiLvlLbl val="0"/>
      </c:catAx>
      <c:valAx>
        <c:axId val="99198848"/>
        <c:scaling>
          <c:orientation val="minMax"/>
        </c:scaling>
        <c:delete val="0"/>
        <c:axPos val="l"/>
        <c:title>
          <c:tx>
            <c:rich>
              <a:bodyPr rot="-5400000" vert="horz"/>
              <a:lstStyle/>
              <a:p>
                <a:pPr>
                  <a:defRPr/>
                </a:pPr>
                <a:r>
                  <a:rPr lang="es-GT"/>
                  <a:t>Porcentaje</a:t>
                </a:r>
              </a:p>
            </c:rich>
          </c:tx>
          <c:layout>
            <c:manualLayout>
              <c:xMode val="edge"/>
              <c:yMode val="edge"/>
              <c:x val="1.3196394929161463E-3"/>
              <c:y val="0.41564022101149339"/>
            </c:manualLayout>
          </c:layout>
          <c:overlay val="0"/>
        </c:title>
        <c:numFmt formatCode="#,##0.0" sourceLinked="0"/>
        <c:majorTickMark val="none"/>
        <c:minorTickMark val="none"/>
        <c:tickLblPos val="nextTo"/>
        <c:txPr>
          <a:bodyPr/>
          <a:lstStyle/>
          <a:p>
            <a:pPr>
              <a:defRPr b="1"/>
            </a:pPr>
            <a:endParaRPr lang="es-GT"/>
          </a:p>
        </c:txPr>
        <c:crossAx val="99197312"/>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a:solidFill>
        <a:sysClr val="windowText" lastClr="000000"/>
      </a:solidFill>
    </a:ln>
  </c:spPr>
  <c:txPr>
    <a:bodyPr/>
    <a:lstStyle/>
    <a:p>
      <a:pPr>
        <a:defRPr>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rPr>
              <a:t>2023</a:t>
            </a:r>
          </a:p>
        </c:rich>
      </c:tx>
      <c:overlay val="0"/>
      <c:spPr>
        <a:noFill/>
        <a:ln>
          <a:noFill/>
        </a:ln>
        <a:effectLst/>
      </c:spPr>
      <c:txPr>
        <a:bodyPr rot="0" spcFirstLastPara="1" vertOverflow="ellipsis" vert="horz" wrap="square" anchor="ctr" anchorCtr="1"/>
        <a:lstStyle/>
        <a:p>
          <a:pPr>
            <a:defRPr sz="12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Tributarios!$D$59</c:f>
              <c:strCache>
                <c:ptCount val="1"/>
                <c:pt idx="0">
                  <c:v>2021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03F-4B7E-9E3E-DF05B5F62C6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03F-4B7E-9E3E-DF05B5F62C63}"/>
              </c:ext>
            </c:extLst>
          </c:dPt>
          <c:dLbls>
            <c:dLbl>
              <c:idx val="0"/>
              <c:layout>
                <c:manualLayout>
                  <c:x val="0"/>
                  <c:y val="-9.2664092664092687E-2"/>
                </c:manualLayout>
              </c:layout>
              <c:tx>
                <c:rich>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fld id="{90EC9C76-4A9F-4864-9375-F7DE455A8BF0}" type="CATEGORYNAME">
                      <a:rPr lang="en-US"/>
                      <a:pPr>
                        <a:defRPr sz="800"/>
                      </a:pPr>
                      <a:t>[NOMBRE DE CATEGORÍA]</a:t>
                    </a:fld>
                    <a:r>
                      <a:rPr lang="en-US" baseline="0"/>
                      <a:t>
Q.13,535.1
29.0%</a:t>
                    </a:r>
                  </a:p>
                </c:rich>
              </c:tx>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03F-4B7E-9E3E-DF05B5F62C63}"/>
                </c:ext>
              </c:extLst>
            </c:dLbl>
            <c:dLbl>
              <c:idx val="1"/>
              <c:layout>
                <c:manualLayout>
                  <c:x val="0"/>
                  <c:y val="6.6924066924066827E-2"/>
                </c:manualLayout>
              </c:layout>
              <c:tx>
                <c:rich>
                  <a:bodyPr rot="0" spcFirstLastPara="1" vertOverflow="ellipsis" vert="horz" wrap="square" anchor="ctr" anchorCtr="1"/>
                  <a:lstStyle/>
                  <a:p>
                    <a:pPr>
                      <a:defRPr sz="800" b="1" i="0" u="none" strike="noStrike" kern="1200" spc="0" baseline="0">
                        <a:solidFill>
                          <a:srgbClr val="C00000"/>
                        </a:solidFill>
                        <a:latin typeface="Times New Roman" panose="02020603050405020304" pitchFamily="18" charset="0"/>
                        <a:ea typeface="+mn-ea"/>
                        <a:cs typeface="Times New Roman" panose="02020603050405020304" pitchFamily="18" charset="0"/>
                      </a:defRPr>
                    </a:pPr>
                    <a:fld id="{30041E47-F38C-4F05-A729-9765A8950283}" type="CATEGORYNAME">
                      <a:rPr lang="en-US">
                        <a:solidFill>
                          <a:srgbClr val="C00000"/>
                        </a:solidFill>
                      </a:rPr>
                      <a:pPr>
                        <a:defRPr sz="800">
                          <a:solidFill>
                            <a:srgbClr val="C00000"/>
                          </a:solidFill>
                        </a:defRPr>
                      </a:pPr>
                      <a:t>[NOMBRE DE CATEGORÍA]</a:t>
                    </a:fld>
                    <a:r>
                      <a:rPr lang="en-US" baseline="0">
                        <a:solidFill>
                          <a:srgbClr val="C00000"/>
                        </a:solidFill>
                      </a:rPr>
                      <a:t>
Q.32,714.4
71.0%</a:t>
                    </a:r>
                  </a:p>
                </c:rich>
              </c:tx>
              <c:spPr>
                <a:noFill/>
                <a:ln>
                  <a:noFill/>
                </a:ln>
                <a:effectLst/>
              </c:spPr>
              <c:txPr>
                <a:bodyPr rot="0" spcFirstLastPara="1" vertOverflow="ellipsis" vert="horz" wrap="square" anchor="ctr" anchorCtr="1"/>
                <a:lstStyle/>
                <a:p>
                  <a:pPr>
                    <a:defRPr sz="800" b="1" i="0" u="none" strike="noStrike" kern="1200" spc="0" baseline="0">
                      <a:solidFill>
                        <a:srgbClr val="C00000"/>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03F-4B7E-9E3E-DF05B5F62C63}"/>
                </c:ext>
              </c:extLst>
            </c:dLbl>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Tributarios!$C$30:$C$31</c:f>
              <c:strCache>
                <c:ptCount val="2"/>
                <c:pt idx="0">
                  <c:v>Comercio Exterior</c:v>
                </c:pt>
                <c:pt idx="1">
                  <c:v>Internos</c:v>
                </c:pt>
              </c:strCache>
            </c:strRef>
          </c:cat>
          <c:val>
            <c:numRef>
              <c:f>Tributarios!$E$30:$E$31</c:f>
              <c:numCache>
                <c:formatCode>#,##0.0</c:formatCode>
                <c:ptCount val="2"/>
                <c:pt idx="0">
                  <c:v>13569.22611417</c:v>
                </c:pt>
                <c:pt idx="1">
                  <c:v>28717.816593970001</c:v>
                </c:pt>
              </c:numCache>
            </c:numRef>
          </c:val>
          <c:extLst>
            <c:ext xmlns:c16="http://schemas.microsoft.com/office/drawing/2014/chart" uri="{C3380CC4-5D6E-409C-BE32-E72D297353CC}">
              <c16:uniqueId val="{00000004-E03F-4B7E-9E3E-DF05B5F62C63}"/>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s-GT"/>
              <a:t>2022</a:t>
            </a:r>
          </a:p>
        </c:rich>
      </c:tx>
      <c:overlay val="0"/>
      <c:spPr>
        <a:noFill/>
        <a:ln>
          <a:noFill/>
        </a:ln>
        <a:effectLst/>
      </c:spPr>
      <c:txPr>
        <a:bodyPr rot="0" spcFirstLastPara="1" vertOverflow="ellipsis" vert="horz" wrap="square" anchor="ctr" anchorCtr="1"/>
        <a:lstStyle/>
        <a:p>
          <a:pPr>
            <a:defRPr sz="12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Tributarios!$E$59</c:f>
              <c:strCache>
                <c:ptCount val="1"/>
                <c:pt idx="0">
                  <c:v>2021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762-4E06-8D79-7006A61AA500}"/>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762-4E06-8D79-7006A61AA500}"/>
              </c:ext>
            </c:extLst>
          </c:dPt>
          <c:dLbls>
            <c:dLbl>
              <c:idx val="0"/>
              <c:tx>
                <c:rich>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fld id="{4E1577E5-C6CE-4588-B505-75BDCA4E34F0}" type="CATEGORYNAME">
                      <a:rPr lang="en-US" sz="800"/>
                      <a:pPr>
                        <a:defRPr sz="800"/>
                      </a:pPr>
                      <a:t>[NOMBRE DE CATEGORÍA]</a:t>
                    </a:fld>
                    <a:r>
                      <a:rPr lang="en-US" sz="800" baseline="0"/>
                      <a:t>
36.0%</a:t>
                    </a:r>
                  </a:p>
                </c:rich>
              </c:tx>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762-4E06-8D79-7006A61AA500}"/>
                </c:ext>
              </c:extLst>
            </c:dLbl>
            <c:dLbl>
              <c:idx val="1"/>
              <c:layout>
                <c:manualLayout>
                  <c:x val="0"/>
                  <c:y val="0.13550135501355012"/>
                </c:manualLayout>
              </c:layout>
              <c:tx>
                <c:rich>
                  <a:bodyPr rot="0" spcFirstLastPara="1" vertOverflow="ellipsis" vert="horz" wrap="square" anchor="ctr" anchorCtr="1"/>
                  <a:lstStyle/>
                  <a:p>
                    <a:pPr>
                      <a:defRPr sz="800" b="1" i="0" u="none" strike="noStrike" kern="1200" spc="0" baseline="0">
                        <a:solidFill>
                          <a:srgbClr val="C00000"/>
                        </a:solidFill>
                        <a:latin typeface="Times New Roman" panose="02020603050405020304" pitchFamily="18" charset="0"/>
                        <a:ea typeface="+mn-ea"/>
                        <a:cs typeface="Times New Roman" panose="02020603050405020304" pitchFamily="18" charset="0"/>
                      </a:defRPr>
                    </a:pPr>
                    <a:fld id="{9A41273A-DCC7-40E9-B13B-9C8990FA7A40}" type="CATEGORYNAME">
                      <a:rPr lang="en-US" sz="800">
                        <a:solidFill>
                          <a:srgbClr val="C00000"/>
                        </a:solidFill>
                      </a:rPr>
                      <a:pPr>
                        <a:defRPr sz="800">
                          <a:solidFill>
                            <a:srgbClr val="C00000"/>
                          </a:solidFill>
                        </a:defRPr>
                      </a:pPr>
                      <a:t>[NOMBRE DE CATEGORÍA]</a:t>
                    </a:fld>
                    <a:endParaRPr lang="en-US" sz="800" baseline="0">
                      <a:solidFill>
                        <a:srgbClr val="C00000"/>
                      </a:solidFill>
                    </a:endParaRPr>
                  </a:p>
                  <a:p>
                    <a:pPr>
                      <a:defRPr sz="800">
                        <a:solidFill>
                          <a:srgbClr val="C00000"/>
                        </a:solidFill>
                      </a:defRPr>
                    </a:pPr>
                    <a:r>
                      <a:rPr lang="en-US" sz="800" baseline="0">
                        <a:solidFill>
                          <a:srgbClr val="C00000"/>
                        </a:solidFill>
                      </a:rPr>
                      <a:t>64.0%
</a:t>
                    </a:r>
                  </a:p>
                </c:rich>
              </c:tx>
              <c:spPr>
                <a:noFill/>
                <a:ln>
                  <a:noFill/>
                </a:ln>
                <a:effectLst/>
              </c:spPr>
              <c:txPr>
                <a:bodyPr rot="0" spcFirstLastPara="1" vertOverflow="ellipsis" vert="horz" wrap="square" anchor="ctr" anchorCtr="1"/>
                <a:lstStyle/>
                <a:p>
                  <a:pPr>
                    <a:defRPr sz="800" b="1" i="0" u="none" strike="noStrike" kern="1200" spc="0" baseline="0">
                      <a:solidFill>
                        <a:srgbClr val="C00000"/>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762-4E06-8D79-7006A61AA500}"/>
                </c:ext>
              </c:extLst>
            </c:dLbl>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Tributarios!$C$60:$C$61</c:f>
              <c:strCache>
                <c:ptCount val="2"/>
                <c:pt idx="0">
                  <c:v>Directos</c:v>
                </c:pt>
                <c:pt idx="1">
                  <c:v>Indirectos</c:v>
                </c:pt>
              </c:strCache>
            </c:strRef>
          </c:cat>
          <c:val>
            <c:numRef>
              <c:f>Tributarios!$E$60:$E$61</c:f>
              <c:numCache>
                <c:formatCode>0.0%</c:formatCode>
                <c:ptCount val="2"/>
                <c:pt idx="0">
                  <c:v>0.35694969263471543</c:v>
                </c:pt>
                <c:pt idx="1">
                  <c:v>0.64305030736528457</c:v>
                </c:pt>
              </c:numCache>
            </c:numRef>
          </c:val>
          <c:extLst>
            <c:ext xmlns:c16="http://schemas.microsoft.com/office/drawing/2014/chart" uri="{C3380CC4-5D6E-409C-BE32-E72D297353CC}">
              <c16:uniqueId val="{00000004-7762-4E06-8D79-7006A61AA500}"/>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ysClr val="windowText" lastClr="000000"/>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2023</a:t>
            </a:r>
          </a:p>
        </c:rich>
      </c:tx>
      <c:overlay val="0"/>
      <c:spPr>
        <a:noFill/>
        <a:ln>
          <a:noFill/>
        </a:ln>
        <a:effectLst/>
      </c:spPr>
      <c:txPr>
        <a:bodyPr rot="0" spcFirstLastPara="1" vertOverflow="ellipsis" vert="horz" wrap="square" anchor="ctr" anchorCtr="1"/>
        <a:lstStyle/>
        <a:p>
          <a:pPr>
            <a:defRPr sz="1200" b="1" i="0" u="none" strike="noStrike" kern="1200" cap="all" baseline="0">
              <a:solidFill>
                <a:sysClr val="windowText" lastClr="000000"/>
              </a:solidFill>
              <a:latin typeface="+mn-lt"/>
              <a:ea typeface="+mn-ea"/>
              <a:cs typeface="+mn-cs"/>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342592592592593"/>
          <c:y val="0.26667415211936984"/>
          <c:w val="0.77314814814814814"/>
          <c:h val="0.65747357805319706"/>
        </c:manualLayout>
      </c:layout>
      <c:pie3DChart>
        <c:varyColors val="1"/>
        <c:ser>
          <c:idx val="0"/>
          <c:order val="0"/>
          <c:tx>
            <c:strRef>
              <c:f>Tributarios!$E$59</c:f>
              <c:strCache>
                <c:ptCount val="1"/>
                <c:pt idx="0">
                  <c:v>2022</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7F2-432B-B6A7-06C8ACF0373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7F2-432B-B6A7-06C8ACF03732}"/>
              </c:ext>
            </c:extLst>
          </c:dPt>
          <c:dLbls>
            <c:dLbl>
              <c:idx val="0"/>
              <c:layout>
                <c:manualLayout>
                  <c:x val="0"/>
                  <c:y val="-3.11122634171636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fld id="{49585690-9680-4D65-B927-3FB34A0F9E7C}" type="CATEGORYNAME">
                      <a:rPr lang="en-US" sz="800">
                        <a:latin typeface="Times New Roman" panose="02020603050405020304" pitchFamily="18" charset="0"/>
                        <a:cs typeface="Times New Roman" panose="02020603050405020304" pitchFamily="18" charset="0"/>
                      </a:rPr>
                      <a:pPr>
                        <a:defRPr sz="800">
                          <a:latin typeface="Times New Roman" panose="02020603050405020304" pitchFamily="18" charset="0"/>
                          <a:cs typeface="Times New Roman" panose="02020603050405020304" pitchFamily="18" charset="0"/>
                        </a:defRPr>
                      </a:pPr>
                      <a:t>[NOMBRE DE CATEGORÍA]</a:t>
                    </a:fld>
                    <a:r>
                      <a:rPr lang="en-US" sz="800" baseline="0">
                        <a:latin typeface="Times New Roman" panose="02020603050405020304" pitchFamily="18" charset="0"/>
                        <a:cs typeface="Times New Roman" panose="02020603050405020304" pitchFamily="18" charset="0"/>
                      </a:rPr>
                      <a:t>
37.0%</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7F2-432B-B6A7-06C8ACF03732}"/>
                </c:ext>
              </c:extLst>
            </c:dLbl>
            <c:dLbl>
              <c:idx val="1"/>
              <c:layout>
                <c:manualLayout>
                  <c:x val="0"/>
                  <c:y val="9.8522167487684636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rgbClr val="C00000"/>
                        </a:solidFill>
                        <a:latin typeface="Times New Roman" panose="02020603050405020304" pitchFamily="18" charset="0"/>
                        <a:ea typeface="+mn-ea"/>
                        <a:cs typeface="Times New Roman" panose="02020603050405020304" pitchFamily="18" charset="0"/>
                      </a:defRPr>
                    </a:pPr>
                    <a:fld id="{89C60E73-07C4-4988-9D7B-A44EA52E2540}" type="CATEGORYNAME">
                      <a:rPr lang="en-US" sz="800">
                        <a:solidFill>
                          <a:srgbClr val="C00000"/>
                        </a:solidFill>
                        <a:latin typeface="Times New Roman" panose="02020603050405020304" pitchFamily="18" charset="0"/>
                        <a:cs typeface="Times New Roman" panose="02020603050405020304" pitchFamily="18" charset="0"/>
                      </a:rPr>
                      <a:pPr>
                        <a:defRPr sz="800">
                          <a:solidFill>
                            <a:srgbClr val="C00000"/>
                          </a:solidFill>
                          <a:latin typeface="Times New Roman" panose="02020603050405020304" pitchFamily="18" charset="0"/>
                          <a:cs typeface="Times New Roman" panose="02020603050405020304" pitchFamily="18" charset="0"/>
                        </a:defRPr>
                      </a:pPr>
                      <a:t>[NOMBRE DE CATEGORÍA]</a:t>
                    </a:fld>
                    <a:r>
                      <a:rPr lang="en-US" sz="800" baseline="0">
                        <a:solidFill>
                          <a:srgbClr val="C00000"/>
                        </a:solidFill>
                        <a:latin typeface="Times New Roman" panose="02020603050405020304" pitchFamily="18" charset="0"/>
                        <a:cs typeface="Times New Roman" panose="02020603050405020304" pitchFamily="18" charset="0"/>
                      </a:rPr>
                      <a:t>63.0%
</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rgbClr val="C00000"/>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7F2-432B-B6A7-06C8ACF0373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Tributarios!$C$60:$C$61</c:f>
              <c:strCache>
                <c:ptCount val="2"/>
                <c:pt idx="0">
                  <c:v>Directos</c:v>
                </c:pt>
                <c:pt idx="1">
                  <c:v>Indirectos</c:v>
                </c:pt>
              </c:strCache>
            </c:strRef>
          </c:cat>
          <c:val>
            <c:numRef>
              <c:f>Tributarios!$E$60:$E$61</c:f>
              <c:numCache>
                <c:formatCode>0.0%</c:formatCode>
                <c:ptCount val="2"/>
                <c:pt idx="0">
                  <c:v>0.36413507437884612</c:v>
                </c:pt>
                <c:pt idx="1">
                  <c:v>0.63586492562115382</c:v>
                </c:pt>
              </c:numCache>
            </c:numRef>
          </c:val>
          <c:extLst>
            <c:ext xmlns:c16="http://schemas.microsoft.com/office/drawing/2014/chart" uri="{C3380CC4-5D6E-409C-BE32-E72D297353CC}">
              <c16:uniqueId val="{00000004-A7F2-432B-B6A7-06C8ACF0373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2022</a:t>
            </a:r>
          </a:p>
        </c:rich>
      </c:tx>
      <c:overlay val="0"/>
    </c:title>
    <c:autoTitleDeleted val="0"/>
    <c:view3D>
      <c:rotX val="30"/>
      <c:rotY val="0"/>
      <c:depthPercent val="170"/>
      <c:rAngAx val="1"/>
    </c:view3D>
    <c:floor>
      <c:thickness val="0"/>
    </c:floor>
    <c:sideWall>
      <c:thickness val="0"/>
      <c:spPr>
        <a:scene3d>
          <a:camera prst="orthographicFront"/>
          <a:lightRig rig="threePt" dir="t"/>
        </a:scene3d>
        <a:sp3d prstMaterial="dkEdge"/>
      </c:spPr>
    </c:sideWall>
    <c:backWall>
      <c:thickness val="0"/>
      <c:spPr>
        <a:scene3d>
          <a:camera prst="orthographicFront"/>
          <a:lightRig rig="threePt" dir="t"/>
        </a:scene3d>
        <a:sp3d prstMaterial="dkEdge"/>
      </c:spPr>
    </c:backWall>
    <c:plotArea>
      <c:layout>
        <c:manualLayout>
          <c:layoutTarget val="inner"/>
          <c:xMode val="edge"/>
          <c:yMode val="edge"/>
          <c:x val="3.3375047763109693E-3"/>
          <c:y val="0.19214607743410067"/>
          <c:w val="0.99666236604353686"/>
          <c:h val="0.7907053962752264"/>
        </c:manualLayout>
      </c:layout>
      <c:pie3DChart>
        <c:varyColors val="1"/>
        <c:ser>
          <c:idx val="0"/>
          <c:order val="0"/>
          <c:tx>
            <c:strRef>
              <c:f>'X Entidad'!$C$36</c:f>
              <c:strCache>
                <c:ptCount val="1"/>
                <c:pt idx="0">
                  <c:v>2022</c:v>
                </c:pt>
              </c:strCache>
            </c:strRef>
          </c:tx>
          <c:spPr>
            <a:scene3d>
              <a:camera prst="orthographicFront"/>
              <a:lightRig rig="threePt" dir="t"/>
            </a:scene3d>
            <a:sp3d>
              <a:bevelT w="647700" h="1295400"/>
            </a:sp3d>
          </c:spPr>
          <c:explosion val="6"/>
          <c:dLbls>
            <c:dLbl>
              <c:idx val="0"/>
              <c:layout>
                <c:manualLayout>
                  <c:x val="-0.2380046177217949"/>
                  <c:y val="-0.23817331820875889"/>
                </c:manualLayout>
              </c:layout>
              <c:spPr>
                <a:noFill/>
                <a:ln>
                  <a:noFill/>
                </a:ln>
                <a:effectLst/>
              </c:spPr>
              <c:txPr>
                <a:bodyPr/>
                <a:lstStyle/>
                <a:p>
                  <a:pPr>
                    <a:defRPr sz="800">
                      <a:solidFill>
                        <a:schemeClr val="bg1"/>
                      </a:solidFill>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49435412660729822"/>
                      <c:h val="0.29163136904537645"/>
                    </c:manualLayout>
                  </c15:layout>
                </c:ext>
                <c:ext xmlns:c16="http://schemas.microsoft.com/office/drawing/2014/chart" uri="{C3380CC4-5D6E-409C-BE32-E72D297353CC}">
                  <c16:uniqueId val="{00000000-3A40-4C5F-BBDF-BA71324278DC}"/>
                </c:ext>
              </c:extLst>
            </c:dLbl>
            <c:dLbl>
              <c:idx val="1"/>
              <c:layout>
                <c:manualLayout>
                  <c:x val="-7.9851579813408055E-2"/>
                  <c:y val="5.8578802051657414E-3"/>
                </c:manualLayout>
              </c:layout>
              <c:tx>
                <c:rich>
                  <a:bodyPr/>
                  <a:lstStyle/>
                  <a:p>
                    <a:r>
                      <a:rPr lang="en-US" baseline="0"/>
                      <a:t>12 entidades restantes 9.5%</a:t>
                    </a:r>
                    <a:endParaRPr lang="en-US"/>
                  </a:p>
                </c:rich>
              </c:tx>
              <c:showLegendKey val="0"/>
              <c:showVal val="1"/>
              <c:showCatName val="1"/>
              <c:showSerName val="0"/>
              <c:showPercent val="0"/>
              <c:showBubbleSize val="0"/>
              <c:extLst>
                <c:ext xmlns:c15="http://schemas.microsoft.com/office/drawing/2012/chart" uri="{CE6537A1-D6FC-4f65-9D91-7224C49458BB}">
                  <c15:layout>
                    <c:manualLayout>
                      <c:w val="0.27796664733626297"/>
                      <c:h val="0.22373345676288073"/>
                    </c:manualLayout>
                  </c15:layout>
                </c:ext>
                <c:ext xmlns:c16="http://schemas.microsoft.com/office/drawing/2014/chart" uri="{C3380CC4-5D6E-409C-BE32-E72D297353CC}">
                  <c16:uniqueId val="{00000001-3A40-4C5F-BBDF-BA71324278DC}"/>
                </c:ext>
              </c:extLst>
            </c:dLbl>
            <c:dLbl>
              <c:idx val="2"/>
              <c:layout>
                <c:manualLayout>
                  <c:x val="-0.16310333369464203"/>
                  <c:y val="-7.584076655643785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A40-4C5F-BBDF-BA71324278DC}"/>
                </c:ext>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showLeaderLines val="1"/>
            <c:extLst>
              <c:ext xmlns:c15="http://schemas.microsoft.com/office/drawing/2012/chart" uri="{CE6537A1-D6FC-4f65-9D91-7224C49458BB}"/>
            </c:extLst>
          </c:dLbls>
          <c:cat>
            <c:strRef>
              <c:f>'X Entidad'!$B$37:$B$38</c:f>
              <c:strCache>
                <c:ptCount val="2"/>
                <c:pt idx="0">
                  <c:v>Obligaciones, Educación, Deuda, CIV, Salud, Gobernación y Defensa</c:v>
                </c:pt>
                <c:pt idx="1">
                  <c:v>12 restantes</c:v>
                </c:pt>
              </c:strCache>
            </c:strRef>
          </c:cat>
          <c:val>
            <c:numRef>
              <c:f>'X Entidad'!$C$37:$C$38</c:f>
              <c:numCache>
                <c:formatCode>0.0%</c:formatCode>
                <c:ptCount val="2"/>
                <c:pt idx="0">
                  <c:v>0.90535893875428186</c:v>
                </c:pt>
                <c:pt idx="1">
                  <c:v>9.4641061245718097E-2</c:v>
                </c:pt>
              </c:numCache>
            </c:numRef>
          </c:val>
          <c:extLst>
            <c:ext xmlns:c16="http://schemas.microsoft.com/office/drawing/2014/chart" uri="{C3380CC4-5D6E-409C-BE32-E72D297353CC}">
              <c16:uniqueId val="{00000003-3A40-4C5F-BBDF-BA71324278DC}"/>
            </c:ext>
          </c:extLst>
        </c:ser>
        <c:dLbls>
          <c:showLegendKey val="0"/>
          <c:showVal val="0"/>
          <c:showCatName val="0"/>
          <c:showSerName val="0"/>
          <c:showPercent val="0"/>
          <c:showBubbleSize val="0"/>
          <c:showLeaderLines val="1"/>
        </c:dLbls>
      </c:pie3DChart>
    </c:plotArea>
    <c:plotVisOnly val="1"/>
    <c:dispBlanksAs val="gap"/>
    <c:showDLblsOverMax val="0"/>
  </c:chart>
  <c:spPr>
    <a:noFill/>
    <a:ln>
      <a:noFill/>
    </a:ln>
    <a:scene3d>
      <a:camera prst="orthographicFront"/>
      <a:lightRig rig="threePt" dir="t"/>
    </a:scene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2023</a:t>
            </a:r>
          </a:p>
        </c:rich>
      </c:tx>
      <c:overlay val="0"/>
    </c:title>
    <c:autoTitleDeleted val="0"/>
    <c:view3D>
      <c:rotX val="40"/>
      <c:rotY val="0"/>
      <c:rAngAx val="0"/>
    </c:view3D>
    <c:floor>
      <c:thickness val="0"/>
    </c:floor>
    <c:sideWall>
      <c:thickness val="0"/>
    </c:sideWall>
    <c:backWall>
      <c:thickness val="0"/>
    </c:backWall>
    <c:plotArea>
      <c:layout>
        <c:manualLayout>
          <c:layoutTarget val="inner"/>
          <c:xMode val="edge"/>
          <c:yMode val="edge"/>
          <c:x val="2.7785495971103084E-2"/>
          <c:y val="0.17288794267739771"/>
          <c:w val="0.93887190886357319"/>
          <c:h val="0.78835307888247652"/>
        </c:manualLayout>
      </c:layout>
      <c:pie3DChart>
        <c:varyColors val="1"/>
        <c:ser>
          <c:idx val="0"/>
          <c:order val="0"/>
          <c:tx>
            <c:strRef>
              <c:f>'X Entidad'!$C$44</c:f>
              <c:strCache>
                <c:ptCount val="1"/>
                <c:pt idx="0">
                  <c:v>2023</c:v>
                </c:pt>
              </c:strCache>
            </c:strRef>
          </c:tx>
          <c:spPr>
            <a:scene3d>
              <a:camera prst="orthographicFront"/>
              <a:lightRig rig="threePt" dir="t"/>
            </a:scene3d>
            <a:sp3d>
              <a:bevelT w="647700" h="1219200"/>
            </a:sp3d>
          </c:spPr>
          <c:explosion val="4"/>
          <c:dLbls>
            <c:dLbl>
              <c:idx val="0"/>
              <c:layout>
                <c:manualLayout>
                  <c:x val="-0.23794691868305343"/>
                  <c:y val="-0.2265201668643905"/>
                </c:manualLayout>
              </c:layout>
              <c:spPr>
                <a:noFill/>
                <a:ln>
                  <a:noFill/>
                </a:ln>
                <a:effectLst/>
              </c:spPr>
              <c:txPr>
                <a:bodyPr/>
                <a:lstStyle/>
                <a:p>
                  <a:pPr>
                    <a:defRPr sz="800">
                      <a:solidFill>
                        <a:schemeClr val="bg1"/>
                      </a:solidFill>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53246899291798033"/>
                      <c:h val="0.36520562189040279"/>
                    </c:manualLayout>
                  </c15:layout>
                </c:ext>
                <c:ext xmlns:c16="http://schemas.microsoft.com/office/drawing/2014/chart" uri="{C3380CC4-5D6E-409C-BE32-E72D297353CC}">
                  <c16:uniqueId val="{00000000-7C85-44A2-9D48-B71F23EA5B1A}"/>
                </c:ext>
              </c:extLst>
            </c:dLbl>
            <c:dLbl>
              <c:idx val="1"/>
              <c:layout>
                <c:manualLayout>
                  <c:x val="-0.16500338905746195"/>
                  <c:y val="6.7371257737147497E-6"/>
                </c:manualLayout>
              </c:layout>
              <c:tx>
                <c:rich>
                  <a:bodyPr/>
                  <a:lstStyle/>
                  <a:p>
                    <a:pPr>
                      <a:defRPr sz="800">
                        <a:latin typeface="Times New Roman" panose="02020603050405020304" pitchFamily="18" charset="0"/>
                        <a:cs typeface="Times New Roman" panose="02020603050405020304" pitchFamily="18" charset="0"/>
                      </a:defRPr>
                    </a:pPr>
                    <a:r>
                      <a:rPr lang="en-US"/>
                      <a:t>12 entidades restantes</a:t>
                    </a:r>
                  </a:p>
                  <a:p>
                    <a:pPr>
                      <a:defRPr sz="800">
                        <a:latin typeface="Times New Roman" panose="02020603050405020304" pitchFamily="18" charset="0"/>
                        <a:cs typeface="Times New Roman" panose="02020603050405020304" pitchFamily="18" charset="0"/>
                      </a:defRPr>
                    </a:pPr>
                    <a:r>
                      <a:rPr lang="en-US"/>
                      <a:t>7.8%</a:t>
                    </a:r>
                  </a:p>
                </c:rich>
              </c:tx>
              <c:spPr>
                <a:noFill/>
                <a:ln>
                  <a:noFill/>
                </a:ln>
                <a:effectLst/>
              </c:spPr>
              <c:showLegendKey val="0"/>
              <c:showVal val="1"/>
              <c:showCatName val="1"/>
              <c:showSerName val="0"/>
              <c:showPercent val="0"/>
              <c:showBubbleSize val="0"/>
              <c:extLst>
                <c:ext xmlns:c15="http://schemas.microsoft.com/office/drawing/2012/chart" uri="{CE6537A1-D6FC-4f65-9D91-7224C49458BB}">
                  <c15:layout>
                    <c:manualLayout>
                      <c:w val="0.22901666656108854"/>
                      <c:h val="0.31658820722276027"/>
                    </c:manualLayout>
                  </c15:layout>
                </c:ext>
                <c:ext xmlns:c16="http://schemas.microsoft.com/office/drawing/2014/chart" uri="{C3380CC4-5D6E-409C-BE32-E72D297353CC}">
                  <c16:uniqueId val="{00000001-7C85-44A2-9D48-B71F23EA5B1A}"/>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showLeaderLines val="1"/>
            <c:extLst>
              <c:ext xmlns:c15="http://schemas.microsoft.com/office/drawing/2012/chart" uri="{CE6537A1-D6FC-4f65-9D91-7224C49458BB}"/>
            </c:extLst>
          </c:dLbls>
          <c:cat>
            <c:strRef>
              <c:f>'X Entidad'!$B$45:$B$46</c:f>
              <c:strCache>
                <c:ptCount val="2"/>
                <c:pt idx="0">
                  <c:v>Obligaciones, Educación, Deuda, CIV, Salud, Gobernación y Defensa</c:v>
                </c:pt>
                <c:pt idx="1">
                  <c:v>12 restantes</c:v>
                </c:pt>
              </c:strCache>
            </c:strRef>
          </c:cat>
          <c:val>
            <c:numRef>
              <c:f>'X Entidad'!$C$45:$C$46</c:f>
              <c:numCache>
                <c:formatCode>0.0%</c:formatCode>
                <c:ptCount val="2"/>
                <c:pt idx="0">
                  <c:v>0.92200165816113011</c:v>
                </c:pt>
                <c:pt idx="1">
                  <c:v>7.7998341838869847E-2</c:v>
                </c:pt>
              </c:numCache>
            </c:numRef>
          </c:val>
          <c:extLst>
            <c:ext xmlns:c16="http://schemas.microsoft.com/office/drawing/2014/chart" uri="{C3380CC4-5D6E-409C-BE32-E72D297353CC}">
              <c16:uniqueId val="{00000002-7C85-44A2-9D48-B71F23EA5B1A}"/>
            </c:ext>
          </c:extLst>
        </c:ser>
        <c:dLbls>
          <c:showLegendKey val="0"/>
          <c:showVal val="0"/>
          <c:showCatName val="0"/>
          <c:showSerName val="0"/>
          <c:showPercent val="0"/>
          <c:showBubbleSize val="0"/>
          <c:showLeaderLines val="1"/>
        </c:dLbls>
      </c:pie3DChart>
    </c:plotArea>
    <c:plotVisOnly val="1"/>
    <c:dispBlanksAs val="gap"/>
    <c:showDLblsOverMax val="0"/>
  </c:chart>
  <c:spPr>
    <a:noFill/>
    <a:ln>
      <a:noFill/>
    </a:ln>
    <a:scene3d>
      <a:camera prst="orthographicFront"/>
      <a:lightRig rig="threePt" dir="t"/>
    </a:scene3d>
    <a:sp3d>
      <a:bevelT/>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77129171763815"/>
          <c:y val="3.8718760999648008E-2"/>
          <c:w val="0.81946398111614605"/>
          <c:h val="0.884506675313949"/>
        </c:manualLayout>
      </c:layout>
      <c:barChart>
        <c:barDir val="col"/>
        <c:grouping val="clustered"/>
        <c:varyColors val="0"/>
        <c:ser>
          <c:idx val="0"/>
          <c:order val="0"/>
          <c:tx>
            <c:strRef>
              <c:f>'Resultado Presupuestario'!$F$22</c:f>
              <c:strCache>
                <c:ptCount val="1"/>
                <c:pt idx="0">
                  <c:v>Resultado Presupuestario</c:v>
                </c:pt>
              </c:strCache>
            </c:strRef>
          </c:tx>
          <c:spPr>
            <a:solidFill>
              <a:srgbClr val="00B050"/>
            </a:solidFill>
            <a:scene3d>
              <a:camera prst="orthographicFront"/>
              <a:lightRig rig="threePt" dir="t"/>
            </a:scene3d>
            <a:sp3d>
              <a:bevelT/>
            </a:sp3d>
          </c:spPr>
          <c:invertIfNegative val="0"/>
          <c:dPt>
            <c:idx val="4"/>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1-1932-4B84-B1D6-C747EC7E112F}"/>
              </c:ext>
            </c:extLst>
          </c:dPt>
          <c:dPt>
            <c:idx val="5"/>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3-1932-4B84-B1D6-C747EC7E112F}"/>
              </c:ext>
            </c:extLst>
          </c:dPt>
          <c:dPt>
            <c:idx val="6"/>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5-1932-4B84-B1D6-C747EC7E112F}"/>
              </c:ext>
            </c:extLst>
          </c:dPt>
          <c:dPt>
            <c:idx val="7"/>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7-1932-4B84-B1D6-C747EC7E112F}"/>
              </c:ext>
            </c:extLst>
          </c:dPt>
          <c:dPt>
            <c:idx val="8"/>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9-1932-4B84-B1D6-C747EC7E112F}"/>
              </c:ext>
            </c:extLst>
          </c:dPt>
          <c:dPt>
            <c:idx val="9"/>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B-1932-4B84-B1D6-C747EC7E112F}"/>
              </c:ext>
            </c:extLst>
          </c:dPt>
          <c:dPt>
            <c:idx val="10"/>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D-1932-4B84-B1D6-C747EC7E112F}"/>
              </c:ext>
            </c:extLst>
          </c:dPt>
          <c:dPt>
            <c:idx val="11"/>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F-1932-4B84-B1D6-C747EC7E112F}"/>
              </c:ext>
            </c:extLst>
          </c:dPt>
          <c:dLbls>
            <c:dLbl>
              <c:idx val="0"/>
              <c:layout>
                <c:manualLayout>
                  <c:x val="3.4532374100719423E-2"/>
                  <c:y val="3.73655618629066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932-4B84-B1D6-C747EC7E112F}"/>
                </c:ext>
              </c:extLst>
            </c:dLbl>
            <c:dLbl>
              <c:idx val="4"/>
              <c:layout>
                <c:manualLayout>
                  <c:x val="5.7553956834532375E-3"/>
                  <c:y val="1.00399194286760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32-4B84-B1D6-C747EC7E112F}"/>
                </c:ext>
              </c:extLst>
            </c:dLbl>
            <c:dLbl>
              <c:idx val="7"/>
              <c:layout>
                <c:manualLayout>
                  <c:x val="1.9184652278176754E-3"/>
                  <c:y val="0.22389159494598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932-4B84-B1D6-C747EC7E112F}"/>
                </c:ext>
              </c:extLst>
            </c:dLbl>
            <c:dLbl>
              <c:idx val="8"/>
              <c:layout>
                <c:manualLayout>
                  <c:x val="0"/>
                  <c:y val="9.9041870030237775E-3"/>
                </c:manualLayout>
              </c:layout>
              <c:spPr/>
              <c:txPr>
                <a:bodyPr/>
                <a:lstStyle/>
                <a:p>
                  <a:pPr>
                    <a:defRPr sz="700" b="1">
                      <a:solidFill>
                        <a:sysClr val="windowText" lastClr="000000"/>
                      </a:solidFill>
                    </a:defRPr>
                  </a:pPr>
                  <a:endParaRPr lang="es-GT"/>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932-4B84-B1D6-C747EC7E112F}"/>
                </c:ext>
              </c:extLst>
            </c:dLbl>
            <c:dLbl>
              <c:idx val="9"/>
              <c:layout>
                <c:manualLayout>
                  <c:x val="2.1881838074398249E-3"/>
                  <c:y val="3.1338083795491773E-3"/>
                </c:manualLayout>
              </c:layout>
              <c:spPr/>
              <c:txPr>
                <a:bodyPr/>
                <a:lstStyle/>
                <a:p>
                  <a:pPr>
                    <a:defRPr sz="700" b="1">
                      <a:solidFill>
                        <a:sysClr val="windowText" lastClr="000000"/>
                      </a:solidFill>
                    </a:defRPr>
                  </a:pPr>
                  <a:endParaRPr lang="es-GT"/>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932-4B84-B1D6-C747EC7E112F}"/>
                </c:ext>
              </c:extLst>
            </c:dLbl>
            <c:dLbl>
              <c:idx val="10"/>
              <c:layout>
                <c:manualLayout>
                  <c:x val="-8.0232479420344818E-17"/>
                  <c:y val="0.1074948656761094"/>
                </c:manualLayout>
              </c:layout>
              <c:spPr/>
              <c:txPr>
                <a:bodyPr/>
                <a:lstStyle/>
                <a:p>
                  <a:pPr>
                    <a:defRPr sz="700" b="1">
                      <a:solidFill>
                        <a:sysClr val="windowText" lastClr="000000"/>
                      </a:solidFill>
                    </a:defRPr>
                  </a:pPr>
                  <a:endParaRPr lang="es-GT"/>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932-4B84-B1D6-C747EC7E112F}"/>
                </c:ext>
              </c:extLst>
            </c:dLbl>
            <c:dLbl>
              <c:idx val="11"/>
              <c:layout>
                <c:manualLayout>
                  <c:x val="-6.5645514223194746E-3"/>
                  <c:y val="1.2147768751715551E-3"/>
                </c:manualLayout>
              </c:layout>
              <c:spPr/>
              <c:txPr>
                <a:bodyPr/>
                <a:lstStyle/>
                <a:p>
                  <a:pPr>
                    <a:defRPr sz="700" b="1">
                      <a:solidFill>
                        <a:sysClr val="windowText" lastClr="000000"/>
                      </a:solidFill>
                    </a:defRPr>
                  </a:pPr>
                  <a:endParaRPr lang="es-GT"/>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932-4B84-B1D6-C747EC7E112F}"/>
                </c:ext>
              </c:extLst>
            </c:dLbl>
            <c:spPr>
              <a:noFill/>
              <a:ln>
                <a:noFill/>
              </a:ln>
              <a:effectLst/>
            </c:spPr>
            <c:txPr>
              <a:bodyPr/>
              <a:lstStyle/>
              <a:p>
                <a:pPr>
                  <a:defRPr sz="700" b="1">
                    <a:solidFill>
                      <a:sysClr val="windowText" lastClr="000000"/>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'Resultado Presupuestario'!$E$23:$E$38</c:f>
              <c:numCache>
                <c:formatCode>General</c:formatCode>
                <c:ptCount val="16"/>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numCache>
            </c:numRef>
          </c:cat>
          <c:val>
            <c:numRef>
              <c:f>'Resultado Presupuestario'!$F$23:$F$38</c:f>
              <c:numCache>
                <c:formatCode>#,##0.0</c:formatCode>
                <c:ptCount val="16"/>
                <c:pt idx="0">
                  <c:v>1344.6844330900058</c:v>
                </c:pt>
                <c:pt idx="1">
                  <c:v>-1903.1</c:v>
                </c:pt>
                <c:pt idx="2">
                  <c:v>-3089.5</c:v>
                </c:pt>
                <c:pt idx="3">
                  <c:v>-2856.2</c:v>
                </c:pt>
                <c:pt idx="4">
                  <c:v>209.2</c:v>
                </c:pt>
                <c:pt idx="5">
                  <c:v>-2090.4</c:v>
                </c:pt>
                <c:pt idx="6">
                  <c:v>-2438.1</c:v>
                </c:pt>
                <c:pt idx="7">
                  <c:v>-3679.4</c:v>
                </c:pt>
                <c:pt idx="8">
                  <c:v>516.4</c:v>
                </c:pt>
                <c:pt idx="9">
                  <c:v>472.3</c:v>
                </c:pt>
                <c:pt idx="10">
                  <c:v>-609.79999999999995</c:v>
                </c:pt>
                <c:pt idx="11">
                  <c:v>-4447.8</c:v>
                </c:pt>
                <c:pt idx="12">
                  <c:v>-9381.9</c:v>
                </c:pt>
                <c:pt idx="13">
                  <c:v>-1757.5</c:v>
                </c:pt>
                <c:pt idx="14">
                  <c:v>-1431.1</c:v>
                </c:pt>
                <c:pt idx="15">
                  <c:v>-5122.2334523799982</c:v>
                </c:pt>
              </c:numCache>
            </c:numRef>
          </c:val>
          <c:extLst>
            <c:ext xmlns:c16="http://schemas.microsoft.com/office/drawing/2014/chart" uri="{C3380CC4-5D6E-409C-BE32-E72D297353CC}">
              <c16:uniqueId val="{00000011-1932-4B84-B1D6-C747EC7E112F}"/>
            </c:ext>
          </c:extLst>
        </c:ser>
        <c:dLbls>
          <c:showLegendKey val="0"/>
          <c:showVal val="0"/>
          <c:showCatName val="0"/>
          <c:showSerName val="0"/>
          <c:showPercent val="0"/>
          <c:showBubbleSize val="0"/>
        </c:dLbls>
        <c:gapWidth val="12"/>
        <c:axId val="62884096"/>
        <c:axId val="62914560"/>
      </c:barChart>
      <c:lineChart>
        <c:grouping val="standard"/>
        <c:varyColors val="0"/>
        <c:ser>
          <c:idx val="1"/>
          <c:order val="1"/>
          <c:tx>
            <c:strRef>
              <c:f>'Resultado Presupuestario'!$G$22</c:f>
              <c:strCache>
                <c:ptCount val="1"/>
                <c:pt idx="0">
                  <c:v>%PIB</c:v>
                </c:pt>
              </c:strCache>
            </c:strRef>
          </c:tx>
          <c:spPr>
            <a:ln>
              <a:solidFill>
                <a:srgbClr val="FF0000"/>
              </a:solidFill>
            </a:ln>
          </c:spPr>
          <c:marker>
            <c:symbol val="none"/>
          </c:marker>
          <c:dLbls>
            <c:dLbl>
              <c:idx val="0"/>
              <c:layout>
                <c:manualLayout>
                  <c:x val="6.2644084150312723E-3"/>
                  <c:y val="-8.99225901936492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932-4B84-B1D6-C747EC7E112F}"/>
                </c:ext>
              </c:extLst>
            </c:dLbl>
            <c:dLbl>
              <c:idx val="1"/>
              <c:layout>
                <c:manualLayout>
                  <c:x val="-6.9784799875945491E-2"/>
                  <c:y val="1.38888657925151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932-4B84-B1D6-C747EC7E112F}"/>
                </c:ext>
              </c:extLst>
            </c:dLbl>
            <c:dLbl>
              <c:idx val="2"/>
              <c:layout>
                <c:manualLayout>
                  <c:x val="-6.6666666666666666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932-4B84-B1D6-C747EC7E112F}"/>
                </c:ext>
              </c:extLst>
            </c:dLbl>
            <c:dLbl>
              <c:idx val="3"/>
              <c:layout>
                <c:manualLayout>
                  <c:x val="-3.6770633886591512E-2"/>
                  <c:y val="4.48105963498748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932-4B84-B1D6-C747EC7E112F}"/>
                </c:ext>
              </c:extLst>
            </c:dLbl>
            <c:dLbl>
              <c:idx val="4"/>
              <c:layout>
                <c:manualLayout>
                  <c:x val="-3.7278554075707751E-2"/>
                  <c:y val="-3.9499233662318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932-4B84-B1D6-C747EC7E112F}"/>
                </c:ext>
              </c:extLst>
            </c:dLbl>
            <c:dLbl>
              <c:idx val="5"/>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1932-4B84-B1D6-C747EC7E112F}"/>
                </c:ext>
              </c:extLst>
            </c:dLbl>
            <c:dLbl>
              <c:idx val="6"/>
              <c:layout>
                <c:manualLayout>
                  <c:x val="-4.4244642081610303E-2"/>
                  <c:y val="7.0499664286150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1932-4B84-B1D6-C747EC7E112F}"/>
                </c:ext>
              </c:extLst>
            </c:dLbl>
            <c:dLbl>
              <c:idx val="7"/>
              <c:layout>
                <c:manualLayout>
                  <c:x val="-3.9488358919163878E-2"/>
                  <c:y val="3.04908746871758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1932-4B84-B1D6-C747EC7E112F}"/>
                </c:ext>
              </c:extLst>
            </c:dLbl>
            <c:dLbl>
              <c:idx val="8"/>
              <c:layout>
                <c:manualLayout>
                  <c:x val="-2.6711866158962077E-2"/>
                  <c:y val="-3.19542026623651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1932-4B84-B1D6-C747EC7E112F}"/>
                </c:ext>
              </c:extLst>
            </c:dLbl>
            <c:dLbl>
              <c:idx val="9"/>
              <c:layout>
                <c:manualLayout>
                  <c:x val="-9.5447888488775588E-3"/>
                  <c:y val="-3.3673404340824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1932-4B84-B1D6-C747EC7E112F}"/>
                </c:ext>
              </c:extLst>
            </c:dLbl>
            <c:dLbl>
              <c:idx val="10"/>
              <c:layout>
                <c:manualLayout>
                  <c:x val="-6.4897913471975821E-2"/>
                  <c:y val="3.09348211093465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1932-4B84-B1D6-C747EC7E112F}"/>
                </c:ext>
              </c:extLst>
            </c:dLbl>
            <c:dLbl>
              <c:idx val="11"/>
              <c:layout>
                <c:manualLayout>
                  <c:x val="-4.220623501199041E-2"/>
                  <c:y val="7.4418604651162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1932-4B84-B1D6-C747EC7E112F}"/>
                </c:ext>
              </c:extLst>
            </c:dLbl>
            <c:dLbl>
              <c:idx val="12"/>
              <c:layout>
                <c:manualLayout>
                  <c:x val="4.3763676148796497E-3"/>
                  <c:y val="-7.0397747272087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1932-4B84-B1D6-C747EC7E112F}"/>
                </c:ext>
              </c:extLst>
            </c:dLbl>
            <c:dLbl>
              <c:idx val="13"/>
              <c:layout>
                <c:manualLayout>
                  <c:x val="-1.3129102844638949E-2"/>
                  <c:y val="3.1678986272439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1932-4B84-B1D6-C747EC7E112F}"/>
                </c:ext>
              </c:extLst>
            </c:dLbl>
            <c:dLbl>
              <c:idx val="14"/>
              <c:layout>
                <c:manualLayout>
                  <c:x val="-4.5951859956236324E-2"/>
                  <c:y val="-3.1678986272439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1932-4B84-B1D6-C747EC7E112F}"/>
                </c:ext>
              </c:extLst>
            </c:dLbl>
            <c:dLbl>
              <c:idx val="15"/>
              <c:layout>
                <c:manualLayout>
                  <c:x val="-4.4108099726046276E-2"/>
                  <c:y val="6.68778599084829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1932-4B84-B1D6-C747EC7E112F}"/>
                </c:ext>
              </c:extLst>
            </c:dLbl>
            <c:spPr>
              <a:noFill/>
              <a:ln>
                <a:noFill/>
              </a:ln>
              <a:effectLst/>
            </c:spPr>
            <c:txPr>
              <a:bodyPr/>
              <a:lstStyle/>
              <a:p>
                <a:pPr>
                  <a:defRPr sz="700" b="0">
                    <a:solidFill>
                      <a:srgbClr val="FF0000"/>
                    </a:solidFill>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'Resultado Presupuestario'!$E$23:$E$38</c:f>
              <c:numCache>
                <c:formatCode>General</c:formatCode>
                <c:ptCount val="16"/>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numCache>
            </c:numRef>
          </c:cat>
          <c:val>
            <c:numRef>
              <c:f>'Resultado Presupuestario'!$G$23:$G$38</c:f>
              <c:numCache>
                <c:formatCode>0.0%</c:formatCode>
                <c:ptCount val="16"/>
                <c:pt idx="0">
                  <c:v>4.5448258216489448E-3</c:v>
                </c:pt>
                <c:pt idx="1">
                  <c:v>-6.1795662256881106E-3</c:v>
                </c:pt>
                <c:pt idx="2">
                  <c:v>-9.2751762718804986E-3</c:v>
                </c:pt>
                <c:pt idx="3">
                  <c:v>-7.6984115860528352E-3</c:v>
                </c:pt>
                <c:pt idx="4">
                  <c:v>5.2999191838327129E-4</c:v>
                </c:pt>
                <c:pt idx="5">
                  <c:v>-5.0203754618341956E-3</c:v>
                </c:pt>
                <c:pt idx="6">
                  <c:v>-5.4503837578966409E-3</c:v>
                </c:pt>
                <c:pt idx="7">
                  <c:v>-7.7294616980531188E-3</c:v>
                </c:pt>
                <c:pt idx="8">
                  <c:v>1.028681775380442E-3</c:v>
                </c:pt>
                <c:pt idx="9">
                  <c:v>8.9704342237165136E-4</c:v>
                </c:pt>
                <c:pt idx="10">
                  <c:v>-1.1077806238305448E-3</c:v>
                </c:pt>
                <c:pt idx="11">
                  <c:v>-7.5030364372469637E-3</c:v>
                </c:pt>
                <c:pt idx="12">
                  <c:v>-1.5656441087131309E-2</c:v>
                </c:pt>
                <c:pt idx="13">
                  <c:v>-2.7349713905652747E-3</c:v>
                </c:pt>
                <c:pt idx="14">
                  <c:v>-1.9929026429946982E-3</c:v>
                </c:pt>
                <c:pt idx="15">
                  <c:v>-6.4314971953320635E-3</c:v>
                </c:pt>
              </c:numCache>
            </c:numRef>
          </c:val>
          <c:smooth val="0"/>
          <c:extLst>
            <c:ext xmlns:c16="http://schemas.microsoft.com/office/drawing/2014/chart" uri="{C3380CC4-5D6E-409C-BE32-E72D297353CC}">
              <c16:uniqueId val="{0000001F-1932-4B84-B1D6-C747EC7E112F}"/>
            </c:ext>
          </c:extLst>
        </c:ser>
        <c:dLbls>
          <c:showLegendKey val="0"/>
          <c:showVal val="0"/>
          <c:showCatName val="0"/>
          <c:showSerName val="0"/>
          <c:showPercent val="0"/>
          <c:showBubbleSize val="0"/>
        </c:dLbls>
        <c:marker val="1"/>
        <c:smooth val="0"/>
        <c:axId val="62916096"/>
        <c:axId val="62917632"/>
      </c:lineChart>
      <c:catAx>
        <c:axId val="62884096"/>
        <c:scaling>
          <c:orientation val="minMax"/>
        </c:scaling>
        <c:delete val="0"/>
        <c:axPos val="b"/>
        <c:numFmt formatCode="General" sourceLinked="1"/>
        <c:majorTickMark val="out"/>
        <c:minorTickMark val="none"/>
        <c:tickLblPos val="low"/>
        <c:txPr>
          <a:bodyPr rot="0" vert="horz" anchor="t" anchorCtr="1"/>
          <a:lstStyle/>
          <a:p>
            <a:pPr>
              <a:defRPr sz="1000" b="1"/>
            </a:pPr>
            <a:endParaRPr lang="es-GT"/>
          </a:p>
        </c:txPr>
        <c:crossAx val="62914560"/>
        <c:crosses val="autoZero"/>
        <c:auto val="0"/>
        <c:lblAlgn val="ctr"/>
        <c:lblOffset val="100"/>
        <c:tickLblSkip val="1"/>
        <c:noMultiLvlLbl val="0"/>
      </c:catAx>
      <c:valAx>
        <c:axId val="62914560"/>
        <c:scaling>
          <c:orientation val="minMax"/>
        </c:scaling>
        <c:delete val="0"/>
        <c:axPos val="l"/>
        <c:numFmt formatCode="#,##0.0" sourceLinked="1"/>
        <c:majorTickMark val="out"/>
        <c:minorTickMark val="none"/>
        <c:tickLblPos val="nextTo"/>
        <c:txPr>
          <a:bodyPr/>
          <a:lstStyle/>
          <a:p>
            <a:pPr>
              <a:defRPr b="1"/>
            </a:pPr>
            <a:endParaRPr lang="es-GT"/>
          </a:p>
        </c:txPr>
        <c:crossAx val="62884096"/>
        <c:crosses val="autoZero"/>
        <c:crossBetween val="midCat"/>
      </c:valAx>
      <c:catAx>
        <c:axId val="62916096"/>
        <c:scaling>
          <c:orientation val="minMax"/>
        </c:scaling>
        <c:delete val="1"/>
        <c:axPos val="b"/>
        <c:numFmt formatCode="General" sourceLinked="1"/>
        <c:majorTickMark val="out"/>
        <c:minorTickMark val="none"/>
        <c:tickLblPos val="nextTo"/>
        <c:crossAx val="62917632"/>
        <c:crosses val="autoZero"/>
        <c:auto val="1"/>
        <c:lblAlgn val="ctr"/>
        <c:lblOffset val="100"/>
        <c:noMultiLvlLbl val="0"/>
      </c:catAx>
      <c:valAx>
        <c:axId val="62917632"/>
        <c:scaling>
          <c:orientation val="minMax"/>
        </c:scaling>
        <c:delete val="0"/>
        <c:axPos val="r"/>
        <c:numFmt formatCode="0.0%" sourceLinked="1"/>
        <c:majorTickMark val="out"/>
        <c:minorTickMark val="none"/>
        <c:tickLblPos val="nextTo"/>
        <c:txPr>
          <a:bodyPr/>
          <a:lstStyle/>
          <a:p>
            <a:pPr>
              <a:defRPr b="1"/>
            </a:pPr>
            <a:endParaRPr lang="es-GT"/>
          </a:p>
        </c:txPr>
        <c:crossAx val="62916096"/>
        <c:crosses val="max"/>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35728192935435E-2"/>
          <c:y val="3.0522382804130756E-2"/>
          <c:w val="0.88764972826466537"/>
          <c:h val="0.85022239110933917"/>
        </c:manualLayout>
      </c:layout>
      <c:barChart>
        <c:barDir val="col"/>
        <c:grouping val="clustered"/>
        <c:varyColors val="0"/>
        <c:ser>
          <c:idx val="0"/>
          <c:order val="0"/>
          <c:tx>
            <c:strRef>
              <c:f>'Deuda Publica'!$B$10</c:f>
              <c:strCache>
                <c:ptCount val="1"/>
                <c:pt idx="0">
                  <c:v>Saldo Deuda</c:v>
                </c:pt>
              </c:strCache>
            </c:strRef>
          </c:tx>
          <c:invertIfNegative val="0"/>
          <c:dLbls>
            <c:dLbl>
              <c:idx val="13"/>
              <c:layout>
                <c:manualLayout>
                  <c:x val="-1.543209876543209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10-42CC-8BD0-1D4ED5D6DB36}"/>
                </c:ext>
              </c:extLst>
            </c:dLbl>
            <c:spPr>
              <a:noFill/>
              <a:ln>
                <a:noFill/>
              </a:ln>
              <a:effectLst/>
            </c:spPr>
            <c:txPr>
              <a:bodyPr/>
              <a:lstStyle/>
              <a:p>
                <a:pPr>
                  <a:defRPr sz="6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'Deuda Publica'!$A$11:$A$25</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'Deuda Publica'!$B$11:$B$25</c:f>
              <c:numCache>
                <c:formatCode>#,##0.0</c:formatCode>
                <c:ptCount val="15"/>
                <c:pt idx="0">
                  <c:v>71887.679999999993</c:v>
                </c:pt>
                <c:pt idx="1">
                  <c:v>81366.89</c:v>
                </c:pt>
                <c:pt idx="2">
                  <c:v>88806.8</c:v>
                </c:pt>
                <c:pt idx="3">
                  <c:v>96960.33</c:v>
                </c:pt>
                <c:pt idx="4">
                  <c:v>104843.92</c:v>
                </c:pt>
                <c:pt idx="5">
                  <c:v>110904.06</c:v>
                </c:pt>
                <c:pt idx="6">
                  <c:v>118625.74</c:v>
                </c:pt>
                <c:pt idx="7">
                  <c:v>125676.09</c:v>
                </c:pt>
                <c:pt idx="8">
                  <c:v>132449.59</c:v>
                </c:pt>
                <c:pt idx="9">
                  <c:v>146020.6</c:v>
                </c:pt>
                <c:pt idx="10">
                  <c:v>157325.85</c:v>
                </c:pt>
                <c:pt idx="11">
                  <c:v>189187.55</c:v>
                </c:pt>
                <c:pt idx="12">
                  <c:v>204666</c:v>
                </c:pt>
                <c:pt idx="13">
                  <c:v>214755.36</c:v>
                </c:pt>
                <c:pt idx="14">
                  <c:v>219660.58</c:v>
                </c:pt>
              </c:numCache>
            </c:numRef>
          </c:val>
          <c:extLst>
            <c:ext xmlns:c16="http://schemas.microsoft.com/office/drawing/2014/chart" uri="{C3380CC4-5D6E-409C-BE32-E72D297353CC}">
              <c16:uniqueId val="{00000001-E410-42CC-8BD0-1D4ED5D6DB36}"/>
            </c:ext>
          </c:extLst>
        </c:ser>
        <c:dLbls>
          <c:showLegendKey val="0"/>
          <c:showVal val="0"/>
          <c:showCatName val="0"/>
          <c:showSerName val="0"/>
          <c:showPercent val="0"/>
          <c:showBubbleSize val="0"/>
        </c:dLbls>
        <c:gapWidth val="40"/>
        <c:axId val="62949248"/>
        <c:axId val="62950784"/>
      </c:barChart>
      <c:lineChart>
        <c:grouping val="standard"/>
        <c:varyColors val="0"/>
        <c:ser>
          <c:idx val="1"/>
          <c:order val="1"/>
          <c:tx>
            <c:strRef>
              <c:f>'Deuda Publica'!$C$10</c:f>
              <c:strCache>
                <c:ptCount val="1"/>
                <c:pt idx="0">
                  <c:v>% PIB</c:v>
                </c:pt>
              </c:strCache>
            </c:strRef>
          </c:tx>
          <c:marker>
            <c:symbol val="none"/>
          </c:marker>
          <c:dLbls>
            <c:dLbl>
              <c:idx val="0"/>
              <c:layout>
                <c:manualLayout>
                  <c:x val="-3.0853976122399582E-2"/>
                  <c:y val="0.332178115043394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10-42CC-8BD0-1D4ED5D6DB36}"/>
                </c:ext>
              </c:extLst>
            </c:dLbl>
            <c:dLbl>
              <c:idx val="1"/>
              <c:layout>
                <c:manualLayout>
                  <c:x val="-2.9782582795732915E-2"/>
                  <c:y val="0.30924267267380179"/>
                </c:manualLayout>
              </c:layout>
              <c:dLblPos val="r"/>
              <c:showLegendKey val="0"/>
              <c:showVal val="1"/>
              <c:showCatName val="0"/>
              <c:showSerName val="0"/>
              <c:showPercent val="0"/>
              <c:showBubbleSize val="0"/>
              <c:extLst>
                <c:ext xmlns:c15="http://schemas.microsoft.com/office/drawing/2012/chart" uri="{CE6537A1-D6FC-4f65-9D91-7224C49458BB}">
                  <c15:layout>
                    <c:manualLayout>
                      <c:w val="4.0090883682911388E-2"/>
                      <c:h val="5.7298004131437499E-2"/>
                    </c:manualLayout>
                  </c15:layout>
                </c:ext>
                <c:ext xmlns:c16="http://schemas.microsoft.com/office/drawing/2014/chart" uri="{C3380CC4-5D6E-409C-BE32-E72D297353CC}">
                  <c16:uniqueId val="{00000003-E410-42CC-8BD0-1D4ED5D6DB36}"/>
                </c:ext>
              </c:extLst>
            </c:dLbl>
            <c:dLbl>
              <c:idx val="2"/>
              <c:layout>
                <c:manualLayout>
                  <c:x val="-2.7129733190689204E-2"/>
                  <c:y val="0.2700523171970334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410-42CC-8BD0-1D4ED5D6DB36}"/>
                </c:ext>
              </c:extLst>
            </c:dLbl>
            <c:dLbl>
              <c:idx val="3"/>
              <c:layout>
                <c:manualLayout>
                  <c:x val="-2.7282598319969455E-2"/>
                  <c:y val="0.2493208007335541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410-42CC-8BD0-1D4ED5D6DB36}"/>
                </c:ext>
              </c:extLst>
            </c:dLbl>
            <c:dLbl>
              <c:idx val="4"/>
              <c:layout>
                <c:manualLayout>
                  <c:x val="-2.7151345933562481E-2"/>
                  <c:y val="0.2237520704732915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410-42CC-8BD0-1D4ED5D6DB36}"/>
                </c:ext>
              </c:extLst>
            </c:dLbl>
            <c:dLbl>
              <c:idx val="5"/>
              <c:layout>
                <c:manualLayout>
                  <c:x val="-2.8161403963777094E-2"/>
                  <c:y val="0.1974737337421237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410-42CC-8BD0-1D4ED5D6DB36}"/>
                </c:ext>
              </c:extLst>
            </c:dLbl>
            <c:dLbl>
              <c:idx val="6"/>
              <c:layout>
                <c:manualLayout>
                  <c:x val="-2.8778605365723683E-2"/>
                  <c:y val="0.1656221082958626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410-42CC-8BD0-1D4ED5D6DB36}"/>
                </c:ext>
              </c:extLst>
            </c:dLbl>
            <c:dLbl>
              <c:idx val="7"/>
              <c:layout>
                <c:manualLayout>
                  <c:x val="-2.6536846124475096E-2"/>
                  <c:y val="0.1399640995423689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410-42CC-8BD0-1D4ED5D6DB36}"/>
                </c:ext>
              </c:extLst>
            </c:dLbl>
            <c:dLbl>
              <c:idx val="8"/>
              <c:layout>
                <c:manualLayout>
                  <c:x val="-2.5962757641905667E-2"/>
                  <c:y val="0.1270325824486885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410-42CC-8BD0-1D4ED5D6DB36}"/>
                </c:ext>
              </c:extLst>
            </c:dLbl>
            <c:dLbl>
              <c:idx val="9"/>
              <c:layout>
                <c:manualLayout>
                  <c:x val="-2.7791285742073527E-2"/>
                  <c:y val="9.36483078574527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410-42CC-8BD0-1D4ED5D6DB36}"/>
                </c:ext>
              </c:extLst>
            </c:dLbl>
            <c:dLbl>
              <c:idx val="10"/>
              <c:layout>
                <c:manualLayout>
                  <c:x val="-3.208006440597376E-2"/>
                  <c:y val="6.96376448543552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410-42CC-8BD0-1D4ED5D6DB36}"/>
                </c:ext>
              </c:extLst>
            </c:dLbl>
            <c:dLbl>
              <c:idx val="11"/>
              <c:layout>
                <c:manualLayout>
                  <c:x val="-2.4932099966140139E-2"/>
                  <c:y val="6.96376448543552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410-42CC-8BD0-1D4ED5D6DB36}"/>
                </c:ext>
              </c:extLst>
            </c:dLbl>
            <c:spPr>
              <a:noFill/>
              <a:ln>
                <a:noFill/>
              </a:ln>
              <a:effectLst/>
            </c:spPr>
            <c:txPr>
              <a:bodyPr/>
              <a:lstStyle/>
              <a:p>
                <a:pPr>
                  <a:defRPr>
                    <a:solidFill>
                      <a:srgbClr val="C0000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'Deuda Publica'!$A$11:$A$25</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'Deuda Publica'!$C$11:$C$25</c:f>
              <c:numCache>
                <c:formatCode>0.0</c:formatCode>
                <c:ptCount val="15"/>
                <c:pt idx="0">
                  <c:v>23.3</c:v>
                </c:pt>
                <c:pt idx="1">
                  <c:v>24.4</c:v>
                </c:pt>
                <c:pt idx="2">
                  <c:v>24</c:v>
                </c:pt>
                <c:pt idx="3">
                  <c:v>24.8</c:v>
                </c:pt>
                <c:pt idx="4">
                  <c:v>25.2</c:v>
                </c:pt>
                <c:pt idx="5">
                  <c:v>24.8</c:v>
                </c:pt>
                <c:pt idx="6">
                  <c:v>24.9</c:v>
                </c:pt>
                <c:pt idx="7">
                  <c:v>25</c:v>
                </c:pt>
                <c:pt idx="8">
                  <c:v>25.2</c:v>
                </c:pt>
                <c:pt idx="9">
                  <c:v>26.5</c:v>
                </c:pt>
                <c:pt idx="10">
                  <c:v>26.5</c:v>
                </c:pt>
                <c:pt idx="11">
                  <c:v>31.5</c:v>
                </c:pt>
                <c:pt idx="12">
                  <c:v>30.8</c:v>
                </c:pt>
                <c:pt idx="13">
                  <c:v>29.2</c:v>
                </c:pt>
                <c:pt idx="14">
                  <c:v>27.8</c:v>
                </c:pt>
              </c:numCache>
            </c:numRef>
          </c:val>
          <c:smooth val="0"/>
          <c:extLst>
            <c:ext xmlns:c16="http://schemas.microsoft.com/office/drawing/2014/chart" uri="{C3380CC4-5D6E-409C-BE32-E72D297353CC}">
              <c16:uniqueId val="{0000000E-E410-42CC-8BD0-1D4ED5D6DB36}"/>
            </c:ext>
          </c:extLst>
        </c:ser>
        <c:dLbls>
          <c:showLegendKey val="0"/>
          <c:showVal val="0"/>
          <c:showCatName val="0"/>
          <c:showSerName val="0"/>
          <c:showPercent val="0"/>
          <c:showBubbleSize val="0"/>
        </c:dLbls>
        <c:marker val="1"/>
        <c:smooth val="0"/>
        <c:axId val="62962304"/>
        <c:axId val="62960768"/>
      </c:lineChart>
      <c:catAx>
        <c:axId val="62949248"/>
        <c:scaling>
          <c:orientation val="minMax"/>
        </c:scaling>
        <c:delete val="0"/>
        <c:axPos val="b"/>
        <c:numFmt formatCode="General" sourceLinked="1"/>
        <c:majorTickMark val="out"/>
        <c:minorTickMark val="none"/>
        <c:tickLblPos val="nextTo"/>
        <c:txPr>
          <a:bodyPr/>
          <a:lstStyle/>
          <a:p>
            <a:pPr>
              <a:defRPr b="1"/>
            </a:pPr>
            <a:endParaRPr lang="es-GT"/>
          </a:p>
        </c:txPr>
        <c:crossAx val="62950784"/>
        <c:crosses val="autoZero"/>
        <c:auto val="1"/>
        <c:lblAlgn val="ctr"/>
        <c:lblOffset val="100"/>
        <c:noMultiLvlLbl val="0"/>
      </c:catAx>
      <c:valAx>
        <c:axId val="62950784"/>
        <c:scaling>
          <c:orientation val="minMax"/>
          <c:max val="220000"/>
          <c:min val="10000"/>
        </c:scaling>
        <c:delete val="0"/>
        <c:axPos val="l"/>
        <c:numFmt formatCode="#,##0.0" sourceLinked="1"/>
        <c:majorTickMark val="out"/>
        <c:minorTickMark val="none"/>
        <c:tickLblPos val="nextTo"/>
        <c:txPr>
          <a:bodyPr/>
          <a:lstStyle/>
          <a:p>
            <a:pPr>
              <a:defRPr b="1"/>
            </a:pPr>
            <a:endParaRPr lang="es-GT"/>
          </a:p>
        </c:txPr>
        <c:crossAx val="62949248"/>
        <c:crosses val="autoZero"/>
        <c:crossBetween val="between"/>
        <c:majorUnit val="40000"/>
        <c:minorUnit val="6000"/>
      </c:valAx>
      <c:valAx>
        <c:axId val="62960768"/>
        <c:scaling>
          <c:orientation val="minMax"/>
        </c:scaling>
        <c:delete val="0"/>
        <c:axPos val="r"/>
        <c:numFmt formatCode="0.0" sourceLinked="1"/>
        <c:majorTickMark val="out"/>
        <c:minorTickMark val="none"/>
        <c:tickLblPos val="nextTo"/>
        <c:txPr>
          <a:bodyPr/>
          <a:lstStyle/>
          <a:p>
            <a:pPr>
              <a:defRPr b="1"/>
            </a:pPr>
            <a:endParaRPr lang="es-GT"/>
          </a:p>
        </c:txPr>
        <c:crossAx val="62962304"/>
        <c:crosses val="max"/>
        <c:crossBetween val="between"/>
      </c:valAx>
      <c:catAx>
        <c:axId val="62962304"/>
        <c:scaling>
          <c:orientation val="minMax"/>
        </c:scaling>
        <c:delete val="1"/>
        <c:axPos val="b"/>
        <c:numFmt formatCode="General" sourceLinked="1"/>
        <c:majorTickMark val="out"/>
        <c:minorTickMark val="none"/>
        <c:tickLblPos val="nextTo"/>
        <c:crossAx val="62960768"/>
        <c:crosses val="autoZero"/>
        <c:auto val="1"/>
        <c:lblAlgn val="ctr"/>
        <c:lblOffset val="100"/>
        <c:noMultiLvlLbl val="0"/>
      </c:catAx>
    </c:plotArea>
    <c:legend>
      <c:legendPos val="b"/>
      <c:layout>
        <c:manualLayout>
          <c:xMode val="edge"/>
          <c:yMode val="edge"/>
          <c:x val="0.37511179158160785"/>
          <c:y val="0.94280281321638593"/>
          <c:w val="0.26300375647488511"/>
          <c:h val="5.7197186783614073E-2"/>
        </c:manualLayout>
      </c:layout>
      <c:overlay val="0"/>
    </c:legend>
    <c:plotVisOnly val="1"/>
    <c:dispBlanksAs val="gap"/>
    <c:showDLblsOverMax val="0"/>
  </c:chart>
  <c:spPr>
    <a:ln>
      <a:solidFill>
        <a:sysClr val="windowText" lastClr="000000"/>
      </a:solidFill>
    </a:ln>
  </c:spPr>
  <c:txPr>
    <a:bodyPr/>
    <a:lstStyle/>
    <a:p>
      <a:pPr>
        <a:defRPr sz="700"/>
      </a:pPr>
      <a:endParaRPr lang="es-G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76382765271405"/>
          <c:y val="5.9717698154180238E-2"/>
          <c:w val="0.75552014037737514"/>
          <c:h val="0.82729829781049358"/>
        </c:manualLayout>
      </c:layout>
      <c:lineChart>
        <c:grouping val="standard"/>
        <c:varyColors val="0"/>
        <c:ser>
          <c:idx val="0"/>
          <c:order val="0"/>
          <c:tx>
            <c:strRef>
              <c:f>WTI_spot!$B$1</c:f>
              <c:strCache>
                <c:ptCount val="1"/>
                <c:pt idx="0">
                  <c:v>valor</c:v>
                </c:pt>
              </c:strCache>
            </c:strRef>
          </c:tx>
          <c:spPr>
            <a:ln w="15875" cap="rnd">
              <a:solidFill>
                <a:schemeClr val="accent1"/>
              </a:solidFill>
              <a:round/>
            </a:ln>
            <a:effectLst/>
          </c:spPr>
          <c:marker>
            <c:symbol val="none"/>
          </c:marker>
          <c:dLbls>
            <c:dLbl>
              <c:idx val="1101"/>
              <c:layout>
                <c:manualLayout>
                  <c:x val="0"/>
                  <c:y val="-8.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CB-4F7E-9C9D-082112D8B158}"/>
                </c:ext>
              </c:extLst>
            </c:dLbl>
            <c:spPr>
              <a:noFill/>
              <a:ln>
                <a:noFill/>
              </a:ln>
              <a:effectLst/>
            </c:spPr>
            <c:txPr>
              <a:bodyPr rot="0" spcFirstLastPara="1" vertOverflow="ellipsis" vert="horz" wrap="square" anchor="ctr" anchorCtr="1"/>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WTI_spot!$A$2:$A$1110</c:f>
              <c:numCache>
                <c:formatCode>mmm\-yy</c:formatCode>
                <c:ptCount val="1109"/>
                <c:pt idx="0">
                  <c:v>43832</c:v>
                </c:pt>
                <c:pt idx="1">
                  <c:v>43833</c:v>
                </c:pt>
                <c:pt idx="2">
                  <c:v>43835</c:v>
                </c:pt>
                <c:pt idx="3">
                  <c:v>43836</c:v>
                </c:pt>
                <c:pt idx="4">
                  <c:v>43837</c:v>
                </c:pt>
                <c:pt idx="5">
                  <c:v>43838</c:v>
                </c:pt>
                <c:pt idx="6">
                  <c:v>43839</c:v>
                </c:pt>
                <c:pt idx="7">
                  <c:v>43840</c:v>
                </c:pt>
                <c:pt idx="8">
                  <c:v>43842</c:v>
                </c:pt>
                <c:pt idx="9">
                  <c:v>43843</c:v>
                </c:pt>
                <c:pt idx="10">
                  <c:v>43844</c:v>
                </c:pt>
                <c:pt idx="11">
                  <c:v>43845</c:v>
                </c:pt>
                <c:pt idx="12">
                  <c:v>43846</c:v>
                </c:pt>
                <c:pt idx="13">
                  <c:v>43847</c:v>
                </c:pt>
                <c:pt idx="14">
                  <c:v>43849</c:v>
                </c:pt>
                <c:pt idx="15">
                  <c:v>43850</c:v>
                </c:pt>
                <c:pt idx="16">
                  <c:v>43851</c:v>
                </c:pt>
                <c:pt idx="17">
                  <c:v>43852</c:v>
                </c:pt>
                <c:pt idx="18">
                  <c:v>43853</c:v>
                </c:pt>
                <c:pt idx="19">
                  <c:v>43854</c:v>
                </c:pt>
                <c:pt idx="20">
                  <c:v>43856</c:v>
                </c:pt>
                <c:pt idx="21">
                  <c:v>43857</c:v>
                </c:pt>
                <c:pt idx="22">
                  <c:v>43858</c:v>
                </c:pt>
                <c:pt idx="23">
                  <c:v>43859</c:v>
                </c:pt>
                <c:pt idx="24">
                  <c:v>43860</c:v>
                </c:pt>
                <c:pt idx="25">
                  <c:v>43861</c:v>
                </c:pt>
                <c:pt idx="26">
                  <c:v>43863</c:v>
                </c:pt>
                <c:pt idx="27">
                  <c:v>43864</c:v>
                </c:pt>
                <c:pt idx="28">
                  <c:v>43865</c:v>
                </c:pt>
                <c:pt idx="29">
                  <c:v>43866</c:v>
                </c:pt>
                <c:pt idx="30">
                  <c:v>43867</c:v>
                </c:pt>
                <c:pt idx="31">
                  <c:v>43868</c:v>
                </c:pt>
                <c:pt idx="32">
                  <c:v>43870</c:v>
                </c:pt>
                <c:pt idx="33">
                  <c:v>43871</c:v>
                </c:pt>
                <c:pt idx="34">
                  <c:v>43872</c:v>
                </c:pt>
                <c:pt idx="35">
                  <c:v>43873</c:v>
                </c:pt>
                <c:pt idx="36">
                  <c:v>43874</c:v>
                </c:pt>
                <c:pt idx="37">
                  <c:v>43875</c:v>
                </c:pt>
                <c:pt idx="38">
                  <c:v>43877</c:v>
                </c:pt>
                <c:pt idx="39">
                  <c:v>43878</c:v>
                </c:pt>
                <c:pt idx="40">
                  <c:v>43879</c:v>
                </c:pt>
                <c:pt idx="41">
                  <c:v>43880</c:v>
                </c:pt>
                <c:pt idx="42">
                  <c:v>43881</c:v>
                </c:pt>
                <c:pt idx="43">
                  <c:v>43882</c:v>
                </c:pt>
                <c:pt idx="44">
                  <c:v>43884</c:v>
                </c:pt>
                <c:pt idx="45">
                  <c:v>43885</c:v>
                </c:pt>
                <c:pt idx="46">
                  <c:v>43886</c:v>
                </c:pt>
                <c:pt idx="47">
                  <c:v>43887</c:v>
                </c:pt>
                <c:pt idx="48">
                  <c:v>43888</c:v>
                </c:pt>
                <c:pt idx="49">
                  <c:v>43889</c:v>
                </c:pt>
                <c:pt idx="50">
                  <c:v>43891</c:v>
                </c:pt>
                <c:pt idx="51">
                  <c:v>43892</c:v>
                </c:pt>
                <c:pt idx="52">
                  <c:v>43893</c:v>
                </c:pt>
                <c:pt idx="53">
                  <c:v>43894</c:v>
                </c:pt>
                <c:pt idx="54">
                  <c:v>43895</c:v>
                </c:pt>
                <c:pt idx="55">
                  <c:v>43896</c:v>
                </c:pt>
                <c:pt idx="56">
                  <c:v>43898</c:v>
                </c:pt>
                <c:pt idx="57">
                  <c:v>43899</c:v>
                </c:pt>
                <c:pt idx="58">
                  <c:v>43900</c:v>
                </c:pt>
                <c:pt idx="59">
                  <c:v>43901</c:v>
                </c:pt>
                <c:pt idx="60">
                  <c:v>43902</c:v>
                </c:pt>
                <c:pt idx="61">
                  <c:v>43903</c:v>
                </c:pt>
                <c:pt idx="62">
                  <c:v>43905</c:v>
                </c:pt>
                <c:pt idx="63">
                  <c:v>43906</c:v>
                </c:pt>
                <c:pt idx="64">
                  <c:v>43907</c:v>
                </c:pt>
                <c:pt idx="65">
                  <c:v>43908</c:v>
                </c:pt>
                <c:pt idx="66">
                  <c:v>43909</c:v>
                </c:pt>
                <c:pt idx="67">
                  <c:v>43910</c:v>
                </c:pt>
                <c:pt idx="68">
                  <c:v>43912</c:v>
                </c:pt>
                <c:pt idx="69">
                  <c:v>43913</c:v>
                </c:pt>
                <c:pt idx="70">
                  <c:v>43914</c:v>
                </c:pt>
                <c:pt idx="71">
                  <c:v>43915</c:v>
                </c:pt>
                <c:pt idx="72">
                  <c:v>43916</c:v>
                </c:pt>
                <c:pt idx="73">
                  <c:v>43917</c:v>
                </c:pt>
                <c:pt idx="74">
                  <c:v>43919</c:v>
                </c:pt>
                <c:pt idx="75">
                  <c:v>43920</c:v>
                </c:pt>
                <c:pt idx="76">
                  <c:v>43921</c:v>
                </c:pt>
                <c:pt idx="77">
                  <c:v>43922</c:v>
                </c:pt>
                <c:pt idx="78">
                  <c:v>43923</c:v>
                </c:pt>
                <c:pt idx="79">
                  <c:v>43924</c:v>
                </c:pt>
                <c:pt idx="80">
                  <c:v>43926</c:v>
                </c:pt>
                <c:pt idx="81">
                  <c:v>43927</c:v>
                </c:pt>
                <c:pt idx="82">
                  <c:v>43928</c:v>
                </c:pt>
                <c:pt idx="83">
                  <c:v>43929</c:v>
                </c:pt>
                <c:pt idx="84">
                  <c:v>43930</c:v>
                </c:pt>
                <c:pt idx="85">
                  <c:v>43933</c:v>
                </c:pt>
                <c:pt idx="86">
                  <c:v>43934</c:v>
                </c:pt>
                <c:pt idx="87">
                  <c:v>43935</c:v>
                </c:pt>
                <c:pt idx="88">
                  <c:v>43936</c:v>
                </c:pt>
                <c:pt idx="89">
                  <c:v>43937</c:v>
                </c:pt>
                <c:pt idx="90">
                  <c:v>43938</c:v>
                </c:pt>
                <c:pt idx="91">
                  <c:v>43940</c:v>
                </c:pt>
                <c:pt idx="92">
                  <c:v>43941</c:v>
                </c:pt>
                <c:pt idx="93">
                  <c:v>43942</c:v>
                </c:pt>
                <c:pt idx="94">
                  <c:v>43943</c:v>
                </c:pt>
                <c:pt idx="95">
                  <c:v>43944</c:v>
                </c:pt>
                <c:pt idx="96">
                  <c:v>43945</c:v>
                </c:pt>
                <c:pt idx="97">
                  <c:v>43947</c:v>
                </c:pt>
                <c:pt idx="98">
                  <c:v>43948</c:v>
                </c:pt>
                <c:pt idx="99">
                  <c:v>43949</c:v>
                </c:pt>
                <c:pt idx="100">
                  <c:v>43950</c:v>
                </c:pt>
                <c:pt idx="101">
                  <c:v>43951</c:v>
                </c:pt>
                <c:pt idx="102">
                  <c:v>43952</c:v>
                </c:pt>
                <c:pt idx="103">
                  <c:v>43954</c:v>
                </c:pt>
                <c:pt idx="104">
                  <c:v>43955</c:v>
                </c:pt>
                <c:pt idx="105">
                  <c:v>43956</c:v>
                </c:pt>
                <c:pt idx="106">
                  <c:v>43957</c:v>
                </c:pt>
                <c:pt idx="107">
                  <c:v>43958</c:v>
                </c:pt>
                <c:pt idx="108">
                  <c:v>43959</c:v>
                </c:pt>
                <c:pt idx="109">
                  <c:v>43961</c:v>
                </c:pt>
                <c:pt idx="110">
                  <c:v>43962</c:v>
                </c:pt>
                <c:pt idx="111">
                  <c:v>43963</c:v>
                </c:pt>
                <c:pt idx="112">
                  <c:v>43964</c:v>
                </c:pt>
                <c:pt idx="113">
                  <c:v>43965</c:v>
                </c:pt>
                <c:pt idx="114">
                  <c:v>43966</c:v>
                </c:pt>
                <c:pt idx="115">
                  <c:v>43968</c:v>
                </c:pt>
                <c:pt idx="116">
                  <c:v>43969</c:v>
                </c:pt>
                <c:pt idx="117">
                  <c:v>43970</c:v>
                </c:pt>
                <c:pt idx="118">
                  <c:v>43971</c:v>
                </c:pt>
                <c:pt idx="119">
                  <c:v>43972</c:v>
                </c:pt>
                <c:pt idx="120">
                  <c:v>43973</c:v>
                </c:pt>
                <c:pt idx="121">
                  <c:v>43975</c:v>
                </c:pt>
                <c:pt idx="122">
                  <c:v>43976</c:v>
                </c:pt>
                <c:pt idx="123">
                  <c:v>43977</c:v>
                </c:pt>
                <c:pt idx="124">
                  <c:v>43978</c:v>
                </c:pt>
                <c:pt idx="125">
                  <c:v>43979</c:v>
                </c:pt>
                <c:pt idx="126">
                  <c:v>43980</c:v>
                </c:pt>
                <c:pt idx="127">
                  <c:v>43982</c:v>
                </c:pt>
                <c:pt idx="128">
                  <c:v>43983</c:v>
                </c:pt>
                <c:pt idx="129">
                  <c:v>43984</c:v>
                </c:pt>
                <c:pt idx="130">
                  <c:v>43985</c:v>
                </c:pt>
                <c:pt idx="131">
                  <c:v>43986</c:v>
                </c:pt>
                <c:pt idx="132">
                  <c:v>43987</c:v>
                </c:pt>
                <c:pt idx="133">
                  <c:v>43989</c:v>
                </c:pt>
                <c:pt idx="134">
                  <c:v>43990</c:v>
                </c:pt>
                <c:pt idx="135">
                  <c:v>43991</c:v>
                </c:pt>
                <c:pt idx="136">
                  <c:v>43992</c:v>
                </c:pt>
                <c:pt idx="137">
                  <c:v>43993</c:v>
                </c:pt>
                <c:pt idx="138">
                  <c:v>43994</c:v>
                </c:pt>
                <c:pt idx="139">
                  <c:v>43996</c:v>
                </c:pt>
                <c:pt idx="140">
                  <c:v>43997</c:v>
                </c:pt>
                <c:pt idx="141">
                  <c:v>43998</c:v>
                </c:pt>
                <c:pt idx="142">
                  <c:v>43999</c:v>
                </c:pt>
                <c:pt idx="143">
                  <c:v>44000</c:v>
                </c:pt>
                <c:pt idx="144">
                  <c:v>44001</c:v>
                </c:pt>
                <c:pt idx="145">
                  <c:v>44003</c:v>
                </c:pt>
                <c:pt idx="146">
                  <c:v>44004</c:v>
                </c:pt>
                <c:pt idx="147">
                  <c:v>44005</c:v>
                </c:pt>
                <c:pt idx="148">
                  <c:v>44006</c:v>
                </c:pt>
                <c:pt idx="149">
                  <c:v>44007</c:v>
                </c:pt>
                <c:pt idx="150">
                  <c:v>44008</c:v>
                </c:pt>
                <c:pt idx="151">
                  <c:v>44010</c:v>
                </c:pt>
                <c:pt idx="152">
                  <c:v>44011</c:v>
                </c:pt>
                <c:pt idx="153">
                  <c:v>44012</c:v>
                </c:pt>
                <c:pt idx="154">
                  <c:v>44013</c:v>
                </c:pt>
                <c:pt idx="155">
                  <c:v>44014</c:v>
                </c:pt>
                <c:pt idx="156">
                  <c:v>44015</c:v>
                </c:pt>
                <c:pt idx="157">
                  <c:v>44017</c:v>
                </c:pt>
                <c:pt idx="158">
                  <c:v>44018</c:v>
                </c:pt>
                <c:pt idx="159">
                  <c:v>44019</c:v>
                </c:pt>
                <c:pt idx="160">
                  <c:v>44020</c:v>
                </c:pt>
                <c:pt idx="161">
                  <c:v>44021</c:v>
                </c:pt>
                <c:pt idx="162">
                  <c:v>44022</c:v>
                </c:pt>
                <c:pt idx="163">
                  <c:v>44024</c:v>
                </c:pt>
                <c:pt idx="164">
                  <c:v>44025</c:v>
                </c:pt>
                <c:pt idx="165">
                  <c:v>44026</c:v>
                </c:pt>
                <c:pt idx="166">
                  <c:v>44027</c:v>
                </c:pt>
                <c:pt idx="167">
                  <c:v>44028</c:v>
                </c:pt>
                <c:pt idx="168">
                  <c:v>44029</c:v>
                </c:pt>
                <c:pt idx="169">
                  <c:v>44031</c:v>
                </c:pt>
                <c:pt idx="170">
                  <c:v>44032</c:v>
                </c:pt>
                <c:pt idx="171">
                  <c:v>44033</c:v>
                </c:pt>
                <c:pt idx="172">
                  <c:v>44034</c:v>
                </c:pt>
                <c:pt idx="173">
                  <c:v>44035</c:v>
                </c:pt>
                <c:pt idx="174">
                  <c:v>44036</c:v>
                </c:pt>
                <c:pt idx="175">
                  <c:v>44038</c:v>
                </c:pt>
                <c:pt idx="176">
                  <c:v>44039</c:v>
                </c:pt>
                <c:pt idx="177">
                  <c:v>44040</c:v>
                </c:pt>
                <c:pt idx="178">
                  <c:v>44041</c:v>
                </c:pt>
                <c:pt idx="179">
                  <c:v>44042</c:v>
                </c:pt>
                <c:pt idx="180">
                  <c:v>44043</c:v>
                </c:pt>
                <c:pt idx="181">
                  <c:v>44045</c:v>
                </c:pt>
                <c:pt idx="182">
                  <c:v>44046</c:v>
                </c:pt>
                <c:pt idx="183">
                  <c:v>44047</c:v>
                </c:pt>
                <c:pt idx="184">
                  <c:v>44048</c:v>
                </c:pt>
                <c:pt idx="185">
                  <c:v>44049</c:v>
                </c:pt>
                <c:pt idx="186">
                  <c:v>44050</c:v>
                </c:pt>
                <c:pt idx="187">
                  <c:v>44052</c:v>
                </c:pt>
                <c:pt idx="188">
                  <c:v>44053</c:v>
                </c:pt>
                <c:pt idx="189">
                  <c:v>44054</c:v>
                </c:pt>
                <c:pt idx="190">
                  <c:v>44055</c:v>
                </c:pt>
                <c:pt idx="191">
                  <c:v>44056</c:v>
                </c:pt>
                <c:pt idx="192">
                  <c:v>44057</c:v>
                </c:pt>
                <c:pt idx="193">
                  <c:v>44059</c:v>
                </c:pt>
                <c:pt idx="194">
                  <c:v>44060</c:v>
                </c:pt>
                <c:pt idx="195">
                  <c:v>44061</c:v>
                </c:pt>
                <c:pt idx="196">
                  <c:v>44062</c:v>
                </c:pt>
                <c:pt idx="197">
                  <c:v>44063</c:v>
                </c:pt>
                <c:pt idx="198">
                  <c:v>44064</c:v>
                </c:pt>
                <c:pt idx="199">
                  <c:v>44066</c:v>
                </c:pt>
                <c:pt idx="200">
                  <c:v>44067</c:v>
                </c:pt>
                <c:pt idx="201">
                  <c:v>44068</c:v>
                </c:pt>
                <c:pt idx="202">
                  <c:v>44069</c:v>
                </c:pt>
                <c:pt idx="203">
                  <c:v>44070</c:v>
                </c:pt>
                <c:pt idx="204">
                  <c:v>44071</c:v>
                </c:pt>
                <c:pt idx="205">
                  <c:v>44073</c:v>
                </c:pt>
                <c:pt idx="206">
                  <c:v>44074</c:v>
                </c:pt>
                <c:pt idx="207">
                  <c:v>44075</c:v>
                </c:pt>
                <c:pt idx="208">
                  <c:v>44076</c:v>
                </c:pt>
                <c:pt idx="209">
                  <c:v>44077</c:v>
                </c:pt>
                <c:pt idx="210">
                  <c:v>44078</c:v>
                </c:pt>
                <c:pt idx="211">
                  <c:v>44080</c:v>
                </c:pt>
                <c:pt idx="212">
                  <c:v>44081</c:v>
                </c:pt>
                <c:pt idx="213">
                  <c:v>44082</c:v>
                </c:pt>
                <c:pt idx="214">
                  <c:v>44083</c:v>
                </c:pt>
                <c:pt idx="215">
                  <c:v>44084</c:v>
                </c:pt>
                <c:pt idx="216">
                  <c:v>44085</c:v>
                </c:pt>
                <c:pt idx="217">
                  <c:v>44087</c:v>
                </c:pt>
                <c:pt idx="218">
                  <c:v>44088</c:v>
                </c:pt>
                <c:pt idx="219">
                  <c:v>44089</c:v>
                </c:pt>
                <c:pt idx="220">
                  <c:v>44090</c:v>
                </c:pt>
                <c:pt idx="221">
                  <c:v>44091</c:v>
                </c:pt>
                <c:pt idx="222">
                  <c:v>44092</c:v>
                </c:pt>
                <c:pt idx="223">
                  <c:v>44094</c:v>
                </c:pt>
                <c:pt idx="224">
                  <c:v>44095</c:v>
                </c:pt>
                <c:pt idx="225">
                  <c:v>44096</c:v>
                </c:pt>
                <c:pt idx="226">
                  <c:v>44097</c:v>
                </c:pt>
                <c:pt idx="227">
                  <c:v>44098</c:v>
                </c:pt>
                <c:pt idx="228">
                  <c:v>44099</c:v>
                </c:pt>
                <c:pt idx="229">
                  <c:v>44101</c:v>
                </c:pt>
                <c:pt idx="230">
                  <c:v>44102</c:v>
                </c:pt>
                <c:pt idx="231">
                  <c:v>44103</c:v>
                </c:pt>
                <c:pt idx="232">
                  <c:v>44104</c:v>
                </c:pt>
                <c:pt idx="233">
                  <c:v>44105</c:v>
                </c:pt>
                <c:pt idx="234">
                  <c:v>44106</c:v>
                </c:pt>
                <c:pt idx="235">
                  <c:v>44108</c:v>
                </c:pt>
                <c:pt idx="236">
                  <c:v>44109</c:v>
                </c:pt>
                <c:pt idx="237">
                  <c:v>44110</c:v>
                </c:pt>
                <c:pt idx="238">
                  <c:v>44111</c:v>
                </c:pt>
                <c:pt idx="239">
                  <c:v>44112</c:v>
                </c:pt>
                <c:pt idx="240">
                  <c:v>44113</c:v>
                </c:pt>
                <c:pt idx="241">
                  <c:v>44115</c:v>
                </c:pt>
                <c:pt idx="242">
                  <c:v>44116</c:v>
                </c:pt>
                <c:pt idx="243">
                  <c:v>44117</c:v>
                </c:pt>
                <c:pt idx="244">
                  <c:v>44118</c:v>
                </c:pt>
                <c:pt idx="245">
                  <c:v>44119</c:v>
                </c:pt>
                <c:pt idx="246">
                  <c:v>44120</c:v>
                </c:pt>
                <c:pt idx="247">
                  <c:v>44122</c:v>
                </c:pt>
                <c:pt idx="248">
                  <c:v>44123</c:v>
                </c:pt>
                <c:pt idx="249">
                  <c:v>44124</c:v>
                </c:pt>
                <c:pt idx="250">
                  <c:v>44125</c:v>
                </c:pt>
                <c:pt idx="251">
                  <c:v>44126</c:v>
                </c:pt>
                <c:pt idx="252">
                  <c:v>44127</c:v>
                </c:pt>
                <c:pt idx="253">
                  <c:v>44129</c:v>
                </c:pt>
                <c:pt idx="254">
                  <c:v>44130</c:v>
                </c:pt>
                <c:pt idx="255">
                  <c:v>44131</c:v>
                </c:pt>
                <c:pt idx="256">
                  <c:v>44132</c:v>
                </c:pt>
                <c:pt idx="257">
                  <c:v>44133</c:v>
                </c:pt>
                <c:pt idx="258">
                  <c:v>44134</c:v>
                </c:pt>
                <c:pt idx="259">
                  <c:v>44136</c:v>
                </c:pt>
                <c:pt idx="260">
                  <c:v>44137</c:v>
                </c:pt>
                <c:pt idx="261">
                  <c:v>44138</c:v>
                </c:pt>
                <c:pt idx="262">
                  <c:v>44139</c:v>
                </c:pt>
                <c:pt idx="263">
                  <c:v>44140</c:v>
                </c:pt>
                <c:pt idx="264">
                  <c:v>44141</c:v>
                </c:pt>
                <c:pt idx="265">
                  <c:v>44143</c:v>
                </c:pt>
                <c:pt idx="266">
                  <c:v>44144</c:v>
                </c:pt>
                <c:pt idx="267">
                  <c:v>44145</c:v>
                </c:pt>
                <c:pt idx="268">
                  <c:v>44146</c:v>
                </c:pt>
                <c:pt idx="269">
                  <c:v>44147</c:v>
                </c:pt>
                <c:pt idx="270">
                  <c:v>44148</c:v>
                </c:pt>
                <c:pt idx="271">
                  <c:v>44150</c:v>
                </c:pt>
                <c:pt idx="272">
                  <c:v>44151</c:v>
                </c:pt>
                <c:pt idx="273">
                  <c:v>44152</c:v>
                </c:pt>
                <c:pt idx="274">
                  <c:v>44153</c:v>
                </c:pt>
                <c:pt idx="275">
                  <c:v>44154</c:v>
                </c:pt>
                <c:pt idx="276">
                  <c:v>44155</c:v>
                </c:pt>
                <c:pt idx="277">
                  <c:v>44157</c:v>
                </c:pt>
                <c:pt idx="278">
                  <c:v>44158</c:v>
                </c:pt>
                <c:pt idx="279">
                  <c:v>44159</c:v>
                </c:pt>
                <c:pt idx="280">
                  <c:v>44160</c:v>
                </c:pt>
                <c:pt idx="281">
                  <c:v>44161</c:v>
                </c:pt>
                <c:pt idx="282">
                  <c:v>44162</c:v>
                </c:pt>
                <c:pt idx="283">
                  <c:v>44164</c:v>
                </c:pt>
                <c:pt idx="284">
                  <c:v>44165</c:v>
                </c:pt>
                <c:pt idx="285">
                  <c:v>44166</c:v>
                </c:pt>
                <c:pt idx="286">
                  <c:v>44167</c:v>
                </c:pt>
                <c:pt idx="287">
                  <c:v>44168</c:v>
                </c:pt>
                <c:pt idx="288">
                  <c:v>44169</c:v>
                </c:pt>
                <c:pt idx="289">
                  <c:v>44171</c:v>
                </c:pt>
                <c:pt idx="290">
                  <c:v>44172</c:v>
                </c:pt>
                <c:pt idx="291">
                  <c:v>44173</c:v>
                </c:pt>
                <c:pt idx="292">
                  <c:v>44174</c:v>
                </c:pt>
                <c:pt idx="293">
                  <c:v>44175</c:v>
                </c:pt>
                <c:pt idx="294">
                  <c:v>44176</c:v>
                </c:pt>
                <c:pt idx="295">
                  <c:v>44178</c:v>
                </c:pt>
                <c:pt idx="296">
                  <c:v>44179</c:v>
                </c:pt>
                <c:pt idx="297">
                  <c:v>44180</c:v>
                </c:pt>
                <c:pt idx="298">
                  <c:v>44181</c:v>
                </c:pt>
                <c:pt idx="299">
                  <c:v>44182</c:v>
                </c:pt>
                <c:pt idx="300">
                  <c:v>44183</c:v>
                </c:pt>
                <c:pt idx="301">
                  <c:v>44185</c:v>
                </c:pt>
                <c:pt idx="302">
                  <c:v>44186</c:v>
                </c:pt>
                <c:pt idx="303">
                  <c:v>44187</c:v>
                </c:pt>
                <c:pt idx="304">
                  <c:v>44188</c:v>
                </c:pt>
                <c:pt idx="305">
                  <c:v>44189</c:v>
                </c:pt>
                <c:pt idx="306">
                  <c:v>44192</c:v>
                </c:pt>
                <c:pt idx="307">
                  <c:v>44193</c:v>
                </c:pt>
                <c:pt idx="308">
                  <c:v>44194</c:v>
                </c:pt>
                <c:pt idx="309">
                  <c:v>44195</c:v>
                </c:pt>
                <c:pt idx="310">
                  <c:v>44196</c:v>
                </c:pt>
                <c:pt idx="311">
                  <c:v>44199</c:v>
                </c:pt>
                <c:pt idx="312">
                  <c:v>44200</c:v>
                </c:pt>
                <c:pt idx="313">
                  <c:v>44201</c:v>
                </c:pt>
                <c:pt idx="314">
                  <c:v>44202</c:v>
                </c:pt>
                <c:pt idx="315">
                  <c:v>44203</c:v>
                </c:pt>
                <c:pt idx="316">
                  <c:v>44204</c:v>
                </c:pt>
                <c:pt idx="317">
                  <c:v>44206</c:v>
                </c:pt>
                <c:pt idx="318">
                  <c:v>44207</c:v>
                </c:pt>
                <c:pt idx="319">
                  <c:v>44208</c:v>
                </c:pt>
                <c:pt idx="320">
                  <c:v>44209</c:v>
                </c:pt>
                <c:pt idx="321">
                  <c:v>44210</c:v>
                </c:pt>
                <c:pt idx="322">
                  <c:v>44211</c:v>
                </c:pt>
                <c:pt idx="323">
                  <c:v>44213</c:v>
                </c:pt>
                <c:pt idx="324">
                  <c:v>44214</c:v>
                </c:pt>
                <c:pt idx="325">
                  <c:v>44215</c:v>
                </c:pt>
                <c:pt idx="326">
                  <c:v>44216</c:v>
                </c:pt>
                <c:pt idx="327">
                  <c:v>44217</c:v>
                </c:pt>
                <c:pt idx="328">
                  <c:v>44218</c:v>
                </c:pt>
                <c:pt idx="329">
                  <c:v>44220</c:v>
                </c:pt>
                <c:pt idx="330">
                  <c:v>44221</c:v>
                </c:pt>
                <c:pt idx="331">
                  <c:v>44222</c:v>
                </c:pt>
                <c:pt idx="332">
                  <c:v>44223</c:v>
                </c:pt>
                <c:pt idx="333">
                  <c:v>44224</c:v>
                </c:pt>
                <c:pt idx="334">
                  <c:v>44225</c:v>
                </c:pt>
                <c:pt idx="335">
                  <c:v>44227</c:v>
                </c:pt>
                <c:pt idx="336">
                  <c:v>44228</c:v>
                </c:pt>
                <c:pt idx="337">
                  <c:v>44229</c:v>
                </c:pt>
                <c:pt idx="338">
                  <c:v>44230</c:v>
                </c:pt>
                <c:pt idx="339">
                  <c:v>44231</c:v>
                </c:pt>
                <c:pt idx="340">
                  <c:v>44232</c:v>
                </c:pt>
                <c:pt idx="341">
                  <c:v>44234</c:v>
                </c:pt>
                <c:pt idx="342">
                  <c:v>44235</c:v>
                </c:pt>
                <c:pt idx="343">
                  <c:v>44236</c:v>
                </c:pt>
                <c:pt idx="344">
                  <c:v>44237</c:v>
                </c:pt>
                <c:pt idx="345">
                  <c:v>44238</c:v>
                </c:pt>
                <c:pt idx="346">
                  <c:v>44239</c:v>
                </c:pt>
                <c:pt idx="347">
                  <c:v>44241</c:v>
                </c:pt>
                <c:pt idx="348">
                  <c:v>44242</c:v>
                </c:pt>
                <c:pt idx="349">
                  <c:v>44243</c:v>
                </c:pt>
                <c:pt idx="350">
                  <c:v>44244</c:v>
                </c:pt>
                <c:pt idx="351">
                  <c:v>44245</c:v>
                </c:pt>
                <c:pt idx="352">
                  <c:v>44246</c:v>
                </c:pt>
                <c:pt idx="353">
                  <c:v>44248</c:v>
                </c:pt>
                <c:pt idx="354">
                  <c:v>44249</c:v>
                </c:pt>
                <c:pt idx="355">
                  <c:v>44250</c:v>
                </c:pt>
                <c:pt idx="356">
                  <c:v>44251</c:v>
                </c:pt>
                <c:pt idx="357">
                  <c:v>44252</c:v>
                </c:pt>
                <c:pt idx="358">
                  <c:v>44253</c:v>
                </c:pt>
                <c:pt idx="359">
                  <c:v>44255</c:v>
                </c:pt>
                <c:pt idx="360">
                  <c:v>44256</c:v>
                </c:pt>
                <c:pt idx="361">
                  <c:v>44257</c:v>
                </c:pt>
                <c:pt idx="362">
                  <c:v>44258</c:v>
                </c:pt>
                <c:pt idx="363">
                  <c:v>44259</c:v>
                </c:pt>
                <c:pt idx="364">
                  <c:v>44260</c:v>
                </c:pt>
                <c:pt idx="365">
                  <c:v>44262</c:v>
                </c:pt>
                <c:pt idx="366">
                  <c:v>44263</c:v>
                </c:pt>
                <c:pt idx="367">
                  <c:v>44264</c:v>
                </c:pt>
                <c:pt idx="368">
                  <c:v>44265</c:v>
                </c:pt>
                <c:pt idx="369">
                  <c:v>44266</c:v>
                </c:pt>
                <c:pt idx="370">
                  <c:v>44267</c:v>
                </c:pt>
                <c:pt idx="371">
                  <c:v>44269</c:v>
                </c:pt>
                <c:pt idx="372">
                  <c:v>44270</c:v>
                </c:pt>
                <c:pt idx="373">
                  <c:v>44271</c:v>
                </c:pt>
                <c:pt idx="374">
                  <c:v>44272</c:v>
                </c:pt>
                <c:pt idx="375">
                  <c:v>44273</c:v>
                </c:pt>
                <c:pt idx="376">
                  <c:v>44274</c:v>
                </c:pt>
                <c:pt idx="377">
                  <c:v>44276</c:v>
                </c:pt>
                <c:pt idx="378">
                  <c:v>44277</c:v>
                </c:pt>
                <c:pt idx="379">
                  <c:v>44278</c:v>
                </c:pt>
                <c:pt idx="380">
                  <c:v>44279</c:v>
                </c:pt>
                <c:pt idx="381">
                  <c:v>44280</c:v>
                </c:pt>
                <c:pt idx="382">
                  <c:v>44281</c:v>
                </c:pt>
                <c:pt idx="383">
                  <c:v>44283</c:v>
                </c:pt>
                <c:pt idx="384">
                  <c:v>44284</c:v>
                </c:pt>
                <c:pt idx="385">
                  <c:v>44285</c:v>
                </c:pt>
                <c:pt idx="386">
                  <c:v>44286</c:v>
                </c:pt>
                <c:pt idx="387">
                  <c:v>44287</c:v>
                </c:pt>
                <c:pt idx="388">
                  <c:v>44290</c:v>
                </c:pt>
                <c:pt idx="389">
                  <c:v>44291</c:v>
                </c:pt>
                <c:pt idx="390">
                  <c:v>44292</c:v>
                </c:pt>
                <c:pt idx="391">
                  <c:v>44293</c:v>
                </c:pt>
                <c:pt idx="392">
                  <c:v>44294</c:v>
                </c:pt>
                <c:pt idx="393">
                  <c:v>44295</c:v>
                </c:pt>
                <c:pt idx="394">
                  <c:v>44297</c:v>
                </c:pt>
                <c:pt idx="395">
                  <c:v>44298</c:v>
                </c:pt>
                <c:pt idx="396">
                  <c:v>44299</c:v>
                </c:pt>
                <c:pt idx="397">
                  <c:v>44300</c:v>
                </c:pt>
                <c:pt idx="398">
                  <c:v>44301</c:v>
                </c:pt>
                <c:pt idx="399">
                  <c:v>44302</c:v>
                </c:pt>
                <c:pt idx="400">
                  <c:v>44304</c:v>
                </c:pt>
                <c:pt idx="401">
                  <c:v>44305</c:v>
                </c:pt>
                <c:pt idx="402">
                  <c:v>44306</c:v>
                </c:pt>
                <c:pt idx="403">
                  <c:v>44307</c:v>
                </c:pt>
                <c:pt idx="404">
                  <c:v>44308</c:v>
                </c:pt>
                <c:pt idx="405">
                  <c:v>44309</c:v>
                </c:pt>
                <c:pt idx="406">
                  <c:v>44311</c:v>
                </c:pt>
                <c:pt idx="407">
                  <c:v>44312</c:v>
                </c:pt>
                <c:pt idx="408">
                  <c:v>44313</c:v>
                </c:pt>
                <c:pt idx="409">
                  <c:v>44314</c:v>
                </c:pt>
                <c:pt idx="410">
                  <c:v>44315</c:v>
                </c:pt>
                <c:pt idx="411">
                  <c:v>44316</c:v>
                </c:pt>
                <c:pt idx="412">
                  <c:v>44318</c:v>
                </c:pt>
                <c:pt idx="413">
                  <c:v>44319</c:v>
                </c:pt>
                <c:pt idx="414">
                  <c:v>44320</c:v>
                </c:pt>
                <c:pt idx="415">
                  <c:v>44321</c:v>
                </c:pt>
                <c:pt idx="416">
                  <c:v>44322</c:v>
                </c:pt>
                <c:pt idx="417">
                  <c:v>44323</c:v>
                </c:pt>
                <c:pt idx="418">
                  <c:v>44325</c:v>
                </c:pt>
                <c:pt idx="419">
                  <c:v>44326</c:v>
                </c:pt>
                <c:pt idx="420">
                  <c:v>44327</c:v>
                </c:pt>
                <c:pt idx="421">
                  <c:v>44328</c:v>
                </c:pt>
                <c:pt idx="422">
                  <c:v>44329</c:v>
                </c:pt>
                <c:pt idx="423">
                  <c:v>44330</c:v>
                </c:pt>
                <c:pt idx="424">
                  <c:v>44332</c:v>
                </c:pt>
                <c:pt idx="425">
                  <c:v>44333</c:v>
                </c:pt>
                <c:pt idx="426">
                  <c:v>44334</c:v>
                </c:pt>
                <c:pt idx="427">
                  <c:v>44335</c:v>
                </c:pt>
                <c:pt idx="428">
                  <c:v>44336</c:v>
                </c:pt>
                <c:pt idx="429">
                  <c:v>44337</c:v>
                </c:pt>
                <c:pt idx="430">
                  <c:v>44339</c:v>
                </c:pt>
                <c:pt idx="431">
                  <c:v>44340</c:v>
                </c:pt>
                <c:pt idx="432">
                  <c:v>44341</c:v>
                </c:pt>
                <c:pt idx="433">
                  <c:v>44342</c:v>
                </c:pt>
                <c:pt idx="434">
                  <c:v>44343</c:v>
                </c:pt>
                <c:pt idx="435">
                  <c:v>44344</c:v>
                </c:pt>
                <c:pt idx="436">
                  <c:v>44346</c:v>
                </c:pt>
                <c:pt idx="437">
                  <c:v>44347</c:v>
                </c:pt>
                <c:pt idx="438">
                  <c:v>44348</c:v>
                </c:pt>
                <c:pt idx="439">
                  <c:v>44349</c:v>
                </c:pt>
                <c:pt idx="440">
                  <c:v>44350</c:v>
                </c:pt>
                <c:pt idx="441">
                  <c:v>44351</c:v>
                </c:pt>
                <c:pt idx="442">
                  <c:v>44353</c:v>
                </c:pt>
                <c:pt idx="443">
                  <c:v>44354</c:v>
                </c:pt>
                <c:pt idx="444">
                  <c:v>44355</c:v>
                </c:pt>
                <c:pt idx="445">
                  <c:v>44356</c:v>
                </c:pt>
                <c:pt idx="446">
                  <c:v>44357</c:v>
                </c:pt>
                <c:pt idx="447">
                  <c:v>44358</c:v>
                </c:pt>
                <c:pt idx="448">
                  <c:v>44360</c:v>
                </c:pt>
                <c:pt idx="449">
                  <c:v>44361</c:v>
                </c:pt>
                <c:pt idx="450">
                  <c:v>44362</c:v>
                </c:pt>
                <c:pt idx="451">
                  <c:v>44363</c:v>
                </c:pt>
                <c:pt idx="452">
                  <c:v>44364</c:v>
                </c:pt>
                <c:pt idx="453">
                  <c:v>44365</c:v>
                </c:pt>
                <c:pt idx="454">
                  <c:v>44367</c:v>
                </c:pt>
                <c:pt idx="455">
                  <c:v>44368</c:v>
                </c:pt>
                <c:pt idx="456">
                  <c:v>44369</c:v>
                </c:pt>
                <c:pt idx="457">
                  <c:v>44370</c:v>
                </c:pt>
                <c:pt idx="458">
                  <c:v>44371</c:v>
                </c:pt>
                <c:pt idx="459">
                  <c:v>44372</c:v>
                </c:pt>
                <c:pt idx="460">
                  <c:v>44374</c:v>
                </c:pt>
                <c:pt idx="461">
                  <c:v>44375</c:v>
                </c:pt>
                <c:pt idx="462">
                  <c:v>44376</c:v>
                </c:pt>
                <c:pt idx="463">
                  <c:v>44377</c:v>
                </c:pt>
                <c:pt idx="464">
                  <c:v>44378</c:v>
                </c:pt>
                <c:pt idx="465">
                  <c:v>44379</c:v>
                </c:pt>
                <c:pt idx="466">
                  <c:v>44381</c:v>
                </c:pt>
                <c:pt idx="467">
                  <c:v>44382</c:v>
                </c:pt>
                <c:pt idx="468">
                  <c:v>44383</c:v>
                </c:pt>
                <c:pt idx="469">
                  <c:v>44384</c:v>
                </c:pt>
                <c:pt idx="470">
                  <c:v>44385</c:v>
                </c:pt>
                <c:pt idx="471">
                  <c:v>44386</c:v>
                </c:pt>
                <c:pt idx="472">
                  <c:v>44388</c:v>
                </c:pt>
                <c:pt idx="473">
                  <c:v>44389</c:v>
                </c:pt>
                <c:pt idx="474">
                  <c:v>44390</c:v>
                </c:pt>
                <c:pt idx="475">
                  <c:v>44391</c:v>
                </c:pt>
                <c:pt idx="476">
                  <c:v>44392</c:v>
                </c:pt>
                <c:pt idx="477">
                  <c:v>44393</c:v>
                </c:pt>
                <c:pt idx="478">
                  <c:v>44395</c:v>
                </c:pt>
                <c:pt idx="479">
                  <c:v>44396</c:v>
                </c:pt>
                <c:pt idx="480">
                  <c:v>44397</c:v>
                </c:pt>
                <c:pt idx="481">
                  <c:v>44398</c:v>
                </c:pt>
                <c:pt idx="482">
                  <c:v>44399</c:v>
                </c:pt>
                <c:pt idx="483">
                  <c:v>44400</c:v>
                </c:pt>
                <c:pt idx="484">
                  <c:v>44403</c:v>
                </c:pt>
                <c:pt idx="485">
                  <c:v>44404</c:v>
                </c:pt>
                <c:pt idx="486">
                  <c:v>44405</c:v>
                </c:pt>
                <c:pt idx="487">
                  <c:v>44406</c:v>
                </c:pt>
                <c:pt idx="488">
                  <c:v>44407</c:v>
                </c:pt>
                <c:pt idx="489">
                  <c:v>44409</c:v>
                </c:pt>
                <c:pt idx="490">
                  <c:v>44410</c:v>
                </c:pt>
                <c:pt idx="491">
                  <c:v>44411</c:v>
                </c:pt>
                <c:pt idx="492">
                  <c:v>44412</c:v>
                </c:pt>
                <c:pt idx="493">
                  <c:v>44413</c:v>
                </c:pt>
                <c:pt idx="494">
                  <c:v>44414</c:v>
                </c:pt>
                <c:pt idx="495">
                  <c:v>44416</c:v>
                </c:pt>
                <c:pt idx="496">
                  <c:v>44417</c:v>
                </c:pt>
                <c:pt idx="497">
                  <c:v>44418</c:v>
                </c:pt>
                <c:pt idx="498">
                  <c:v>44419</c:v>
                </c:pt>
                <c:pt idx="499">
                  <c:v>44420</c:v>
                </c:pt>
                <c:pt idx="500">
                  <c:v>44421</c:v>
                </c:pt>
                <c:pt idx="501">
                  <c:v>44423</c:v>
                </c:pt>
                <c:pt idx="502">
                  <c:v>44424</c:v>
                </c:pt>
                <c:pt idx="503">
                  <c:v>44425</c:v>
                </c:pt>
                <c:pt idx="504">
                  <c:v>44426</c:v>
                </c:pt>
                <c:pt idx="505">
                  <c:v>44427</c:v>
                </c:pt>
                <c:pt idx="506">
                  <c:v>44428</c:v>
                </c:pt>
                <c:pt idx="507">
                  <c:v>44430</c:v>
                </c:pt>
                <c:pt idx="508">
                  <c:v>44431</c:v>
                </c:pt>
                <c:pt idx="509">
                  <c:v>44432</c:v>
                </c:pt>
                <c:pt idx="510">
                  <c:v>44433</c:v>
                </c:pt>
                <c:pt idx="511">
                  <c:v>44434</c:v>
                </c:pt>
                <c:pt idx="512">
                  <c:v>44435</c:v>
                </c:pt>
                <c:pt idx="513">
                  <c:v>44437</c:v>
                </c:pt>
                <c:pt idx="514">
                  <c:v>44438</c:v>
                </c:pt>
                <c:pt idx="515">
                  <c:v>44439</c:v>
                </c:pt>
                <c:pt idx="516">
                  <c:v>44440</c:v>
                </c:pt>
                <c:pt idx="517">
                  <c:v>44441</c:v>
                </c:pt>
                <c:pt idx="518">
                  <c:v>44442</c:v>
                </c:pt>
                <c:pt idx="519">
                  <c:v>44444</c:v>
                </c:pt>
                <c:pt idx="520">
                  <c:v>44445</c:v>
                </c:pt>
                <c:pt idx="521">
                  <c:v>44446</c:v>
                </c:pt>
                <c:pt idx="522">
                  <c:v>44447</c:v>
                </c:pt>
                <c:pt idx="523">
                  <c:v>44448</c:v>
                </c:pt>
                <c:pt idx="524">
                  <c:v>44449</c:v>
                </c:pt>
                <c:pt idx="525">
                  <c:v>44451</c:v>
                </c:pt>
                <c:pt idx="526">
                  <c:v>44452</c:v>
                </c:pt>
                <c:pt idx="527">
                  <c:v>44453</c:v>
                </c:pt>
                <c:pt idx="528">
                  <c:v>44454</c:v>
                </c:pt>
                <c:pt idx="529">
                  <c:v>44455</c:v>
                </c:pt>
                <c:pt idx="530">
                  <c:v>44456</c:v>
                </c:pt>
                <c:pt idx="531">
                  <c:v>44458</c:v>
                </c:pt>
                <c:pt idx="532">
                  <c:v>44459</c:v>
                </c:pt>
                <c:pt idx="533">
                  <c:v>44460</c:v>
                </c:pt>
                <c:pt idx="534">
                  <c:v>44461</c:v>
                </c:pt>
                <c:pt idx="535">
                  <c:v>44462</c:v>
                </c:pt>
                <c:pt idx="536">
                  <c:v>44463</c:v>
                </c:pt>
                <c:pt idx="537">
                  <c:v>44465</c:v>
                </c:pt>
                <c:pt idx="538">
                  <c:v>44466</c:v>
                </c:pt>
                <c:pt idx="539">
                  <c:v>44467</c:v>
                </c:pt>
                <c:pt idx="540">
                  <c:v>44468</c:v>
                </c:pt>
                <c:pt idx="541">
                  <c:v>44469</c:v>
                </c:pt>
                <c:pt idx="542">
                  <c:v>44470</c:v>
                </c:pt>
                <c:pt idx="543">
                  <c:v>44472</c:v>
                </c:pt>
                <c:pt idx="544">
                  <c:v>44473</c:v>
                </c:pt>
                <c:pt idx="545">
                  <c:v>44474</c:v>
                </c:pt>
                <c:pt idx="546">
                  <c:v>44475</c:v>
                </c:pt>
                <c:pt idx="547">
                  <c:v>44476</c:v>
                </c:pt>
                <c:pt idx="548">
                  <c:v>44477</c:v>
                </c:pt>
                <c:pt idx="549">
                  <c:v>44479</c:v>
                </c:pt>
                <c:pt idx="550">
                  <c:v>44480</c:v>
                </c:pt>
                <c:pt idx="551">
                  <c:v>44481</c:v>
                </c:pt>
                <c:pt idx="552">
                  <c:v>44482</c:v>
                </c:pt>
                <c:pt idx="553">
                  <c:v>44483</c:v>
                </c:pt>
                <c:pt idx="554">
                  <c:v>44484</c:v>
                </c:pt>
                <c:pt idx="555">
                  <c:v>44486</c:v>
                </c:pt>
                <c:pt idx="556">
                  <c:v>44487</c:v>
                </c:pt>
                <c:pt idx="557">
                  <c:v>44488</c:v>
                </c:pt>
                <c:pt idx="558">
                  <c:v>44489</c:v>
                </c:pt>
                <c:pt idx="559">
                  <c:v>44490</c:v>
                </c:pt>
                <c:pt idx="560">
                  <c:v>44491</c:v>
                </c:pt>
                <c:pt idx="561">
                  <c:v>44493</c:v>
                </c:pt>
                <c:pt idx="562">
                  <c:v>44494</c:v>
                </c:pt>
                <c:pt idx="563">
                  <c:v>44495</c:v>
                </c:pt>
                <c:pt idx="564">
                  <c:v>44496</c:v>
                </c:pt>
                <c:pt idx="565">
                  <c:v>44497</c:v>
                </c:pt>
                <c:pt idx="566">
                  <c:v>44498</c:v>
                </c:pt>
                <c:pt idx="567">
                  <c:v>44500</c:v>
                </c:pt>
                <c:pt idx="568">
                  <c:v>44501</c:v>
                </c:pt>
                <c:pt idx="569">
                  <c:v>44502</c:v>
                </c:pt>
                <c:pt idx="570">
                  <c:v>44503</c:v>
                </c:pt>
                <c:pt idx="571">
                  <c:v>44504</c:v>
                </c:pt>
                <c:pt idx="572">
                  <c:v>44505</c:v>
                </c:pt>
                <c:pt idx="573">
                  <c:v>44507</c:v>
                </c:pt>
                <c:pt idx="574">
                  <c:v>44508</c:v>
                </c:pt>
                <c:pt idx="575">
                  <c:v>44509</c:v>
                </c:pt>
                <c:pt idx="576">
                  <c:v>44510</c:v>
                </c:pt>
                <c:pt idx="577">
                  <c:v>44511</c:v>
                </c:pt>
                <c:pt idx="578">
                  <c:v>44512</c:v>
                </c:pt>
                <c:pt idx="579">
                  <c:v>44514</c:v>
                </c:pt>
                <c:pt idx="580">
                  <c:v>44515</c:v>
                </c:pt>
                <c:pt idx="581">
                  <c:v>44516</c:v>
                </c:pt>
                <c:pt idx="582">
                  <c:v>44517</c:v>
                </c:pt>
                <c:pt idx="583">
                  <c:v>44518</c:v>
                </c:pt>
                <c:pt idx="584">
                  <c:v>44519</c:v>
                </c:pt>
                <c:pt idx="585">
                  <c:v>44521</c:v>
                </c:pt>
                <c:pt idx="586">
                  <c:v>44522</c:v>
                </c:pt>
                <c:pt idx="587">
                  <c:v>44523</c:v>
                </c:pt>
                <c:pt idx="588">
                  <c:v>44524</c:v>
                </c:pt>
                <c:pt idx="589">
                  <c:v>44525</c:v>
                </c:pt>
                <c:pt idx="590">
                  <c:v>44526</c:v>
                </c:pt>
                <c:pt idx="591">
                  <c:v>44528</c:v>
                </c:pt>
                <c:pt idx="592">
                  <c:v>44529</c:v>
                </c:pt>
                <c:pt idx="593">
                  <c:v>44530</c:v>
                </c:pt>
                <c:pt idx="594">
                  <c:v>44531</c:v>
                </c:pt>
                <c:pt idx="595">
                  <c:v>44532</c:v>
                </c:pt>
                <c:pt idx="596">
                  <c:v>44533</c:v>
                </c:pt>
                <c:pt idx="597">
                  <c:v>44535</c:v>
                </c:pt>
                <c:pt idx="598">
                  <c:v>44536</c:v>
                </c:pt>
                <c:pt idx="599">
                  <c:v>44537</c:v>
                </c:pt>
                <c:pt idx="600">
                  <c:v>44538</c:v>
                </c:pt>
                <c:pt idx="601">
                  <c:v>44539</c:v>
                </c:pt>
                <c:pt idx="602">
                  <c:v>44540</c:v>
                </c:pt>
                <c:pt idx="603">
                  <c:v>44542</c:v>
                </c:pt>
                <c:pt idx="604">
                  <c:v>44543</c:v>
                </c:pt>
                <c:pt idx="605">
                  <c:v>44544</c:v>
                </c:pt>
                <c:pt idx="606">
                  <c:v>44545</c:v>
                </c:pt>
                <c:pt idx="607">
                  <c:v>44546</c:v>
                </c:pt>
                <c:pt idx="608">
                  <c:v>44547</c:v>
                </c:pt>
                <c:pt idx="609">
                  <c:v>44549</c:v>
                </c:pt>
                <c:pt idx="610">
                  <c:v>44550</c:v>
                </c:pt>
                <c:pt idx="611">
                  <c:v>44551</c:v>
                </c:pt>
                <c:pt idx="612">
                  <c:v>44552</c:v>
                </c:pt>
                <c:pt idx="613">
                  <c:v>44553</c:v>
                </c:pt>
                <c:pt idx="614">
                  <c:v>44556</c:v>
                </c:pt>
                <c:pt idx="615">
                  <c:v>44557</c:v>
                </c:pt>
                <c:pt idx="616">
                  <c:v>44558</c:v>
                </c:pt>
                <c:pt idx="617">
                  <c:v>44559</c:v>
                </c:pt>
                <c:pt idx="618">
                  <c:v>44560</c:v>
                </c:pt>
                <c:pt idx="619">
                  <c:v>44561</c:v>
                </c:pt>
                <c:pt idx="620">
                  <c:v>44563</c:v>
                </c:pt>
                <c:pt idx="621">
                  <c:v>44564</c:v>
                </c:pt>
                <c:pt idx="622">
                  <c:v>44565</c:v>
                </c:pt>
                <c:pt idx="623">
                  <c:v>44566</c:v>
                </c:pt>
                <c:pt idx="624">
                  <c:v>44567</c:v>
                </c:pt>
                <c:pt idx="625">
                  <c:v>44568</c:v>
                </c:pt>
                <c:pt idx="626">
                  <c:v>44570</c:v>
                </c:pt>
                <c:pt idx="627">
                  <c:v>44571</c:v>
                </c:pt>
                <c:pt idx="628">
                  <c:v>44572</c:v>
                </c:pt>
                <c:pt idx="629">
                  <c:v>44573</c:v>
                </c:pt>
                <c:pt idx="630">
                  <c:v>44574</c:v>
                </c:pt>
                <c:pt idx="631">
                  <c:v>44575</c:v>
                </c:pt>
                <c:pt idx="632">
                  <c:v>44577</c:v>
                </c:pt>
                <c:pt idx="633">
                  <c:v>44578</c:v>
                </c:pt>
                <c:pt idx="634">
                  <c:v>44579</c:v>
                </c:pt>
                <c:pt idx="635">
                  <c:v>44580</c:v>
                </c:pt>
                <c:pt idx="636">
                  <c:v>44581</c:v>
                </c:pt>
                <c:pt idx="637">
                  <c:v>44582</c:v>
                </c:pt>
                <c:pt idx="638">
                  <c:v>44584</c:v>
                </c:pt>
                <c:pt idx="639">
                  <c:v>44585</c:v>
                </c:pt>
                <c:pt idx="640">
                  <c:v>44586</c:v>
                </c:pt>
                <c:pt idx="641">
                  <c:v>44587</c:v>
                </c:pt>
                <c:pt idx="642">
                  <c:v>44588</c:v>
                </c:pt>
                <c:pt idx="643">
                  <c:v>44589</c:v>
                </c:pt>
                <c:pt idx="644">
                  <c:v>44591</c:v>
                </c:pt>
                <c:pt idx="645">
                  <c:v>44592</c:v>
                </c:pt>
                <c:pt idx="646">
                  <c:v>44593</c:v>
                </c:pt>
                <c:pt idx="647">
                  <c:v>44594</c:v>
                </c:pt>
                <c:pt idx="648">
                  <c:v>44595</c:v>
                </c:pt>
                <c:pt idx="649">
                  <c:v>44596</c:v>
                </c:pt>
                <c:pt idx="650">
                  <c:v>44598</c:v>
                </c:pt>
                <c:pt idx="651">
                  <c:v>44599</c:v>
                </c:pt>
                <c:pt idx="652">
                  <c:v>44600</c:v>
                </c:pt>
                <c:pt idx="653">
                  <c:v>44601</c:v>
                </c:pt>
                <c:pt idx="654">
                  <c:v>44602</c:v>
                </c:pt>
                <c:pt idx="655">
                  <c:v>44603</c:v>
                </c:pt>
                <c:pt idx="656">
                  <c:v>44605</c:v>
                </c:pt>
                <c:pt idx="657">
                  <c:v>44606</c:v>
                </c:pt>
                <c:pt idx="658">
                  <c:v>44607</c:v>
                </c:pt>
                <c:pt idx="659">
                  <c:v>44608</c:v>
                </c:pt>
                <c:pt idx="660">
                  <c:v>44609</c:v>
                </c:pt>
                <c:pt idx="661">
                  <c:v>44610</c:v>
                </c:pt>
                <c:pt idx="662">
                  <c:v>44612</c:v>
                </c:pt>
                <c:pt idx="663">
                  <c:v>44613</c:v>
                </c:pt>
                <c:pt idx="664">
                  <c:v>44614</c:v>
                </c:pt>
                <c:pt idx="665">
                  <c:v>44615</c:v>
                </c:pt>
                <c:pt idx="666">
                  <c:v>44616</c:v>
                </c:pt>
                <c:pt idx="667">
                  <c:v>44617</c:v>
                </c:pt>
                <c:pt idx="668">
                  <c:v>44619</c:v>
                </c:pt>
                <c:pt idx="669">
                  <c:v>44620</c:v>
                </c:pt>
                <c:pt idx="670">
                  <c:v>44621</c:v>
                </c:pt>
                <c:pt idx="671">
                  <c:v>44622</c:v>
                </c:pt>
                <c:pt idx="672">
                  <c:v>44623</c:v>
                </c:pt>
                <c:pt idx="673">
                  <c:v>44624</c:v>
                </c:pt>
                <c:pt idx="674">
                  <c:v>44626</c:v>
                </c:pt>
                <c:pt idx="675">
                  <c:v>44627</c:v>
                </c:pt>
                <c:pt idx="676">
                  <c:v>44628</c:v>
                </c:pt>
                <c:pt idx="677">
                  <c:v>44629</c:v>
                </c:pt>
                <c:pt idx="678">
                  <c:v>44630</c:v>
                </c:pt>
                <c:pt idx="679">
                  <c:v>44631</c:v>
                </c:pt>
                <c:pt idx="680">
                  <c:v>44633</c:v>
                </c:pt>
                <c:pt idx="681">
                  <c:v>44634</c:v>
                </c:pt>
                <c:pt idx="682">
                  <c:v>44635</c:v>
                </c:pt>
                <c:pt idx="683">
                  <c:v>44636</c:v>
                </c:pt>
                <c:pt idx="684">
                  <c:v>44637</c:v>
                </c:pt>
                <c:pt idx="685">
                  <c:v>44638</c:v>
                </c:pt>
                <c:pt idx="686">
                  <c:v>44640</c:v>
                </c:pt>
                <c:pt idx="687">
                  <c:v>44641</c:v>
                </c:pt>
                <c:pt idx="688">
                  <c:v>44642</c:v>
                </c:pt>
                <c:pt idx="689">
                  <c:v>44643</c:v>
                </c:pt>
                <c:pt idx="690">
                  <c:v>44644</c:v>
                </c:pt>
                <c:pt idx="691">
                  <c:v>44645</c:v>
                </c:pt>
                <c:pt idx="692">
                  <c:v>44647</c:v>
                </c:pt>
                <c:pt idx="693">
                  <c:v>44648</c:v>
                </c:pt>
                <c:pt idx="694">
                  <c:v>44649</c:v>
                </c:pt>
                <c:pt idx="695">
                  <c:v>44650</c:v>
                </c:pt>
                <c:pt idx="696">
                  <c:v>44651</c:v>
                </c:pt>
                <c:pt idx="697">
                  <c:v>44652</c:v>
                </c:pt>
                <c:pt idx="698">
                  <c:v>44654</c:v>
                </c:pt>
                <c:pt idx="699">
                  <c:v>44655</c:v>
                </c:pt>
                <c:pt idx="700">
                  <c:v>44656</c:v>
                </c:pt>
                <c:pt idx="701">
                  <c:v>44657</c:v>
                </c:pt>
                <c:pt idx="702">
                  <c:v>44658</c:v>
                </c:pt>
                <c:pt idx="703">
                  <c:v>44659</c:v>
                </c:pt>
                <c:pt idx="704">
                  <c:v>44661</c:v>
                </c:pt>
                <c:pt idx="705">
                  <c:v>44662</c:v>
                </c:pt>
                <c:pt idx="706">
                  <c:v>44663</c:v>
                </c:pt>
                <c:pt idx="707">
                  <c:v>44664</c:v>
                </c:pt>
                <c:pt idx="708">
                  <c:v>44665</c:v>
                </c:pt>
                <c:pt idx="709">
                  <c:v>44668</c:v>
                </c:pt>
                <c:pt idx="710">
                  <c:v>44669</c:v>
                </c:pt>
                <c:pt idx="711">
                  <c:v>44670</c:v>
                </c:pt>
                <c:pt idx="712">
                  <c:v>44671</c:v>
                </c:pt>
                <c:pt idx="713">
                  <c:v>44672</c:v>
                </c:pt>
                <c:pt idx="714">
                  <c:v>44673</c:v>
                </c:pt>
                <c:pt idx="715">
                  <c:v>44675</c:v>
                </c:pt>
                <c:pt idx="716">
                  <c:v>44676</c:v>
                </c:pt>
                <c:pt idx="717">
                  <c:v>44677</c:v>
                </c:pt>
                <c:pt idx="718">
                  <c:v>44678</c:v>
                </c:pt>
                <c:pt idx="719">
                  <c:v>44679</c:v>
                </c:pt>
                <c:pt idx="720">
                  <c:v>44680</c:v>
                </c:pt>
                <c:pt idx="721">
                  <c:v>44682</c:v>
                </c:pt>
                <c:pt idx="722">
                  <c:v>44683</c:v>
                </c:pt>
                <c:pt idx="723">
                  <c:v>44684</c:v>
                </c:pt>
                <c:pt idx="724">
                  <c:v>44685</c:v>
                </c:pt>
                <c:pt idx="725">
                  <c:v>44686</c:v>
                </c:pt>
                <c:pt idx="726">
                  <c:v>44687</c:v>
                </c:pt>
                <c:pt idx="727">
                  <c:v>44689</c:v>
                </c:pt>
                <c:pt idx="728">
                  <c:v>44690</c:v>
                </c:pt>
                <c:pt idx="729">
                  <c:v>44691</c:v>
                </c:pt>
                <c:pt idx="730">
                  <c:v>44692</c:v>
                </c:pt>
                <c:pt idx="731">
                  <c:v>44693</c:v>
                </c:pt>
                <c:pt idx="732">
                  <c:v>44694</c:v>
                </c:pt>
                <c:pt idx="733">
                  <c:v>44696</c:v>
                </c:pt>
                <c:pt idx="734">
                  <c:v>44697</c:v>
                </c:pt>
                <c:pt idx="735">
                  <c:v>44698</c:v>
                </c:pt>
                <c:pt idx="736">
                  <c:v>44699</c:v>
                </c:pt>
                <c:pt idx="737">
                  <c:v>44700</c:v>
                </c:pt>
                <c:pt idx="738">
                  <c:v>44701</c:v>
                </c:pt>
                <c:pt idx="739">
                  <c:v>44703</c:v>
                </c:pt>
                <c:pt idx="740">
                  <c:v>44704</c:v>
                </c:pt>
                <c:pt idx="741">
                  <c:v>44705</c:v>
                </c:pt>
                <c:pt idx="742">
                  <c:v>44706</c:v>
                </c:pt>
                <c:pt idx="743">
                  <c:v>44707</c:v>
                </c:pt>
                <c:pt idx="744">
                  <c:v>44708</c:v>
                </c:pt>
                <c:pt idx="745">
                  <c:v>44710</c:v>
                </c:pt>
                <c:pt idx="746">
                  <c:v>44711</c:v>
                </c:pt>
                <c:pt idx="747">
                  <c:v>44712</c:v>
                </c:pt>
                <c:pt idx="748">
                  <c:v>44713</c:v>
                </c:pt>
                <c:pt idx="749">
                  <c:v>44714</c:v>
                </c:pt>
                <c:pt idx="750">
                  <c:v>44715</c:v>
                </c:pt>
                <c:pt idx="751">
                  <c:v>44717</c:v>
                </c:pt>
                <c:pt idx="752">
                  <c:v>44718</c:v>
                </c:pt>
                <c:pt idx="753">
                  <c:v>44719</c:v>
                </c:pt>
                <c:pt idx="754">
                  <c:v>44720</c:v>
                </c:pt>
                <c:pt idx="755">
                  <c:v>44721</c:v>
                </c:pt>
                <c:pt idx="756">
                  <c:v>44722</c:v>
                </c:pt>
                <c:pt idx="757">
                  <c:v>44724</c:v>
                </c:pt>
                <c:pt idx="758">
                  <c:v>44725</c:v>
                </c:pt>
                <c:pt idx="759">
                  <c:v>44726</c:v>
                </c:pt>
                <c:pt idx="760">
                  <c:v>44727</c:v>
                </c:pt>
                <c:pt idx="761">
                  <c:v>44728</c:v>
                </c:pt>
                <c:pt idx="762">
                  <c:v>44729</c:v>
                </c:pt>
                <c:pt idx="763">
                  <c:v>44731</c:v>
                </c:pt>
                <c:pt idx="764">
                  <c:v>44732</c:v>
                </c:pt>
                <c:pt idx="765">
                  <c:v>44733</c:v>
                </c:pt>
                <c:pt idx="766">
                  <c:v>44734</c:v>
                </c:pt>
                <c:pt idx="767">
                  <c:v>44735</c:v>
                </c:pt>
                <c:pt idx="768">
                  <c:v>44736</c:v>
                </c:pt>
                <c:pt idx="769">
                  <c:v>44738</c:v>
                </c:pt>
                <c:pt idx="770">
                  <c:v>44739</c:v>
                </c:pt>
                <c:pt idx="771">
                  <c:v>44740</c:v>
                </c:pt>
                <c:pt idx="772">
                  <c:v>44741</c:v>
                </c:pt>
                <c:pt idx="773">
                  <c:v>44742</c:v>
                </c:pt>
                <c:pt idx="774">
                  <c:v>44743</c:v>
                </c:pt>
                <c:pt idx="775">
                  <c:v>44745</c:v>
                </c:pt>
                <c:pt idx="776">
                  <c:v>44746</c:v>
                </c:pt>
                <c:pt idx="777">
                  <c:v>44747</c:v>
                </c:pt>
                <c:pt idx="778">
                  <c:v>44748</c:v>
                </c:pt>
                <c:pt idx="779">
                  <c:v>44749</c:v>
                </c:pt>
                <c:pt idx="780">
                  <c:v>44750</c:v>
                </c:pt>
                <c:pt idx="781">
                  <c:v>44752</c:v>
                </c:pt>
                <c:pt idx="782">
                  <c:v>44753</c:v>
                </c:pt>
                <c:pt idx="783">
                  <c:v>44754</c:v>
                </c:pt>
                <c:pt idx="784">
                  <c:v>44755</c:v>
                </c:pt>
                <c:pt idx="785">
                  <c:v>44756</c:v>
                </c:pt>
                <c:pt idx="786">
                  <c:v>44757</c:v>
                </c:pt>
                <c:pt idx="787">
                  <c:v>44759</c:v>
                </c:pt>
                <c:pt idx="788">
                  <c:v>44760</c:v>
                </c:pt>
                <c:pt idx="789">
                  <c:v>44761</c:v>
                </c:pt>
                <c:pt idx="790">
                  <c:v>44762</c:v>
                </c:pt>
                <c:pt idx="791">
                  <c:v>44763</c:v>
                </c:pt>
                <c:pt idx="792">
                  <c:v>44764</c:v>
                </c:pt>
                <c:pt idx="793">
                  <c:v>44766</c:v>
                </c:pt>
                <c:pt idx="794">
                  <c:v>44767</c:v>
                </c:pt>
                <c:pt idx="795">
                  <c:v>44768</c:v>
                </c:pt>
                <c:pt idx="796">
                  <c:v>44769</c:v>
                </c:pt>
                <c:pt idx="797">
                  <c:v>44770</c:v>
                </c:pt>
                <c:pt idx="798">
                  <c:v>44771</c:v>
                </c:pt>
                <c:pt idx="799">
                  <c:v>44773</c:v>
                </c:pt>
                <c:pt idx="800">
                  <c:v>44774</c:v>
                </c:pt>
                <c:pt idx="801">
                  <c:v>44775</c:v>
                </c:pt>
                <c:pt idx="802">
                  <c:v>44776</c:v>
                </c:pt>
                <c:pt idx="803">
                  <c:v>44777</c:v>
                </c:pt>
                <c:pt idx="804">
                  <c:v>44778</c:v>
                </c:pt>
                <c:pt idx="805">
                  <c:v>44780</c:v>
                </c:pt>
                <c:pt idx="806">
                  <c:v>44781</c:v>
                </c:pt>
                <c:pt idx="807">
                  <c:v>44782</c:v>
                </c:pt>
                <c:pt idx="808">
                  <c:v>44783</c:v>
                </c:pt>
                <c:pt idx="809">
                  <c:v>44784</c:v>
                </c:pt>
                <c:pt idx="810">
                  <c:v>44785</c:v>
                </c:pt>
                <c:pt idx="811">
                  <c:v>44787</c:v>
                </c:pt>
                <c:pt idx="812">
                  <c:v>44788</c:v>
                </c:pt>
                <c:pt idx="813">
                  <c:v>44789</c:v>
                </c:pt>
                <c:pt idx="814">
                  <c:v>44790</c:v>
                </c:pt>
                <c:pt idx="815">
                  <c:v>44791</c:v>
                </c:pt>
                <c:pt idx="816">
                  <c:v>44792</c:v>
                </c:pt>
                <c:pt idx="817">
                  <c:v>44794</c:v>
                </c:pt>
                <c:pt idx="818">
                  <c:v>44795</c:v>
                </c:pt>
                <c:pt idx="819">
                  <c:v>44796</c:v>
                </c:pt>
                <c:pt idx="820">
                  <c:v>44797</c:v>
                </c:pt>
                <c:pt idx="821">
                  <c:v>44798</c:v>
                </c:pt>
                <c:pt idx="822">
                  <c:v>44799</c:v>
                </c:pt>
                <c:pt idx="823">
                  <c:v>44801</c:v>
                </c:pt>
                <c:pt idx="824">
                  <c:v>44802</c:v>
                </c:pt>
                <c:pt idx="825">
                  <c:v>44803</c:v>
                </c:pt>
                <c:pt idx="826">
                  <c:v>44804</c:v>
                </c:pt>
                <c:pt idx="827">
                  <c:v>44805</c:v>
                </c:pt>
                <c:pt idx="828">
                  <c:v>44806</c:v>
                </c:pt>
                <c:pt idx="829">
                  <c:v>44808</c:v>
                </c:pt>
                <c:pt idx="830">
                  <c:v>44809</c:v>
                </c:pt>
                <c:pt idx="831">
                  <c:v>44810</c:v>
                </c:pt>
                <c:pt idx="832">
                  <c:v>44811</c:v>
                </c:pt>
                <c:pt idx="833">
                  <c:v>44812</c:v>
                </c:pt>
                <c:pt idx="834">
                  <c:v>44813</c:v>
                </c:pt>
                <c:pt idx="835">
                  <c:v>44815</c:v>
                </c:pt>
                <c:pt idx="836">
                  <c:v>44816</c:v>
                </c:pt>
                <c:pt idx="837">
                  <c:v>44817</c:v>
                </c:pt>
                <c:pt idx="838">
                  <c:v>44818</c:v>
                </c:pt>
                <c:pt idx="839">
                  <c:v>44819</c:v>
                </c:pt>
                <c:pt idx="840">
                  <c:v>44820</c:v>
                </c:pt>
                <c:pt idx="841">
                  <c:v>44822</c:v>
                </c:pt>
                <c:pt idx="842">
                  <c:v>44823</c:v>
                </c:pt>
                <c:pt idx="843">
                  <c:v>44824</c:v>
                </c:pt>
                <c:pt idx="844">
                  <c:v>44825</c:v>
                </c:pt>
                <c:pt idx="845">
                  <c:v>44826</c:v>
                </c:pt>
                <c:pt idx="846">
                  <c:v>44827</c:v>
                </c:pt>
                <c:pt idx="847">
                  <c:v>44829</c:v>
                </c:pt>
                <c:pt idx="848">
                  <c:v>44830</c:v>
                </c:pt>
                <c:pt idx="849">
                  <c:v>44831</c:v>
                </c:pt>
                <c:pt idx="850">
                  <c:v>44832</c:v>
                </c:pt>
                <c:pt idx="851">
                  <c:v>44833</c:v>
                </c:pt>
                <c:pt idx="852">
                  <c:v>44834</c:v>
                </c:pt>
                <c:pt idx="853">
                  <c:v>44836</c:v>
                </c:pt>
                <c:pt idx="854">
                  <c:v>44837</c:v>
                </c:pt>
                <c:pt idx="855">
                  <c:v>44838</c:v>
                </c:pt>
                <c:pt idx="856">
                  <c:v>44839</c:v>
                </c:pt>
                <c:pt idx="857">
                  <c:v>44840</c:v>
                </c:pt>
                <c:pt idx="858">
                  <c:v>44841</c:v>
                </c:pt>
                <c:pt idx="859">
                  <c:v>44843</c:v>
                </c:pt>
                <c:pt idx="860">
                  <c:v>44844</c:v>
                </c:pt>
                <c:pt idx="861">
                  <c:v>44845</c:v>
                </c:pt>
                <c:pt idx="862">
                  <c:v>44846</c:v>
                </c:pt>
                <c:pt idx="863">
                  <c:v>44847</c:v>
                </c:pt>
                <c:pt idx="864">
                  <c:v>44848</c:v>
                </c:pt>
                <c:pt idx="865">
                  <c:v>44850</c:v>
                </c:pt>
                <c:pt idx="866">
                  <c:v>44851</c:v>
                </c:pt>
                <c:pt idx="867">
                  <c:v>44852</c:v>
                </c:pt>
                <c:pt idx="868">
                  <c:v>44853</c:v>
                </c:pt>
                <c:pt idx="869">
                  <c:v>44854</c:v>
                </c:pt>
                <c:pt idx="870">
                  <c:v>44855</c:v>
                </c:pt>
                <c:pt idx="871">
                  <c:v>44857</c:v>
                </c:pt>
                <c:pt idx="872">
                  <c:v>44858</c:v>
                </c:pt>
                <c:pt idx="873">
                  <c:v>44859</c:v>
                </c:pt>
                <c:pt idx="874">
                  <c:v>44860</c:v>
                </c:pt>
                <c:pt idx="875">
                  <c:v>44861</c:v>
                </c:pt>
                <c:pt idx="876">
                  <c:v>44862</c:v>
                </c:pt>
                <c:pt idx="877">
                  <c:v>44864</c:v>
                </c:pt>
                <c:pt idx="878">
                  <c:v>44865</c:v>
                </c:pt>
                <c:pt idx="879">
                  <c:v>44866</c:v>
                </c:pt>
                <c:pt idx="880">
                  <c:v>44867</c:v>
                </c:pt>
                <c:pt idx="881">
                  <c:v>44868</c:v>
                </c:pt>
                <c:pt idx="882">
                  <c:v>44869</c:v>
                </c:pt>
                <c:pt idx="883">
                  <c:v>44871</c:v>
                </c:pt>
                <c:pt idx="884">
                  <c:v>44872</c:v>
                </c:pt>
                <c:pt idx="885">
                  <c:v>44873</c:v>
                </c:pt>
                <c:pt idx="886">
                  <c:v>44874</c:v>
                </c:pt>
                <c:pt idx="887">
                  <c:v>44875</c:v>
                </c:pt>
                <c:pt idx="888">
                  <c:v>44876</c:v>
                </c:pt>
                <c:pt idx="889">
                  <c:v>44878</c:v>
                </c:pt>
                <c:pt idx="890">
                  <c:v>44879</c:v>
                </c:pt>
                <c:pt idx="891">
                  <c:v>44880</c:v>
                </c:pt>
                <c:pt idx="892">
                  <c:v>44881</c:v>
                </c:pt>
                <c:pt idx="893">
                  <c:v>44882</c:v>
                </c:pt>
                <c:pt idx="894">
                  <c:v>44883</c:v>
                </c:pt>
                <c:pt idx="895">
                  <c:v>44885</c:v>
                </c:pt>
                <c:pt idx="896">
                  <c:v>44886</c:v>
                </c:pt>
                <c:pt idx="897">
                  <c:v>44887</c:v>
                </c:pt>
                <c:pt idx="898">
                  <c:v>44888</c:v>
                </c:pt>
                <c:pt idx="899">
                  <c:v>44889</c:v>
                </c:pt>
                <c:pt idx="900">
                  <c:v>44890</c:v>
                </c:pt>
                <c:pt idx="901">
                  <c:v>44892</c:v>
                </c:pt>
                <c:pt idx="902">
                  <c:v>44893</c:v>
                </c:pt>
                <c:pt idx="903">
                  <c:v>44894</c:v>
                </c:pt>
                <c:pt idx="904">
                  <c:v>44895</c:v>
                </c:pt>
                <c:pt idx="905">
                  <c:v>44896</c:v>
                </c:pt>
                <c:pt idx="906">
                  <c:v>44897</c:v>
                </c:pt>
                <c:pt idx="907">
                  <c:v>44899</c:v>
                </c:pt>
                <c:pt idx="908">
                  <c:v>44900</c:v>
                </c:pt>
                <c:pt idx="909">
                  <c:v>44901</c:v>
                </c:pt>
                <c:pt idx="910">
                  <c:v>44902</c:v>
                </c:pt>
                <c:pt idx="911">
                  <c:v>44903</c:v>
                </c:pt>
                <c:pt idx="912">
                  <c:v>44904</c:v>
                </c:pt>
                <c:pt idx="913">
                  <c:v>44906</c:v>
                </c:pt>
                <c:pt idx="914">
                  <c:v>44907</c:v>
                </c:pt>
                <c:pt idx="915">
                  <c:v>44908</c:v>
                </c:pt>
                <c:pt idx="916">
                  <c:v>44909</c:v>
                </c:pt>
                <c:pt idx="917">
                  <c:v>44910</c:v>
                </c:pt>
                <c:pt idx="918">
                  <c:v>44911</c:v>
                </c:pt>
                <c:pt idx="919">
                  <c:v>44913</c:v>
                </c:pt>
                <c:pt idx="920">
                  <c:v>44914</c:v>
                </c:pt>
                <c:pt idx="921">
                  <c:v>44915</c:v>
                </c:pt>
                <c:pt idx="922">
                  <c:v>44916</c:v>
                </c:pt>
                <c:pt idx="923">
                  <c:v>44917</c:v>
                </c:pt>
                <c:pt idx="924">
                  <c:v>44918</c:v>
                </c:pt>
                <c:pt idx="925">
                  <c:v>44921</c:v>
                </c:pt>
                <c:pt idx="926">
                  <c:v>44922</c:v>
                </c:pt>
                <c:pt idx="927">
                  <c:v>44923</c:v>
                </c:pt>
                <c:pt idx="928">
                  <c:v>44924</c:v>
                </c:pt>
                <c:pt idx="929">
                  <c:v>44925</c:v>
                </c:pt>
                <c:pt idx="930">
                  <c:v>44928</c:v>
                </c:pt>
                <c:pt idx="931">
                  <c:v>44929</c:v>
                </c:pt>
                <c:pt idx="932">
                  <c:v>44930</c:v>
                </c:pt>
                <c:pt idx="933">
                  <c:v>44931</c:v>
                </c:pt>
                <c:pt idx="934">
                  <c:v>44932</c:v>
                </c:pt>
                <c:pt idx="935">
                  <c:v>44934</c:v>
                </c:pt>
                <c:pt idx="936">
                  <c:v>44935</c:v>
                </c:pt>
                <c:pt idx="937">
                  <c:v>44936</c:v>
                </c:pt>
                <c:pt idx="938">
                  <c:v>44937</c:v>
                </c:pt>
                <c:pt idx="939">
                  <c:v>44938</c:v>
                </c:pt>
                <c:pt idx="940">
                  <c:v>44939</c:v>
                </c:pt>
                <c:pt idx="941">
                  <c:v>44941</c:v>
                </c:pt>
                <c:pt idx="942">
                  <c:v>44942</c:v>
                </c:pt>
                <c:pt idx="943">
                  <c:v>44943</c:v>
                </c:pt>
                <c:pt idx="944">
                  <c:v>44944</c:v>
                </c:pt>
                <c:pt idx="945">
                  <c:v>44945</c:v>
                </c:pt>
                <c:pt idx="946">
                  <c:v>44946</c:v>
                </c:pt>
                <c:pt idx="947">
                  <c:v>44948</c:v>
                </c:pt>
                <c:pt idx="948">
                  <c:v>44949</c:v>
                </c:pt>
                <c:pt idx="949">
                  <c:v>44950</c:v>
                </c:pt>
                <c:pt idx="950">
                  <c:v>44951</c:v>
                </c:pt>
                <c:pt idx="951">
                  <c:v>44952</c:v>
                </c:pt>
                <c:pt idx="952">
                  <c:v>44953</c:v>
                </c:pt>
                <c:pt idx="953">
                  <c:v>44955</c:v>
                </c:pt>
                <c:pt idx="954">
                  <c:v>44956</c:v>
                </c:pt>
                <c:pt idx="955">
                  <c:v>44957</c:v>
                </c:pt>
                <c:pt idx="956">
                  <c:v>44958</c:v>
                </c:pt>
                <c:pt idx="957">
                  <c:v>44959</c:v>
                </c:pt>
                <c:pt idx="958">
                  <c:v>44960</c:v>
                </c:pt>
                <c:pt idx="959">
                  <c:v>44962</c:v>
                </c:pt>
                <c:pt idx="960">
                  <c:v>44963</c:v>
                </c:pt>
                <c:pt idx="961">
                  <c:v>44964</c:v>
                </c:pt>
                <c:pt idx="962">
                  <c:v>44965</c:v>
                </c:pt>
                <c:pt idx="963">
                  <c:v>44966</c:v>
                </c:pt>
                <c:pt idx="964">
                  <c:v>44967</c:v>
                </c:pt>
                <c:pt idx="965">
                  <c:v>44969</c:v>
                </c:pt>
                <c:pt idx="966">
                  <c:v>44970</c:v>
                </c:pt>
                <c:pt idx="967">
                  <c:v>44971</c:v>
                </c:pt>
                <c:pt idx="968">
                  <c:v>44972</c:v>
                </c:pt>
                <c:pt idx="969">
                  <c:v>44973</c:v>
                </c:pt>
                <c:pt idx="970">
                  <c:v>44974</c:v>
                </c:pt>
                <c:pt idx="971">
                  <c:v>44976</c:v>
                </c:pt>
                <c:pt idx="972">
                  <c:v>44977</c:v>
                </c:pt>
                <c:pt idx="973">
                  <c:v>44978</c:v>
                </c:pt>
                <c:pt idx="974">
                  <c:v>44979</c:v>
                </c:pt>
                <c:pt idx="975">
                  <c:v>44980</c:v>
                </c:pt>
                <c:pt idx="976">
                  <c:v>44981</c:v>
                </c:pt>
                <c:pt idx="977">
                  <c:v>44983</c:v>
                </c:pt>
                <c:pt idx="978">
                  <c:v>44984</c:v>
                </c:pt>
                <c:pt idx="979">
                  <c:v>44985</c:v>
                </c:pt>
                <c:pt idx="980">
                  <c:v>44986</c:v>
                </c:pt>
                <c:pt idx="981">
                  <c:v>44987</c:v>
                </c:pt>
                <c:pt idx="982">
                  <c:v>44988</c:v>
                </c:pt>
                <c:pt idx="983">
                  <c:v>44990</c:v>
                </c:pt>
                <c:pt idx="984">
                  <c:v>44991</c:v>
                </c:pt>
                <c:pt idx="985">
                  <c:v>44992</c:v>
                </c:pt>
                <c:pt idx="986">
                  <c:v>44993</c:v>
                </c:pt>
                <c:pt idx="987">
                  <c:v>44994</c:v>
                </c:pt>
                <c:pt idx="988">
                  <c:v>44995</c:v>
                </c:pt>
                <c:pt idx="989">
                  <c:v>44997</c:v>
                </c:pt>
                <c:pt idx="990">
                  <c:v>44998</c:v>
                </c:pt>
                <c:pt idx="991">
                  <c:v>44999</c:v>
                </c:pt>
                <c:pt idx="992">
                  <c:v>45000</c:v>
                </c:pt>
                <c:pt idx="993">
                  <c:v>45001</c:v>
                </c:pt>
                <c:pt idx="994">
                  <c:v>45002</c:v>
                </c:pt>
                <c:pt idx="995">
                  <c:v>45005</c:v>
                </c:pt>
                <c:pt idx="996">
                  <c:v>45006</c:v>
                </c:pt>
                <c:pt idx="997">
                  <c:v>45007</c:v>
                </c:pt>
                <c:pt idx="998">
                  <c:v>45008</c:v>
                </c:pt>
                <c:pt idx="999">
                  <c:v>45009</c:v>
                </c:pt>
                <c:pt idx="1000">
                  <c:v>45011</c:v>
                </c:pt>
                <c:pt idx="1001">
                  <c:v>45012</c:v>
                </c:pt>
                <c:pt idx="1002">
                  <c:v>45013</c:v>
                </c:pt>
                <c:pt idx="1003">
                  <c:v>45014</c:v>
                </c:pt>
                <c:pt idx="1004">
                  <c:v>45015</c:v>
                </c:pt>
                <c:pt idx="1005">
                  <c:v>45016</c:v>
                </c:pt>
                <c:pt idx="1006">
                  <c:v>45018</c:v>
                </c:pt>
                <c:pt idx="1007">
                  <c:v>45019</c:v>
                </c:pt>
                <c:pt idx="1008">
                  <c:v>45020</c:v>
                </c:pt>
                <c:pt idx="1009">
                  <c:v>45021</c:v>
                </c:pt>
                <c:pt idx="1010">
                  <c:v>45022</c:v>
                </c:pt>
                <c:pt idx="1011">
                  <c:v>45025</c:v>
                </c:pt>
                <c:pt idx="1012">
                  <c:v>45026</c:v>
                </c:pt>
                <c:pt idx="1013">
                  <c:v>45027</c:v>
                </c:pt>
                <c:pt idx="1014">
                  <c:v>45028</c:v>
                </c:pt>
                <c:pt idx="1015">
                  <c:v>45029</c:v>
                </c:pt>
                <c:pt idx="1016">
                  <c:v>45030</c:v>
                </c:pt>
                <c:pt idx="1017">
                  <c:v>45032</c:v>
                </c:pt>
                <c:pt idx="1018">
                  <c:v>45033</c:v>
                </c:pt>
                <c:pt idx="1019">
                  <c:v>45034</c:v>
                </c:pt>
                <c:pt idx="1020">
                  <c:v>45035</c:v>
                </c:pt>
                <c:pt idx="1021">
                  <c:v>45036</c:v>
                </c:pt>
                <c:pt idx="1022">
                  <c:v>45037</c:v>
                </c:pt>
                <c:pt idx="1023">
                  <c:v>45039</c:v>
                </c:pt>
                <c:pt idx="1024">
                  <c:v>45040</c:v>
                </c:pt>
                <c:pt idx="1025">
                  <c:v>45041</c:v>
                </c:pt>
                <c:pt idx="1026">
                  <c:v>45042</c:v>
                </c:pt>
                <c:pt idx="1027">
                  <c:v>45043</c:v>
                </c:pt>
                <c:pt idx="1028">
                  <c:v>45044</c:v>
                </c:pt>
                <c:pt idx="1029">
                  <c:v>45046</c:v>
                </c:pt>
                <c:pt idx="1030">
                  <c:v>45047</c:v>
                </c:pt>
                <c:pt idx="1031">
                  <c:v>45048</c:v>
                </c:pt>
                <c:pt idx="1032">
                  <c:v>45049</c:v>
                </c:pt>
                <c:pt idx="1033">
                  <c:v>45050</c:v>
                </c:pt>
                <c:pt idx="1034">
                  <c:v>45051</c:v>
                </c:pt>
                <c:pt idx="1035">
                  <c:v>45053</c:v>
                </c:pt>
                <c:pt idx="1036">
                  <c:v>45054</c:v>
                </c:pt>
                <c:pt idx="1037">
                  <c:v>45055</c:v>
                </c:pt>
                <c:pt idx="1038">
                  <c:v>45056</c:v>
                </c:pt>
                <c:pt idx="1039">
                  <c:v>45057</c:v>
                </c:pt>
                <c:pt idx="1040">
                  <c:v>45058</c:v>
                </c:pt>
                <c:pt idx="1041">
                  <c:v>45060</c:v>
                </c:pt>
                <c:pt idx="1042">
                  <c:v>45061</c:v>
                </c:pt>
                <c:pt idx="1043">
                  <c:v>45062</c:v>
                </c:pt>
                <c:pt idx="1044">
                  <c:v>45063</c:v>
                </c:pt>
                <c:pt idx="1045">
                  <c:v>45064</c:v>
                </c:pt>
                <c:pt idx="1046">
                  <c:v>45065</c:v>
                </c:pt>
                <c:pt idx="1047">
                  <c:v>45067</c:v>
                </c:pt>
                <c:pt idx="1048">
                  <c:v>45068</c:v>
                </c:pt>
                <c:pt idx="1049">
                  <c:v>45069</c:v>
                </c:pt>
                <c:pt idx="1050">
                  <c:v>45070</c:v>
                </c:pt>
                <c:pt idx="1051">
                  <c:v>45071</c:v>
                </c:pt>
                <c:pt idx="1052">
                  <c:v>45072</c:v>
                </c:pt>
                <c:pt idx="1053">
                  <c:v>45074</c:v>
                </c:pt>
                <c:pt idx="1054">
                  <c:v>45075</c:v>
                </c:pt>
                <c:pt idx="1055">
                  <c:v>45076</c:v>
                </c:pt>
                <c:pt idx="1056">
                  <c:v>45077</c:v>
                </c:pt>
                <c:pt idx="1057">
                  <c:v>45078</c:v>
                </c:pt>
                <c:pt idx="1058">
                  <c:v>45079</c:v>
                </c:pt>
                <c:pt idx="1059">
                  <c:v>45081</c:v>
                </c:pt>
                <c:pt idx="1060">
                  <c:v>45082</c:v>
                </c:pt>
                <c:pt idx="1061">
                  <c:v>45083</c:v>
                </c:pt>
                <c:pt idx="1062">
                  <c:v>45084</c:v>
                </c:pt>
                <c:pt idx="1063">
                  <c:v>45085</c:v>
                </c:pt>
                <c:pt idx="1064">
                  <c:v>45086</c:v>
                </c:pt>
                <c:pt idx="1065">
                  <c:v>45088</c:v>
                </c:pt>
                <c:pt idx="1066">
                  <c:v>45089</c:v>
                </c:pt>
                <c:pt idx="1067">
                  <c:v>45090</c:v>
                </c:pt>
                <c:pt idx="1068">
                  <c:v>45091</c:v>
                </c:pt>
                <c:pt idx="1069">
                  <c:v>45092</c:v>
                </c:pt>
                <c:pt idx="1070">
                  <c:v>45093</c:v>
                </c:pt>
                <c:pt idx="1071">
                  <c:v>45095</c:v>
                </c:pt>
                <c:pt idx="1072">
                  <c:v>45096</c:v>
                </c:pt>
                <c:pt idx="1073">
                  <c:v>45097</c:v>
                </c:pt>
                <c:pt idx="1074">
                  <c:v>45098</c:v>
                </c:pt>
                <c:pt idx="1075">
                  <c:v>45099</c:v>
                </c:pt>
                <c:pt idx="1076">
                  <c:v>45100</c:v>
                </c:pt>
                <c:pt idx="1077">
                  <c:v>45102</c:v>
                </c:pt>
                <c:pt idx="1078">
                  <c:v>45103</c:v>
                </c:pt>
                <c:pt idx="1079">
                  <c:v>45104</c:v>
                </c:pt>
                <c:pt idx="1080">
                  <c:v>45105</c:v>
                </c:pt>
                <c:pt idx="1081">
                  <c:v>45106</c:v>
                </c:pt>
                <c:pt idx="1082">
                  <c:v>45107</c:v>
                </c:pt>
                <c:pt idx="1083">
                  <c:v>45109</c:v>
                </c:pt>
                <c:pt idx="1084">
                  <c:v>45110</c:v>
                </c:pt>
                <c:pt idx="1085">
                  <c:v>45111</c:v>
                </c:pt>
                <c:pt idx="1086">
                  <c:v>45112</c:v>
                </c:pt>
                <c:pt idx="1087">
                  <c:v>45113</c:v>
                </c:pt>
                <c:pt idx="1088">
                  <c:v>45114</c:v>
                </c:pt>
                <c:pt idx="1089">
                  <c:v>45116</c:v>
                </c:pt>
                <c:pt idx="1090">
                  <c:v>45117</c:v>
                </c:pt>
                <c:pt idx="1091">
                  <c:v>45118</c:v>
                </c:pt>
                <c:pt idx="1092">
                  <c:v>45119</c:v>
                </c:pt>
                <c:pt idx="1093">
                  <c:v>45120</c:v>
                </c:pt>
                <c:pt idx="1094">
                  <c:v>45121</c:v>
                </c:pt>
                <c:pt idx="1095">
                  <c:v>45123</c:v>
                </c:pt>
                <c:pt idx="1096">
                  <c:v>45124</c:v>
                </c:pt>
                <c:pt idx="1097">
                  <c:v>45125</c:v>
                </c:pt>
                <c:pt idx="1098">
                  <c:v>45126</c:v>
                </c:pt>
                <c:pt idx="1099">
                  <c:v>45127</c:v>
                </c:pt>
                <c:pt idx="1100">
                  <c:v>45128</c:v>
                </c:pt>
                <c:pt idx="1101">
                  <c:v>45130</c:v>
                </c:pt>
                <c:pt idx="1102">
                  <c:v>45131</c:v>
                </c:pt>
                <c:pt idx="1103">
                  <c:v>45132</c:v>
                </c:pt>
                <c:pt idx="1104">
                  <c:v>45133</c:v>
                </c:pt>
                <c:pt idx="1105">
                  <c:v>45134</c:v>
                </c:pt>
                <c:pt idx="1106">
                  <c:v>45135</c:v>
                </c:pt>
                <c:pt idx="1107">
                  <c:v>45137</c:v>
                </c:pt>
                <c:pt idx="1108">
                  <c:v>45138</c:v>
                </c:pt>
              </c:numCache>
            </c:numRef>
          </c:cat>
          <c:val>
            <c:numRef>
              <c:f>WTI_spot!$B$2:$B$1110</c:f>
              <c:numCache>
                <c:formatCode>General</c:formatCode>
                <c:ptCount val="1109"/>
                <c:pt idx="0">
                  <c:v>61.19</c:v>
                </c:pt>
                <c:pt idx="1">
                  <c:v>63.1</c:v>
                </c:pt>
                <c:pt idx="2">
                  <c:v>63.89</c:v>
                </c:pt>
                <c:pt idx="3">
                  <c:v>62.99</c:v>
                </c:pt>
                <c:pt idx="4">
                  <c:v>64.92</c:v>
                </c:pt>
                <c:pt idx="5">
                  <c:v>59.97</c:v>
                </c:pt>
                <c:pt idx="6">
                  <c:v>59.55</c:v>
                </c:pt>
                <c:pt idx="7">
                  <c:v>59.17</c:v>
                </c:pt>
                <c:pt idx="8">
                  <c:v>58.94</c:v>
                </c:pt>
                <c:pt idx="9">
                  <c:v>58.12</c:v>
                </c:pt>
                <c:pt idx="10">
                  <c:v>58.09</c:v>
                </c:pt>
                <c:pt idx="11">
                  <c:v>58.12</c:v>
                </c:pt>
                <c:pt idx="12">
                  <c:v>58.61</c:v>
                </c:pt>
                <c:pt idx="13">
                  <c:v>58.77</c:v>
                </c:pt>
                <c:pt idx="14">
                  <c:v>59.22</c:v>
                </c:pt>
                <c:pt idx="15">
                  <c:v>58.67</c:v>
                </c:pt>
                <c:pt idx="16">
                  <c:v>58.26</c:v>
                </c:pt>
                <c:pt idx="17">
                  <c:v>56.09</c:v>
                </c:pt>
                <c:pt idx="18">
                  <c:v>55.62</c:v>
                </c:pt>
                <c:pt idx="19">
                  <c:v>54.13</c:v>
                </c:pt>
                <c:pt idx="20">
                  <c:v>52.56</c:v>
                </c:pt>
                <c:pt idx="21">
                  <c:v>52.91</c:v>
                </c:pt>
                <c:pt idx="22">
                  <c:v>53.74</c:v>
                </c:pt>
                <c:pt idx="23">
                  <c:v>53.09</c:v>
                </c:pt>
                <c:pt idx="24">
                  <c:v>52.84</c:v>
                </c:pt>
                <c:pt idx="25">
                  <c:v>51.57</c:v>
                </c:pt>
                <c:pt idx="26">
                  <c:v>51.02</c:v>
                </c:pt>
                <c:pt idx="27">
                  <c:v>49.88</c:v>
                </c:pt>
                <c:pt idx="28">
                  <c:v>49.58</c:v>
                </c:pt>
                <c:pt idx="29">
                  <c:v>51.2</c:v>
                </c:pt>
                <c:pt idx="30">
                  <c:v>51.41</c:v>
                </c:pt>
                <c:pt idx="31">
                  <c:v>50.34</c:v>
                </c:pt>
                <c:pt idx="32">
                  <c:v>49.74</c:v>
                </c:pt>
                <c:pt idx="33">
                  <c:v>49.78</c:v>
                </c:pt>
                <c:pt idx="34">
                  <c:v>50.12</c:v>
                </c:pt>
                <c:pt idx="35">
                  <c:v>51.45</c:v>
                </c:pt>
                <c:pt idx="36">
                  <c:v>51.39</c:v>
                </c:pt>
                <c:pt idx="37">
                  <c:v>52.2</c:v>
                </c:pt>
                <c:pt idx="38">
                  <c:v>52.11</c:v>
                </c:pt>
                <c:pt idx="39">
                  <c:v>51.95</c:v>
                </c:pt>
                <c:pt idx="40">
                  <c:v>52.16</c:v>
                </c:pt>
                <c:pt idx="41">
                  <c:v>53.53</c:v>
                </c:pt>
                <c:pt idx="42">
                  <c:v>53.26</c:v>
                </c:pt>
                <c:pt idx="43">
                  <c:v>53.22</c:v>
                </c:pt>
                <c:pt idx="44">
                  <c:v>51.87</c:v>
                </c:pt>
                <c:pt idx="45">
                  <c:v>51.27</c:v>
                </c:pt>
                <c:pt idx="46">
                  <c:v>50.01</c:v>
                </c:pt>
                <c:pt idx="47">
                  <c:v>48.26</c:v>
                </c:pt>
                <c:pt idx="48">
                  <c:v>46.66</c:v>
                </c:pt>
                <c:pt idx="49">
                  <c:v>45.13</c:v>
                </c:pt>
                <c:pt idx="50">
                  <c:v>44.45</c:v>
                </c:pt>
                <c:pt idx="51">
                  <c:v>47.8</c:v>
                </c:pt>
                <c:pt idx="52">
                  <c:v>46.91</c:v>
                </c:pt>
                <c:pt idx="53">
                  <c:v>47.23</c:v>
                </c:pt>
                <c:pt idx="54">
                  <c:v>46.12</c:v>
                </c:pt>
                <c:pt idx="55">
                  <c:v>41.53</c:v>
                </c:pt>
                <c:pt idx="56">
                  <c:v>32.450000000000003</c:v>
                </c:pt>
                <c:pt idx="57">
                  <c:v>32.380000000000003</c:v>
                </c:pt>
                <c:pt idx="58">
                  <c:v>34.01</c:v>
                </c:pt>
                <c:pt idx="59">
                  <c:v>33.090000000000003</c:v>
                </c:pt>
                <c:pt idx="60">
                  <c:v>31.02</c:v>
                </c:pt>
                <c:pt idx="61">
                  <c:v>32.979999999999997</c:v>
                </c:pt>
                <c:pt idx="62">
                  <c:v>30.45</c:v>
                </c:pt>
                <c:pt idx="63">
                  <c:v>29.13</c:v>
                </c:pt>
                <c:pt idx="64">
                  <c:v>26.48</c:v>
                </c:pt>
                <c:pt idx="65">
                  <c:v>23.57</c:v>
                </c:pt>
                <c:pt idx="66">
                  <c:v>26</c:v>
                </c:pt>
                <c:pt idx="67">
                  <c:v>23.2</c:v>
                </c:pt>
                <c:pt idx="68">
                  <c:v>21.23</c:v>
                </c:pt>
                <c:pt idx="69">
                  <c:v>24.05</c:v>
                </c:pt>
                <c:pt idx="70">
                  <c:v>24.25</c:v>
                </c:pt>
                <c:pt idx="71">
                  <c:v>23.89</c:v>
                </c:pt>
                <c:pt idx="72">
                  <c:v>22.77</c:v>
                </c:pt>
                <c:pt idx="73">
                  <c:v>21.53</c:v>
                </c:pt>
                <c:pt idx="74">
                  <c:v>20.05</c:v>
                </c:pt>
                <c:pt idx="75">
                  <c:v>20.27</c:v>
                </c:pt>
                <c:pt idx="76">
                  <c:v>20.05</c:v>
                </c:pt>
                <c:pt idx="77">
                  <c:v>21.02</c:v>
                </c:pt>
                <c:pt idx="78">
                  <c:v>24.46</c:v>
                </c:pt>
                <c:pt idx="79">
                  <c:v>28.5</c:v>
                </c:pt>
                <c:pt idx="80">
                  <c:v>26.13</c:v>
                </c:pt>
                <c:pt idx="81">
                  <c:v>26.75</c:v>
                </c:pt>
                <c:pt idx="82">
                  <c:v>24.45</c:v>
                </c:pt>
                <c:pt idx="83">
                  <c:v>26.23</c:v>
                </c:pt>
                <c:pt idx="84">
                  <c:v>23.05</c:v>
                </c:pt>
                <c:pt idx="85">
                  <c:v>23.12</c:v>
                </c:pt>
                <c:pt idx="86">
                  <c:v>22.8</c:v>
                </c:pt>
                <c:pt idx="87">
                  <c:v>20.79</c:v>
                </c:pt>
                <c:pt idx="88">
                  <c:v>20.25</c:v>
                </c:pt>
                <c:pt idx="89">
                  <c:v>19.88</c:v>
                </c:pt>
                <c:pt idx="90">
                  <c:v>18.16</c:v>
                </c:pt>
                <c:pt idx="91">
                  <c:v>17.05</c:v>
                </c:pt>
                <c:pt idx="92">
                  <c:v>11.96</c:v>
                </c:pt>
                <c:pt idx="93">
                  <c:v>7.98</c:v>
                </c:pt>
                <c:pt idx="94">
                  <c:v>8.0500000000000007</c:v>
                </c:pt>
                <c:pt idx="95">
                  <c:v>8.2100000000000009</c:v>
                </c:pt>
                <c:pt idx="96">
                  <c:v>7.99</c:v>
                </c:pt>
                <c:pt idx="97">
                  <c:v>8.07</c:v>
                </c:pt>
                <c:pt idx="98">
                  <c:v>7.79</c:v>
                </c:pt>
                <c:pt idx="99">
                  <c:v>7.79</c:v>
                </c:pt>
                <c:pt idx="100">
                  <c:v>8.16</c:v>
                </c:pt>
                <c:pt idx="101">
                  <c:v>8.6199999999999992</c:v>
                </c:pt>
                <c:pt idx="102">
                  <c:v>8.31</c:v>
                </c:pt>
                <c:pt idx="103">
                  <c:v>8.27</c:v>
                </c:pt>
                <c:pt idx="104">
                  <c:v>8.73</c:v>
                </c:pt>
                <c:pt idx="105">
                  <c:v>9.68</c:v>
                </c:pt>
                <c:pt idx="106">
                  <c:v>9.11</c:v>
                </c:pt>
                <c:pt idx="107">
                  <c:v>9.1199999999999992</c:v>
                </c:pt>
                <c:pt idx="108">
                  <c:v>9.61</c:v>
                </c:pt>
                <c:pt idx="109">
                  <c:v>9.7100000000000009</c:v>
                </c:pt>
                <c:pt idx="110">
                  <c:v>9.4600000000000009</c:v>
                </c:pt>
                <c:pt idx="111">
                  <c:v>9.3800000000000008</c:v>
                </c:pt>
                <c:pt idx="112">
                  <c:v>9.41</c:v>
                </c:pt>
                <c:pt idx="113">
                  <c:v>9.7899999999999991</c:v>
                </c:pt>
                <c:pt idx="114">
                  <c:v>10.17</c:v>
                </c:pt>
                <c:pt idx="115">
                  <c:v>10.46</c:v>
                </c:pt>
                <c:pt idx="116">
                  <c:v>11.21</c:v>
                </c:pt>
                <c:pt idx="117">
                  <c:v>11</c:v>
                </c:pt>
                <c:pt idx="118">
                  <c:v>11.5</c:v>
                </c:pt>
                <c:pt idx="119">
                  <c:v>11.75</c:v>
                </c:pt>
                <c:pt idx="120">
                  <c:v>11.63</c:v>
                </c:pt>
                <c:pt idx="121">
                  <c:v>11.66</c:v>
                </c:pt>
                <c:pt idx="122">
                  <c:v>12.02</c:v>
                </c:pt>
                <c:pt idx="123">
                  <c:v>12.18</c:v>
                </c:pt>
                <c:pt idx="124">
                  <c:v>11.59</c:v>
                </c:pt>
                <c:pt idx="125">
                  <c:v>12.07</c:v>
                </c:pt>
                <c:pt idx="126">
                  <c:v>12.67</c:v>
                </c:pt>
                <c:pt idx="127">
                  <c:v>12.77</c:v>
                </c:pt>
                <c:pt idx="128">
                  <c:v>12.93</c:v>
                </c:pt>
                <c:pt idx="129">
                  <c:v>13.48</c:v>
                </c:pt>
                <c:pt idx="130">
                  <c:v>13.59</c:v>
                </c:pt>
                <c:pt idx="131">
                  <c:v>13.77</c:v>
                </c:pt>
                <c:pt idx="132">
                  <c:v>14.33</c:v>
                </c:pt>
                <c:pt idx="133">
                  <c:v>14.98</c:v>
                </c:pt>
                <c:pt idx="134">
                  <c:v>14.46</c:v>
                </c:pt>
                <c:pt idx="135">
                  <c:v>14.45</c:v>
                </c:pt>
                <c:pt idx="136">
                  <c:v>14.62</c:v>
                </c:pt>
                <c:pt idx="137">
                  <c:v>13.71</c:v>
                </c:pt>
                <c:pt idx="138">
                  <c:v>14.12</c:v>
                </c:pt>
                <c:pt idx="139">
                  <c:v>13.96</c:v>
                </c:pt>
                <c:pt idx="140">
                  <c:v>14.7</c:v>
                </c:pt>
                <c:pt idx="141">
                  <c:v>14.96</c:v>
                </c:pt>
                <c:pt idx="142">
                  <c:v>14.93</c:v>
                </c:pt>
                <c:pt idx="143">
                  <c:v>15.54</c:v>
                </c:pt>
                <c:pt idx="144">
                  <c:v>15.61</c:v>
                </c:pt>
                <c:pt idx="145">
                  <c:v>15.91</c:v>
                </c:pt>
                <c:pt idx="146">
                  <c:v>16.46</c:v>
                </c:pt>
                <c:pt idx="147">
                  <c:v>16.28</c:v>
                </c:pt>
                <c:pt idx="148">
                  <c:v>15.62</c:v>
                </c:pt>
                <c:pt idx="149">
                  <c:v>16.09</c:v>
                </c:pt>
                <c:pt idx="150">
                  <c:v>15.87</c:v>
                </c:pt>
                <c:pt idx="151">
                  <c:v>15.96</c:v>
                </c:pt>
                <c:pt idx="152">
                  <c:v>16.64</c:v>
                </c:pt>
                <c:pt idx="153">
                  <c:v>16.73</c:v>
                </c:pt>
                <c:pt idx="154">
                  <c:v>16.86</c:v>
                </c:pt>
                <c:pt idx="155">
                  <c:v>17.25</c:v>
                </c:pt>
                <c:pt idx="156">
                  <c:v>17.38</c:v>
                </c:pt>
                <c:pt idx="157">
                  <c:v>17.68</c:v>
                </c:pt>
                <c:pt idx="158">
                  <c:v>17.89</c:v>
                </c:pt>
                <c:pt idx="159">
                  <c:v>17.86</c:v>
                </c:pt>
                <c:pt idx="160">
                  <c:v>18.190000000000001</c:v>
                </c:pt>
                <c:pt idx="161">
                  <c:v>17.88</c:v>
                </c:pt>
                <c:pt idx="162">
                  <c:v>18.37</c:v>
                </c:pt>
                <c:pt idx="163">
                  <c:v>18.41</c:v>
                </c:pt>
                <c:pt idx="164">
                  <c:v>18.27</c:v>
                </c:pt>
                <c:pt idx="165">
                  <c:v>18.77</c:v>
                </c:pt>
                <c:pt idx="166">
                  <c:v>19.07</c:v>
                </c:pt>
                <c:pt idx="167">
                  <c:v>19.09</c:v>
                </c:pt>
                <c:pt idx="168">
                  <c:v>19.14</c:v>
                </c:pt>
                <c:pt idx="169">
                  <c:v>19.41</c:v>
                </c:pt>
                <c:pt idx="170">
                  <c:v>19.54</c:v>
                </c:pt>
                <c:pt idx="171">
                  <c:v>19.96</c:v>
                </c:pt>
                <c:pt idx="172">
                  <c:v>20.13</c:v>
                </c:pt>
                <c:pt idx="173">
                  <c:v>20</c:v>
                </c:pt>
                <c:pt idx="174">
                  <c:v>20.27</c:v>
                </c:pt>
                <c:pt idx="175">
                  <c:v>20.43</c:v>
                </c:pt>
                <c:pt idx="176">
                  <c:v>20.87</c:v>
                </c:pt>
                <c:pt idx="177">
                  <c:v>20.77</c:v>
                </c:pt>
                <c:pt idx="178">
                  <c:v>21</c:v>
                </c:pt>
                <c:pt idx="179">
                  <c:v>20.73</c:v>
                </c:pt>
                <c:pt idx="180">
                  <c:v>20.9</c:v>
                </c:pt>
                <c:pt idx="181">
                  <c:v>21.05</c:v>
                </c:pt>
                <c:pt idx="182">
                  <c:v>21.41</c:v>
                </c:pt>
                <c:pt idx="183">
                  <c:v>21.88</c:v>
                </c:pt>
                <c:pt idx="184">
                  <c:v>22.45</c:v>
                </c:pt>
                <c:pt idx="185">
                  <c:v>22.55</c:v>
                </c:pt>
                <c:pt idx="186">
                  <c:v>22.42</c:v>
                </c:pt>
                <c:pt idx="187">
                  <c:v>22.73</c:v>
                </c:pt>
                <c:pt idx="188">
                  <c:v>23.04</c:v>
                </c:pt>
                <c:pt idx="189">
                  <c:v>22.98</c:v>
                </c:pt>
                <c:pt idx="190">
                  <c:v>23.62</c:v>
                </c:pt>
                <c:pt idx="191">
                  <c:v>23.75</c:v>
                </c:pt>
                <c:pt idx="192">
                  <c:v>23.76</c:v>
                </c:pt>
                <c:pt idx="193">
                  <c:v>24.12</c:v>
                </c:pt>
                <c:pt idx="194">
                  <c:v>24.5</c:v>
                </c:pt>
                <c:pt idx="195">
                  <c:v>24.59</c:v>
                </c:pt>
                <c:pt idx="196">
                  <c:v>24.69</c:v>
                </c:pt>
                <c:pt idx="197">
                  <c:v>24.84</c:v>
                </c:pt>
                <c:pt idx="198">
                  <c:v>24.62</c:v>
                </c:pt>
                <c:pt idx="199">
                  <c:v>25.02</c:v>
                </c:pt>
                <c:pt idx="200">
                  <c:v>25.27</c:v>
                </c:pt>
                <c:pt idx="201">
                  <c:v>25.91</c:v>
                </c:pt>
                <c:pt idx="202">
                  <c:v>26.11</c:v>
                </c:pt>
                <c:pt idx="203">
                  <c:v>25.95</c:v>
                </c:pt>
                <c:pt idx="204">
                  <c:v>26.14</c:v>
                </c:pt>
                <c:pt idx="205">
                  <c:v>26.52</c:v>
                </c:pt>
                <c:pt idx="206">
                  <c:v>26.57</c:v>
                </c:pt>
                <c:pt idx="207">
                  <c:v>26.87</c:v>
                </c:pt>
                <c:pt idx="208">
                  <c:v>26.29</c:v>
                </c:pt>
                <c:pt idx="209">
                  <c:v>25.95</c:v>
                </c:pt>
                <c:pt idx="210">
                  <c:v>25.22</c:v>
                </c:pt>
                <c:pt idx="211">
                  <c:v>25.07</c:v>
                </c:pt>
                <c:pt idx="212">
                  <c:v>25.52</c:v>
                </c:pt>
                <c:pt idx="213">
                  <c:v>24.07</c:v>
                </c:pt>
                <c:pt idx="214">
                  <c:v>24.91</c:v>
                </c:pt>
                <c:pt idx="215">
                  <c:v>24.73</c:v>
                </c:pt>
                <c:pt idx="216">
                  <c:v>24.88</c:v>
                </c:pt>
                <c:pt idx="217">
                  <c:v>25.23</c:v>
                </c:pt>
                <c:pt idx="218">
                  <c:v>25.32</c:v>
                </c:pt>
                <c:pt idx="219">
                  <c:v>26.21</c:v>
                </c:pt>
                <c:pt idx="220">
                  <c:v>27.48</c:v>
                </c:pt>
                <c:pt idx="221">
                  <c:v>41.14</c:v>
                </c:pt>
                <c:pt idx="222">
                  <c:v>41.19</c:v>
                </c:pt>
                <c:pt idx="223">
                  <c:v>41.07</c:v>
                </c:pt>
                <c:pt idx="224">
                  <c:v>39.979999999999997</c:v>
                </c:pt>
                <c:pt idx="225">
                  <c:v>39.770000000000003</c:v>
                </c:pt>
                <c:pt idx="226">
                  <c:v>39.409999999999997</c:v>
                </c:pt>
                <c:pt idx="227">
                  <c:v>40.4</c:v>
                </c:pt>
                <c:pt idx="228">
                  <c:v>40.159999999999997</c:v>
                </c:pt>
                <c:pt idx="229">
                  <c:v>40.200000000000003</c:v>
                </c:pt>
                <c:pt idx="230">
                  <c:v>40.700000000000003</c:v>
                </c:pt>
                <c:pt idx="231">
                  <c:v>39.270000000000003</c:v>
                </c:pt>
                <c:pt idx="232">
                  <c:v>40.17</c:v>
                </c:pt>
                <c:pt idx="233">
                  <c:v>38.659999999999997</c:v>
                </c:pt>
                <c:pt idx="234">
                  <c:v>37.200000000000003</c:v>
                </c:pt>
                <c:pt idx="235">
                  <c:v>37.479999999999997</c:v>
                </c:pt>
                <c:pt idx="236">
                  <c:v>39.39</c:v>
                </c:pt>
                <c:pt idx="237">
                  <c:v>40.01</c:v>
                </c:pt>
                <c:pt idx="238">
                  <c:v>40.270000000000003</c:v>
                </c:pt>
                <c:pt idx="239">
                  <c:v>41.45</c:v>
                </c:pt>
                <c:pt idx="240">
                  <c:v>40.799999999999997</c:v>
                </c:pt>
                <c:pt idx="241">
                  <c:v>40.479999999999997</c:v>
                </c:pt>
                <c:pt idx="242">
                  <c:v>39.86</c:v>
                </c:pt>
                <c:pt idx="243">
                  <c:v>40.409999999999997</c:v>
                </c:pt>
                <c:pt idx="244">
                  <c:v>41.48</c:v>
                </c:pt>
                <c:pt idx="245">
                  <c:v>41.19</c:v>
                </c:pt>
                <c:pt idx="246">
                  <c:v>41.01</c:v>
                </c:pt>
                <c:pt idx="247">
                  <c:v>41.23</c:v>
                </c:pt>
                <c:pt idx="248">
                  <c:v>40.950000000000003</c:v>
                </c:pt>
                <c:pt idx="249">
                  <c:v>41.47</c:v>
                </c:pt>
                <c:pt idx="250">
                  <c:v>39.950000000000003</c:v>
                </c:pt>
                <c:pt idx="251">
                  <c:v>40.67</c:v>
                </c:pt>
                <c:pt idx="252">
                  <c:v>39.799999999999997</c:v>
                </c:pt>
                <c:pt idx="253">
                  <c:v>39.31</c:v>
                </c:pt>
                <c:pt idx="254">
                  <c:v>38.75</c:v>
                </c:pt>
                <c:pt idx="255">
                  <c:v>38.99</c:v>
                </c:pt>
                <c:pt idx="256">
                  <c:v>37.880000000000003</c:v>
                </c:pt>
                <c:pt idx="257">
                  <c:v>36.340000000000003</c:v>
                </c:pt>
                <c:pt idx="258">
                  <c:v>35.92</c:v>
                </c:pt>
                <c:pt idx="259">
                  <c:v>34.19</c:v>
                </c:pt>
                <c:pt idx="260">
                  <c:v>37.270000000000003</c:v>
                </c:pt>
                <c:pt idx="261">
                  <c:v>38.619999999999997</c:v>
                </c:pt>
                <c:pt idx="262">
                  <c:v>39.229999999999997</c:v>
                </c:pt>
                <c:pt idx="263">
                  <c:v>38.659999999999997</c:v>
                </c:pt>
                <c:pt idx="264">
                  <c:v>37.700000000000003</c:v>
                </c:pt>
                <c:pt idx="265">
                  <c:v>38.049999999999997</c:v>
                </c:pt>
                <c:pt idx="266">
                  <c:v>39.93</c:v>
                </c:pt>
                <c:pt idx="267">
                  <c:v>41.88</c:v>
                </c:pt>
                <c:pt idx="268">
                  <c:v>41.78</c:v>
                </c:pt>
                <c:pt idx="269">
                  <c:v>41</c:v>
                </c:pt>
                <c:pt idx="270">
                  <c:v>40.380000000000003</c:v>
                </c:pt>
                <c:pt idx="271">
                  <c:v>40.729999999999997</c:v>
                </c:pt>
                <c:pt idx="272">
                  <c:v>41.62</c:v>
                </c:pt>
                <c:pt idx="273">
                  <c:v>41.52</c:v>
                </c:pt>
                <c:pt idx="274">
                  <c:v>41.8</c:v>
                </c:pt>
                <c:pt idx="275">
                  <c:v>41.69</c:v>
                </c:pt>
                <c:pt idx="276">
                  <c:v>42.48</c:v>
                </c:pt>
                <c:pt idx="277">
                  <c:v>42.52</c:v>
                </c:pt>
                <c:pt idx="278">
                  <c:v>43.22</c:v>
                </c:pt>
                <c:pt idx="279">
                  <c:v>44.88</c:v>
                </c:pt>
                <c:pt idx="280">
                  <c:v>45.86</c:v>
                </c:pt>
                <c:pt idx="281">
                  <c:v>45.05</c:v>
                </c:pt>
                <c:pt idx="282">
                  <c:v>45.74</c:v>
                </c:pt>
                <c:pt idx="283">
                  <c:v>45.24</c:v>
                </c:pt>
                <c:pt idx="284">
                  <c:v>45.29</c:v>
                </c:pt>
                <c:pt idx="285">
                  <c:v>44.25</c:v>
                </c:pt>
                <c:pt idx="286">
                  <c:v>45</c:v>
                </c:pt>
                <c:pt idx="287">
                  <c:v>45.79</c:v>
                </c:pt>
                <c:pt idx="288">
                  <c:v>46.19</c:v>
                </c:pt>
                <c:pt idx="289">
                  <c:v>46.17</c:v>
                </c:pt>
                <c:pt idx="290">
                  <c:v>45.75</c:v>
                </c:pt>
                <c:pt idx="291">
                  <c:v>45.66</c:v>
                </c:pt>
                <c:pt idx="292">
                  <c:v>45.84</c:v>
                </c:pt>
                <c:pt idx="293">
                  <c:v>47.23</c:v>
                </c:pt>
                <c:pt idx="294">
                  <c:v>46.7</c:v>
                </c:pt>
                <c:pt idx="295">
                  <c:v>46.82</c:v>
                </c:pt>
                <c:pt idx="296">
                  <c:v>47.12</c:v>
                </c:pt>
                <c:pt idx="297">
                  <c:v>47.71</c:v>
                </c:pt>
                <c:pt idx="298">
                  <c:v>48.02</c:v>
                </c:pt>
                <c:pt idx="299">
                  <c:v>48.55</c:v>
                </c:pt>
                <c:pt idx="300">
                  <c:v>49.26</c:v>
                </c:pt>
                <c:pt idx="301">
                  <c:v>48.6</c:v>
                </c:pt>
                <c:pt idx="302">
                  <c:v>47.83</c:v>
                </c:pt>
                <c:pt idx="303">
                  <c:v>46.89</c:v>
                </c:pt>
                <c:pt idx="304">
                  <c:v>48.09</c:v>
                </c:pt>
                <c:pt idx="305">
                  <c:v>48.28</c:v>
                </c:pt>
                <c:pt idx="306">
                  <c:v>47.93</c:v>
                </c:pt>
                <c:pt idx="307">
                  <c:v>47.87</c:v>
                </c:pt>
                <c:pt idx="308">
                  <c:v>47.94</c:v>
                </c:pt>
                <c:pt idx="309">
                  <c:v>48.22</c:v>
                </c:pt>
                <c:pt idx="310">
                  <c:v>48.27</c:v>
                </c:pt>
                <c:pt idx="311">
                  <c:v>48.3</c:v>
                </c:pt>
                <c:pt idx="312">
                  <c:v>47.28</c:v>
                </c:pt>
                <c:pt idx="313">
                  <c:v>49.66</c:v>
                </c:pt>
                <c:pt idx="314">
                  <c:v>50.38</c:v>
                </c:pt>
                <c:pt idx="315">
                  <c:v>50.84</c:v>
                </c:pt>
                <c:pt idx="316">
                  <c:v>52.6</c:v>
                </c:pt>
                <c:pt idx="317">
                  <c:v>52.22</c:v>
                </c:pt>
                <c:pt idx="318">
                  <c:v>52.03</c:v>
                </c:pt>
                <c:pt idx="319">
                  <c:v>53.3</c:v>
                </c:pt>
                <c:pt idx="320">
                  <c:v>52.69</c:v>
                </c:pt>
                <c:pt idx="321">
                  <c:v>53.73</c:v>
                </c:pt>
                <c:pt idx="322">
                  <c:v>52.01</c:v>
                </c:pt>
                <c:pt idx="323">
                  <c:v>52.12</c:v>
                </c:pt>
                <c:pt idx="324">
                  <c:v>52.3</c:v>
                </c:pt>
                <c:pt idx="325">
                  <c:v>53.12</c:v>
                </c:pt>
                <c:pt idx="326">
                  <c:v>52.89</c:v>
                </c:pt>
                <c:pt idx="327">
                  <c:v>52.95</c:v>
                </c:pt>
                <c:pt idx="328">
                  <c:v>51.92</c:v>
                </c:pt>
                <c:pt idx="329">
                  <c:v>52.23</c:v>
                </c:pt>
                <c:pt idx="330">
                  <c:v>52.8</c:v>
                </c:pt>
                <c:pt idx="331">
                  <c:v>52.72</c:v>
                </c:pt>
                <c:pt idx="332">
                  <c:v>52.36</c:v>
                </c:pt>
                <c:pt idx="333">
                  <c:v>52.17</c:v>
                </c:pt>
                <c:pt idx="334">
                  <c:v>52.1</c:v>
                </c:pt>
                <c:pt idx="335">
                  <c:v>51.92</c:v>
                </c:pt>
                <c:pt idx="336">
                  <c:v>53.55</c:v>
                </c:pt>
                <c:pt idx="337">
                  <c:v>54.91</c:v>
                </c:pt>
                <c:pt idx="338">
                  <c:v>55.86</c:v>
                </c:pt>
                <c:pt idx="339">
                  <c:v>56.49</c:v>
                </c:pt>
                <c:pt idx="340">
                  <c:v>57.04</c:v>
                </c:pt>
                <c:pt idx="341">
                  <c:v>57.36</c:v>
                </c:pt>
                <c:pt idx="342">
                  <c:v>58.02</c:v>
                </c:pt>
                <c:pt idx="343">
                  <c:v>58.37</c:v>
                </c:pt>
                <c:pt idx="344">
                  <c:v>58.3</c:v>
                </c:pt>
                <c:pt idx="345">
                  <c:v>57.94</c:v>
                </c:pt>
                <c:pt idx="346">
                  <c:v>59.68</c:v>
                </c:pt>
                <c:pt idx="347">
                  <c:v>60.34</c:v>
                </c:pt>
                <c:pt idx="348">
                  <c:v>60.08</c:v>
                </c:pt>
                <c:pt idx="349">
                  <c:v>59.97</c:v>
                </c:pt>
                <c:pt idx="350">
                  <c:v>61.77</c:v>
                </c:pt>
                <c:pt idx="351">
                  <c:v>59.7</c:v>
                </c:pt>
                <c:pt idx="352">
                  <c:v>59.02</c:v>
                </c:pt>
                <c:pt idx="353">
                  <c:v>59.59</c:v>
                </c:pt>
                <c:pt idx="354">
                  <c:v>61.56</c:v>
                </c:pt>
                <c:pt idx="355">
                  <c:v>61.2</c:v>
                </c:pt>
                <c:pt idx="356">
                  <c:v>63.52</c:v>
                </c:pt>
                <c:pt idx="357">
                  <c:v>63.39</c:v>
                </c:pt>
                <c:pt idx="358">
                  <c:v>61.56</c:v>
                </c:pt>
                <c:pt idx="359">
                  <c:v>62.45</c:v>
                </c:pt>
                <c:pt idx="360">
                  <c:v>60.23</c:v>
                </c:pt>
                <c:pt idx="361">
                  <c:v>59.39</c:v>
                </c:pt>
                <c:pt idx="362">
                  <c:v>60.7</c:v>
                </c:pt>
                <c:pt idx="363">
                  <c:v>64.19</c:v>
                </c:pt>
                <c:pt idx="364">
                  <c:v>66.23</c:v>
                </c:pt>
                <c:pt idx="365">
                  <c:v>67.12</c:v>
                </c:pt>
                <c:pt idx="366">
                  <c:v>64.86</c:v>
                </c:pt>
                <c:pt idx="367">
                  <c:v>63.92</c:v>
                </c:pt>
                <c:pt idx="368">
                  <c:v>64.64</c:v>
                </c:pt>
                <c:pt idx="369">
                  <c:v>65.89</c:v>
                </c:pt>
                <c:pt idx="370">
                  <c:v>65.540000000000006</c:v>
                </c:pt>
                <c:pt idx="371">
                  <c:v>65.94</c:v>
                </c:pt>
                <c:pt idx="372">
                  <c:v>65.3</c:v>
                </c:pt>
                <c:pt idx="373">
                  <c:v>64.88</c:v>
                </c:pt>
                <c:pt idx="374">
                  <c:v>64.58</c:v>
                </c:pt>
                <c:pt idx="375">
                  <c:v>59.76</c:v>
                </c:pt>
                <c:pt idx="376">
                  <c:v>61.46</c:v>
                </c:pt>
                <c:pt idx="377">
                  <c:v>60.88</c:v>
                </c:pt>
                <c:pt idx="378">
                  <c:v>61.27</c:v>
                </c:pt>
                <c:pt idx="379">
                  <c:v>57.53</c:v>
                </c:pt>
                <c:pt idx="380">
                  <c:v>60.59</c:v>
                </c:pt>
                <c:pt idx="381">
                  <c:v>58.74</c:v>
                </c:pt>
                <c:pt idx="382">
                  <c:v>60.71</c:v>
                </c:pt>
                <c:pt idx="383">
                  <c:v>60.72</c:v>
                </c:pt>
                <c:pt idx="384">
                  <c:v>62.09</c:v>
                </c:pt>
                <c:pt idx="385">
                  <c:v>60.38</c:v>
                </c:pt>
                <c:pt idx="386">
                  <c:v>59.55</c:v>
                </c:pt>
                <c:pt idx="387">
                  <c:v>61.25</c:v>
                </c:pt>
                <c:pt idx="388">
                  <c:v>61.26</c:v>
                </c:pt>
                <c:pt idx="389">
                  <c:v>58.89</c:v>
                </c:pt>
                <c:pt idx="390">
                  <c:v>59.17</c:v>
                </c:pt>
                <c:pt idx="391">
                  <c:v>59.62</c:v>
                </c:pt>
                <c:pt idx="392">
                  <c:v>59.73</c:v>
                </c:pt>
                <c:pt idx="393">
                  <c:v>59.32</c:v>
                </c:pt>
                <c:pt idx="394">
                  <c:v>59.55</c:v>
                </c:pt>
                <c:pt idx="395">
                  <c:v>59.76</c:v>
                </c:pt>
                <c:pt idx="396">
                  <c:v>60.52</c:v>
                </c:pt>
                <c:pt idx="397">
                  <c:v>62.88</c:v>
                </c:pt>
                <c:pt idx="398">
                  <c:v>63.34</c:v>
                </c:pt>
                <c:pt idx="399">
                  <c:v>63.07</c:v>
                </c:pt>
                <c:pt idx="400">
                  <c:v>62.8</c:v>
                </c:pt>
                <c:pt idx="401">
                  <c:v>63.55</c:v>
                </c:pt>
                <c:pt idx="402">
                  <c:v>62.28</c:v>
                </c:pt>
                <c:pt idx="403">
                  <c:v>61.08</c:v>
                </c:pt>
                <c:pt idx="404">
                  <c:v>61.8</c:v>
                </c:pt>
                <c:pt idx="405">
                  <c:v>61.98</c:v>
                </c:pt>
                <c:pt idx="406">
                  <c:v>61.88</c:v>
                </c:pt>
                <c:pt idx="407">
                  <c:v>62.02</c:v>
                </c:pt>
                <c:pt idx="408">
                  <c:v>62.95</c:v>
                </c:pt>
                <c:pt idx="409">
                  <c:v>63.77</c:v>
                </c:pt>
                <c:pt idx="410">
                  <c:v>64.75</c:v>
                </c:pt>
                <c:pt idx="411">
                  <c:v>63.44</c:v>
                </c:pt>
                <c:pt idx="412">
                  <c:v>63.7</c:v>
                </c:pt>
                <c:pt idx="413">
                  <c:v>64.61</c:v>
                </c:pt>
                <c:pt idx="414">
                  <c:v>66.2</c:v>
                </c:pt>
                <c:pt idx="415">
                  <c:v>65.09</c:v>
                </c:pt>
                <c:pt idx="416">
                  <c:v>64.88</c:v>
                </c:pt>
                <c:pt idx="417">
                  <c:v>64.81</c:v>
                </c:pt>
                <c:pt idx="418">
                  <c:v>65.44</c:v>
                </c:pt>
                <c:pt idx="419">
                  <c:v>64.95</c:v>
                </c:pt>
                <c:pt idx="420">
                  <c:v>65.5</c:v>
                </c:pt>
                <c:pt idx="421">
                  <c:v>65.69</c:v>
                </c:pt>
                <c:pt idx="422">
                  <c:v>63.82</c:v>
                </c:pt>
                <c:pt idx="423">
                  <c:v>65.489999999999995</c:v>
                </c:pt>
                <c:pt idx="424">
                  <c:v>65.53</c:v>
                </c:pt>
                <c:pt idx="425">
                  <c:v>66.34</c:v>
                </c:pt>
                <c:pt idx="426">
                  <c:v>65.17</c:v>
                </c:pt>
                <c:pt idx="427">
                  <c:v>63.34</c:v>
                </c:pt>
                <c:pt idx="428">
                  <c:v>62.09</c:v>
                </c:pt>
                <c:pt idx="429">
                  <c:v>63.84</c:v>
                </c:pt>
                <c:pt idx="430">
                  <c:v>63.62</c:v>
                </c:pt>
                <c:pt idx="431">
                  <c:v>66</c:v>
                </c:pt>
                <c:pt idx="432">
                  <c:v>65.89</c:v>
                </c:pt>
                <c:pt idx="433">
                  <c:v>66.11</c:v>
                </c:pt>
                <c:pt idx="434">
                  <c:v>67.3</c:v>
                </c:pt>
                <c:pt idx="435">
                  <c:v>66.64</c:v>
                </c:pt>
                <c:pt idx="436">
                  <c:v>66.56</c:v>
                </c:pt>
                <c:pt idx="437">
                  <c:v>66.94</c:v>
                </c:pt>
                <c:pt idx="438">
                  <c:v>67.91</c:v>
                </c:pt>
                <c:pt idx="439">
                  <c:v>68.72</c:v>
                </c:pt>
                <c:pt idx="440">
                  <c:v>68.75</c:v>
                </c:pt>
                <c:pt idx="441">
                  <c:v>69.39</c:v>
                </c:pt>
                <c:pt idx="442">
                  <c:v>69.7</c:v>
                </c:pt>
                <c:pt idx="443">
                  <c:v>69.09</c:v>
                </c:pt>
                <c:pt idx="444">
                  <c:v>70</c:v>
                </c:pt>
                <c:pt idx="445">
                  <c:v>69.7</c:v>
                </c:pt>
                <c:pt idx="446">
                  <c:v>70.17</c:v>
                </c:pt>
                <c:pt idx="447">
                  <c:v>70.790000000000006</c:v>
                </c:pt>
                <c:pt idx="448">
                  <c:v>70.95</c:v>
                </c:pt>
                <c:pt idx="449">
                  <c:v>71.03</c:v>
                </c:pt>
                <c:pt idx="450">
                  <c:v>72.39</c:v>
                </c:pt>
                <c:pt idx="451">
                  <c:v>71.47</c:v>
                </c:pt>
                <c:pt idx="452">
                  <c:v>70.91</c:v>
                </c:pt>
                <c:pt idx="453">
                  <c:v>71.39</c:v>
                </c:pt>
                <c:pt idx="454">
                  <c:v>71.84</c:v>
                </c:pt>
                <c:pt idx="455">
                  <c:v>73.41</c:v>
                </c:pt>
                <c:pt idx="456">
                  <c:v>73.19</c:v>
                </c:pt>
                <c:pt idx="457">
                  <c:v>73.52</c:v>
                </c:pt>
                <c:pt idx="458">
                  <c:v>73.59</c:v>
                </c:pt>
                <c:pt idx="459">
                  <c:v>74.34</c:v>
                </c:pt>
                <c:pt idx="460">
                  <c:v>74.44</c:v>
                </c:pt>
                <c:pt idx="461">
                  <c:v>73.17</c:v>
                </c:pt>
                <c:pt idx="462">
                  <c:v>73.72</c:v>
                </c:pt>
                <c:pt idx="463">
                  <c:v>73.77</c:v>
                </c:pt>
                <c:pt idx="464">
                  <c:v>75.28</c:v>
                </c:pt>
                <c:pt idx="465">
                  <c:v>75.290000000000006</c:v>
                </c:pt>
                <c:pt idx="466">
                  <c:v>75.36</c:v>
                </c:pt>
                <c:pt idx="467">
                  <c:v>76.44</c:v>
                </c:pt>
                <c:pt idx="468">
                  <c:v>73.77</c:v>
                </c:pt>
                <c:pt idx="469">
                  <c:v>72.28</c:v>
                </c:pt>
                <c:pt idx="470">
                  <c:v>73.39</c:v>
                </c:pt>
                <c:pt idx="471">
                  <c:v>74.78</c:v>
                </c:pt>
                <c:pt idx="472">
                  <c:v>74.83</c:v>
                </c:pt>
                <c:pt idx="473">
                  <c:v>74.33</c:v>
                </c:pt>
                <c:pt idx="474">
                  <c:v>75.12</c:v>
                </c:pt>
                <c:pt idx="475">
                  <c:v>72.86</c:v>
                </c:pt>
                <c:pt idx="476">
                  <c:v>71.44</c:v>
                </c:pt>
                <c:pt idx="477">
                  <c:v>71.52</c:v>
                </c:pt>
                <c:pt idx="478">
                  <c:v>71.42</c:v>
                </c:pt>
                <c:pt idx="479">
                  <c:v>67.19</c:v>
                </c:pt>
                <c:pt idx="480">
                  <c:v>67.03</c:v>
                </c:pt>
                <c:pt idx="481">
                  <c:v>70.53</c:v>
                </c:pt>
                <c:pt idx="482">
                  <c:v>72</c:v>
                </c:pt>
                <c:pt idx="483">
                  <c:v>72.45</c:v>
                </c:pt>
                <c:pt idx="484">
                  <c:v>72.33</c:v>
                </c:pt>
                <c:pt idx="485">
                  <c:v>72.22</c:v>
                </c:pt>
                <c:pt idx="486">
                  <c:v>72.64</c:v>
                </c:pt>
                <c:pt idx="487">
                  <c:v>73.52</c:v>
                </c:pt>
                <c:pt idx="488">
                  <c:v>73.94</c:v>
                </c:pt>
                <c:pt idx="489">
                  <c:v>73.92</c:v>
                </c:pt>
                <c:pt idx="490">
                  <c:v>71.56</c:v>
                </c:pt>
                <c:pt idx="491">
                  <c:v>70.56</c:v>
                </c:pt>
                <c:pt idx="492">
                  <c:v>68.25</c:v>
                </c:pt>
                <c:pt idx="493">
                  <c:v>69.17</c:v>
                </c:pt>
                <c:pt idx="494">
                  <c:v>68.02</c:v>
                </c:pt>
                <c:pt idx="495">
                  <c:v>67.3</c:v>
                </c:pt>
                <c:pt idx="496">
                  <c:v>67.05</c:v>
                </c:pt>
                <c:pt idx="497">
                  <c:v>68.58</c:v>
                </c:pt>
                <c:pt idx="498">
                  <c:v>69.39</c:v>
                </c:pt>
                <c:pt idx="499">
                  <c:v>68.91</c:v>
                </c:pt>
                <c:pt idx="500">
                  <c:v>68.099999999999994</c:v>
                </c:pt>
                <c:pt idx="501">
                  <c:v>68.12</c:v>
                </c:pt>
                <c:pt idx="502">
                  <c:v>67.64</c:v>
                </c:pt>
                <c:pt idx="503">
                  <c:v>66.59</c:v>
                </c:pt>
                <c:pt idx="504">
                  <c:v>64.7</c:v>
                </c:pt>
                <c:pt idx="505">
                  <c:v>63.86</c:v>
                </c:pt>
                <c:pt idx="506">
                  <c:v>62.06</c:v>
                </c:pt>
                <c:pt idx="507">
                  <c:v>62.51</c:v>
                </c:pt>
                <c:pt idx="508">
                  <c:v>65.73</c:v>
                </c:pt>
                <c:pt idx="509">
                  <c:v>67.61</c:v>
                </c:pt>
                <c:pt idx="510">
                  <c:v>68.17</c:v>
                </c:pt>
                <c:pt idx="511">
                  <c:v>68</c:v>
                </c:pt>
                <c:pt idx="512">
                  <c:v>68.89</c:v>
                </c:pt>
                <c:pt idx="513">
                  <c:v>69.5</c:v>
                </c:pt>
                <c:pt idx="514">
                  <c:v>69.28</c:v>
                </c:pt>
                <c:pt idx="515">
                  <c:v>68.64</c:v>
                </c:pt>
                <c:pt idx="516">
                  <c:v>68.34</c:v>
                </c:pt>
                <c:pt idx="517">
                  <c:v>69.86</c:v>
                </c:pt>
                <c:pt idx="518">
                  <c:v>69.25</c:v>
                </c:pt>
                <c:pt idx="519">
                  <c:v>68.86</c:v>
                </c:pt>
                <c:pt idx="520">
                  <c:v>68.89</c:v>
                </c:pt>
                <c:pt idx="521">
                  <c:v>68.53</c:v>
                </c:pt>
                <c:pt idx="522">
                  <c:v>69.33</c:v>
                </c:pt>
                <c:pt idx="523">
                  <c:v>68.03</c:v>
                </c:pt>
                <c:pt idx="524">
                  <c:v>69.75</c:v>
                </c:pt>
                <c:pt idx="525">
                  <c:v>70.17</c:v>
                </c:pt>
                <c:pt idx="526">
                  <c:v>70.69</c:v>
                </c:pt>
                <c:pt idx="527">
                  <c:v>70.84</c:v>
                </c:pt>
                <c:pt idx="528">
                  <c:v>72.59</c:v>
                </c:pt>
                <c:pt idx="529">
                  <c:v>72.61</c:v>
                </c:pt>
                <c:pt idx="530">
                  <c:v>72.09</c:v>
                </c:pt>
                <c:pt idx="531">
                  <c:v>71.75</c:v>
                </c:pt>
                <c:pt idx="532">
                  <c:v>70.89</c:v>
                </c:pt>
                <c:pt idx="533">
                  <c:v>70.97</c:v>
                </c:pt>
                <c:pt idx="534">
                  <c:v>72.19</c:v>
                </c:pt>
                <c:pt idx="535">
                  <c:v>73.5</c:v>
                </c:pt>
                <c:pt idx="536">
                  <c:v>74.2</c:v>
                </c:pt>
                <c:pt idx="537">
                  <c:v>75.03</c:v>
                </c:pt>
                <c:pt idx="538">
                  <c:v>75.58</c:v>
                </c:pt>
                <c:pt idx="539">
                  <c:v>74.64</c:v>
                </c:pt>
                <c:pt idx="540">
                  <c:v>74.86</c:v>
                </c:pt>
                <c:pt idx="541">
                  <c:v>75.44</c:v>
                </c:pt>
                <c:pt idx="542">
                  <c:v>75.88</c:v>
                </c:pt>
                <c:pt idx="543">
                  <c:v>75.97</c:v>
                </c:pt>
                <c:pt idx="544">
                  <c:v>77.69</c:v>
                </c:pt>
                <c:pt idx="545">
                  <c:v>79.12</c:v>
                </c:pt>
                <c:pt idx="546">
                  <c:v>77.31</c:v>
                </c:pt>
                <c:pt idx="547">
                  <c:v>78.94</c:v>
                </c:pt>
                <c:pt idx="548">
                  <c:v>79.680000000000007</c:v>
                </c:pt>
                <c:pt idx="549">
                  <c:v>79.78</c:v>
                </c:pt>
                <c:pt idx="550">
                  <c:v>80.48</c:v>
                </c:pt>
                <c:pt idx="551">
                  <c:v>80.38</c:v>
                </c:pt>
                <c:pt idx="552">
                  <c:v>80.83</c:v>
                </c:pt>
                <c:pt idx="553">
                  <c:v>81.78</c:v>
                </c:pt>
                <c:pt idx="554">
                  <c:v>82.57</c:v>
                </c:pt>
                <c:pt idx="555">
                  <c:v>83</c:v>
                </c:pt>
                <c:pt idx="556">
                  <c:v>82.25</c:v>
                </c:pt>
                <c:pt idx="557">
                  <c:v>83.12</c:v>
                </c:pt>
                <c:pt idx="558">
                  <c:v>84.25</c:v>
                </c:pt>
                <c:pt idx="559">
                  <c:v>82.88</c:v>
                </c:pt>
                <c:pt idx="560">
                  <c:v>84.56</c:v>
                </c:pt>
                <c:pt idx="561">
                  <c:v>84.58</c:v>
                </c:pt>
                <c:pt idx="562">
                  <c:v>84.31</c:v>
                </c:pt>
                <c:pt idx="563">
                  <c:v>84.7</c:v>
                </c:pt>
                <c:pt idx="564">
                  <c:v>82.67</c:v>
                </c:pt>
                <c:pt idx="565">
                  <c:v>83.16</c:v>
                </c:pt>
                <c:pt idx="566">
                  <c:v>83.67</c:v>
                </c:pt>
                <c:pt idx="567">
                  <c:v>83.34</c:v>
                </c:pt>
                <c:pt idx="568">
                  <c:v>84.23</c:v>
                </c:pt>
                <c:pt idx="569">
                  <c:v>83.28</c:v>
                </c:pt>
                <c:pt idx="570">
                  <c:v>80.66</c:v>
                </c:pt>
                <c:pt idx="571">
                  <c:v>80.05</c:v>
                </c:pt>
                <c:pt idx="572">
                  <c:v>81.44</c:v>
                </c:pt>
                <c:pt idx="573">
                  <c:v>81.77</c:v>
                </c:pt>
                <c:pt idx="574">
                  <c:v>82.26</c:v>
                </c:pt>
                <c:pt idx="575">
                  <c:v>84.83</c:v>
                </c:pt>
                <c:pt idx="576">
                  <c:v>81.72</c:v>
                </c:pt>
                <c:pt idx="577">
                  <c:v>81.5</c:v>
                </c:pt>
                <c:pt idx="578">
                  <c:v>80.8</c:v>
                </c:pt>
                <c:pt idx="579">
                  <c:v>81.02</c:v>
                </c:pt>
                <c:pt idx="580">
                  <c:v>80.8</c:v>
                </c:pt>
                <c:pt idx="581">
                  <c:v>80.61</c:v>
                </c:pt>
                <c:pt idx="582">
                  <c:v>78.53</c:v>
                </c:pt>
                <c:pt idx="583">
                  <c:v>79.31</c:v>
                </c:pt>
                <c:pt idx="584">
                  <c:v>76.63</c:v>
                </c:pt>
                <c:pt idx="585">
                  <c:v>76.42</c:v>
                </c:pt>
                <c:pt idx="586">
                  <c:v>77.260000000000005</c:v>
                </c:pt>
                <c:pt idx="587">
                  <c:v>79.08</c:v>
                </c:pt>
                <c:pt idx="588">
                  <c:v>79.17</c:v>
                </c:pt>
                <c:pt idx="589">
                  <c:v>78.17</c:v>
                </c:pt>
                <c:pt idx="590">
                  <c:v>68.89</c:v>
                </c:pt>
                <c:pt idx="591">
                  <c:v>72</c:v>
                </c:pt>
                <c:pt idx="592">
                  <c:v>71.42</c:v>
                </c:pt>
                <c:pt idx="593">
                  <c:v>67.47</c:v>
                </c:pt>
                <c:pt idx="594">
                  <c:v>66.77</c:v>
                </c:pt>
                <c:pt idx="595">
                  <c:v>67.84</c:v>
                </c:pt>
                <c:pt idx="596">
                  <c:v>66.739999999999995</c:v>
                </c:pt>
                <c:pt idx="597">
                  <c:v>67.95</c:v>
                </c:pt>
                <c:pt idx="598">
                  <c:v>70.16</c:v>
                </c:pt>
                <c:pt idx="599">
                  <c:v>72.22</c:v>
                </c:pt>
                <c:pt idx="600">
                  <c:v>72.94</c:v>
                </c:pt>
                <c:pt idx="601">
                  <c:v>70.84</c:v>
                </c:pt>
                <c:pt idx="602">
                  <c:v>72.27</c:v>
                </c:pt>
                <c:pt idx="603">
                  <c:v>72.72</c:v>
                </c:pt>
                <c:pt idx="604">
                  <c:v>71.47</c:v>
                </c:pt>
                <c:pt idx="605">
                  <c:v>70.510000000000005</c:v>
                </c:pt>
                <c:pt idx="606">
                  <c:v>71.83</c:v>
                </c:pt>
                <c:pt idx="607">
                  <c:v>72.08</c:v>
                </c:pt>
                <c:pt idx="608">
                  <c:v>70.53</c:v>
                </c:pt>
                <c:pt idx="609">
                  <c:v>69.61</c:v>
                </c:pt>
                <c:pt idx="610">
                  <c:v>69.56</c:v>
                </c:pt>
                <c:pt idx="611">
                  <c:v>71.61</c:v>
                </c:pt>
                <c:pt idx="612">
                  <c:v>73.42</c:v>
                </c:pt>
                <c:pt idx="613">
                  <c:v>74.06</c:v>
                </c:pt>
                <c:pt idx="614">
                  <c:v>73.61</c:v>
                </c:pt>
                <c:pt idx="615">
                  <c:v>76.14</c:v>
                </c:pt>
                <c:pt idx="616">
                  <c:v>76.42</c:v>
                </c:pt>
                <c:pt idx="617">
                  <c:v>76.84</c:v>
                </c:pt>
                <c:pt idx="618">
                  <c:v>76.61</c:v>
                </c:pt>
                <c:pt idx="619">
                  <c:v>75.63</c:v>
                </c:pt>
                <c:pt idx="620">
                  <c:v>76.03</c:v>
                </c:pt>
                <c:pt idx="621">
                  <c:v>76.17</c:v>
                </c:pt>
                <c:pt idx="622">
                  <c:v>77.25</c:v>
                </c:pt>
                <c:pt idx="623">
                  <c:v>77.39</c:v>
                </c:pt>
                <c:pt idx="624">
                  <c:v>79.69</c:v>
                </c:pt>
                <c:pt idx="625">
                  <c:v>79.069999999999993</c:v>
                </c:pt>
                <c:pt idx="626">
                  <c:v>78.7</c:v>
                </c:pt>
                <c:pt idx="627">
                  <c:v>78.7</c:v>
                </c:pt>
                <c:pt idx="628">
                  <c:v>81.42</c:v>
                </c:pt>
                <c:pt idx="629">
                  <c:v>82.86</c:v>
                </c:pt>
                <c:pt idx="630">
                  <c:v>82.03</c:v>
                </c:pt>
                <c:pt idx="631">
                  <c:v>84.35</c:v>
                </c:pt>
                <c:pt idx="632">
                  <c:v>84.5</c:v>
                </c:pt>
                <c:pt idx="633">
                  <c:v>84.33</c:v>
                </c:pt>
                <c:pt idx="634">
                  <c:v>86.75</c:v>
                </c:pt>
                <c:pt idx="635">
                  <c:v>85.58</c:v>
                </c:pt>
                <c:pt idx="636">
                  <c:v>84.67</c:v>
                </c:pt>
                <c:pt idx="637">
                  <c:v>85.43</c:v>
                </c:pt>
                <c:pt idx="638">
                  <c:v>86.39</c:v>
                </c:pt>
                <c:pt idx="639">
                  <c:v>84.7</c:v>
                </c:pt>
                <c:pt idx="640">
                  <c:v>85.86</c:v>
                </c:pt>
                <c:pt idx="641">
                  <c:v>87.89</c:v>
                </c:pt>
                <c:pt idx="642">
                  <c:v>87.86</c:v>
                </c:pt>
                <c:pt idx="643">
                  <c:v>87.79</c:v>
                </c:pt>
                <c:pt idx="644">
                  <c:v>88.19</c:v>
                </c:pt>
                <c:pt idx="645">
                  <c:v>88.8</c:v>
                </c:pt>
                <c:pt idx="646">
                  <c:v>88.73</c:v>
                </c:pt>
                <c:pt idx="647">
                  <c:v>88.02</c:v>
                </c:pt>
                <c:pt idx="648">
                  <c:v>90.52</c:v>
                </c:pt>
                <c:pt idx="649">
                  <c:v>92.33</c:v>
                </c:pt>
                <c:pt idx="650">
                  <c:v>92.14</c:v>
                </c:pt>
                <c:pt idx="651">
                  <c:v>91.69</c:v>
                </c:pt>
                <c:pt idx="652">
                  <c:v>90.08</c:v>
                </c:pt>
                <c:pt idx="653">
                  <c:v>90.28</c:v>
                </c:pt>
                <c:pt idx="654">
                  <c:v>90.17</c:v>
                </c:pt>
                <c:pt idx="655">
                  <c:v>94.17</c:v>
                </c:pt>
                <c:pt idx="656">
                  <c:v>94.55</c:v>
                </c:pt>
                <c:pt idx="657">
                  <c:v>94.97</c:v>
                </c:pt>
                <c:pt idx="658">
                  <c:v>92.55</c:v>
                </c:pt>
                <c:pt idx="659">
                  <c:v>91.42</c:v>
                </c:pt>
                <c:pt idx="660">
                  <c:v>91.8</c:v>
                </c:pt>
                <c:pt idx="661">
                  <c:v>92.52</c:v>
                </c:pt>
                <c:pt idx="662">
                  <c:v>93.33</c:v>
                </c:pt>
                <c:pt idx="663">
                  <c:v>94.31</c:v>
                </c:pt>
                <c:pt idx="664">
                  <c:v>93.28</c:v>
                </c:pt>
                <c:pt idx="665">
                  <c:v>94.36</c:v>
                </c:pt>
                <c:pt idx="666">
                  <c:v>96.28</c:v>
                </c:pt>
                <c:pt idx="667">
                  <c:v>93.41</c:v>
                </c:pt>
                <c:pt idx="668">
                  <c:v>98.13</c:v>
                </c:pt>
                <c:pt idx="669">
                  <c:v>97.25</c:v>
                </c:pt>
                <c:pt idx="670">
                  <c:v>107.77</c:v>
                </c:pt>
                <c:pt idx="671">
                  <c:v>112.22</c:v>
                </c:pt>
                <c:pt idx="672">
                  <c:v>110.52</c:v>
                </c:pt>
                <c:pt idx="673">
                  <c:v>116.37</c:v>
                </c:pt>
                <c:pt idx="674">
                  <c:v>128.26</c:v>
                </c:pt>
                <c:pt idx="675">
                  <c:v>122.09</c:v>
                </c:pt>
                <c:pt idx="676">
                  <c:v>126.47</c:v>
                </c:pt>
                <c:pt idx="677">
                  <c:v>111.59</c:v>
                </c:pt>
                <c:pt idx="678">
                  <c:v>108.32</c:v>
                </c:pt>
                <c:pt idx="679">
                  <c:v>110</c:v>
                </c:pt>
                <c:pt idx="680">
                  <c:v>107.76</c:v>
                </c:pt>
                <c:pt idx="681">
                  <c:v>101.84</c:v>
                </c:pt>
                <c:pt idx="682">
                  <c:v>96.28</c:v>
                </c:pt>
                <c:pt idx="683">
                  <c:v>96.69</c:v>
                </c:pt>
                <c:pt idx="684">
                  <c:v>103.92</c:v>
                </c:pt>
                <c:pt idx="685">
                  <c:v>105.47</c:v>
                </c:pt>
                <c:pt idx="686">
                  <c:v>106.65</c:v>
                </c:pt>
                <c:pt idx="687">
                  <c:v>114.2</c:v>
                </c:pt>
                <c:pt idx="688">
                  <c:v>110.59</c:v>
                </c:pt>
                <c:pt idx="689">
                  <c:v>116.44</c:v>
                </c:pt>
                <c:pt idx="690">
                  <c:v>113.83</c:v>
                </c:pt>
                <c:pt idx="691">
                  <c:v>114.39</c:v>
                </c:pt>
                <c:pt idx="692">
                  <c:v>112.31</c:v>
                </c:pt>
                <c:pt idx="693">
                  <c:v>105.47</c:v>
                </c:pt>
                <c:pt idx="694">
                  <c:v>107.69</c:v>
                </c:pt>
                <c:pt idx="695">
                  <c:v>108.88</c:v>
                </c:pt>
                <c:pt idx="696">
                  <c:v>102.19</c:v>
                </c:pt>
                <c:pt idx="697">
                  <c:v>100.57</c:v>
                </c:pt>
                <c:pt idx="698">
                  <c:v>99.39</c:v>
                </c:pt>
                <c:pt idx="699">
                  <c:v>105.3</c:v>
                </c:pt>
                <c:pt idx="700">
                  <c:v>101.94</c:v>
                </c:pt>
                <c:pt idx="701">
                  <c:v>97.59</c:v>
                </c:pt>
                <c:pt idx="702">
                  <c:v>97.69</c:v>
                </c:pt>
                <c:pt idx="703">
                  <c:v>98.6</c:v>
                </c:pt>
                <c:pt idx="704">
                  <c:v>97.33</c:v>
                </c:pt>
                <c:pt idx="705">
                  <c:v>95.83</c:v>
                </c:pt>
                <c:pt idx="706">
                  <c:v>101.91</c:v>
                </c:pt>
                <c:pt idx="707">
                  <c:v>104.19</c:v>
                </c:pt>
                <c:pt idx="708">
                  <c:v>106.91</c:v>
                </c:pt>
                <c:pt idx="709">
                  <c:v>108.28</c:v>
                </c:pt>
                <c:pt idx="710">
                  <c:v>108.16</c:v>
                </c:pt>
                <c:pt idx="711">
                  <c:v>104</c:v>
                </c:pt>
                <c:pt idx="712">
                  <c:v>103.08</c:v>
                </c:pt>
                <c:pt idx="713">
                  <c:v>104.34</c:v>
                </c:pt>
                <c:pt idx="714">
                  <c:v>102.42</c:v>
                </c:pt>
                <c:pt idx="715">
                  <c:v>101.16</c:v>
                </c:pt>
                <c:pt idx="716">
                  <c:v>99.2</c:v>
                </c:pt>
                <c:pt idx="717">
                  <c:v>102.58</c:v>
                </c:pt>
                <c:pt idx="718">
                  <c:v>102.41</c:v>
                </c:pt>
                <c:pt idx="719">
                  <c:v>105.56</c:v>
                </c:pt>
                <c:pt idx="720">
                  <c:v>104.78</c:v>
                </c:pt>
                <c:pt idx="721">
                  <c:v>105.17</c:v>
                </c:pt>
                <c:pt idx="722">
                  <c:v>105.7</c:v>
                </c:pt>
                <c:pt idx="723">
                  <c:v>103.86</c:v>
                </c:pt>
                <c:pt idx="724">
                  <c:v>108.61</c:v>
                </c:pt>
                <c:pt idx="725">
                  <c:v>109.09</c:v>
                </c:pt>
                <c:pt idx="726">
                  <c:v>110.95</c:v>
                </c:pt>
                <c:pt idx="727">
                  <c:v>109.47</c:v>
                </c:pt>
                <c:pt idx="728">
                  <c:v>103.03</c:v>
                </c:pt>
                <c:pt idx="729">
                  <c:v>99.08</c:v>
                </c:pt>
                <c:pt idx="730">
                  <c:v>105.97</c:v>
                </c:pt>
                <c:pt idx="731">
                  <c:v>107.23</c:v>
                </c:pt>
                <c:pt idx="732">
                  <c:v>110.3</c:v>
                </c:pt>
                <c:pt idx="733">
                  <c:v>111.44</c:v>
                </c:pt>
                <c:pt idx="734">
                  <c:v>113.67</c:v>
                </c:pt>
                <c:pt idx="735">
                  <c:v>112.83</c:v>
                </c:pt>
                <c:pt idx="736">
                  <c:v>107.35</c:v>
                </c:pt>
                <c:pt idx="737">
                  <c:v>110.89</c:v>
                </c:pt>
                <c:pt idx="738">
                  <c:v>112.04</c:v>
                </c:pt>
                <c:pt idx="739">
                  <c:v>111.89</c:v>
                </c:pt>
                <c:pt idx="740">
                  <c:v>111.23</c:v>
                </c:pt>
                <c:pt idx="741">
                  <c:v>112.06</c:v>
                </c:pt>
                <c:pt idx="742">
                  <c:v>112.13</c:v>
                </c:pt>
                <c:pt idx="743">
                  <c:v>115.45</c:v>
                </c:pt>
                <c:pt idx="744">
                  <c:v>116.45</c:v>
                </c:pt>
                <c:pt idx="745">
                  <c:v>116.86</c:v>
                </c:pt>
                <c:pt idx="746">
                  <c:v>118.83</c:v>
                </c:pt>
                <c:pt idx="747">
                  <c:v>116.2</c:v>
                </c:pt>
                <c:pt idx="748">
                  <c:v>114.22</c:v>
                </c:pt>
                <c:pt idx="749">
                  <c:v>118.45</c:v>
                </c:pt>
                <c:pt idx="750">
                  <c:v>121.43</c:v>
                </c:pt>
                <c:pt idx="751">
                  <c:v>121.19</c:v>
                </c:pt>
                <c:pt idx="752">
                  <c:v>119.83</c:v>
                </c:pt>
                <c:pt idx="753">
                  <c:v>120.27</c:v>
                </c:pt>
                <c:pt idx="754">
                  <c:v>122.86</c:v>
                </c:pt>
                <c:pt idx="755">
                  <c:v>122</c:v>
                </c:pt>
                <c:pt idx="756">
                  <c:v>121.08</c:v>
                </c:pt>
                <c:pt idx="757">
                  <c:v>119.34</c:v>
                </c:pt>
                <c:pt idx="758">
                  <c:v>121.02</c:v>
                </c:pt>
                <c:pt idx="759">
                  <c:v>118.97</c:v>
                </c:pt>
                <c:pt idx="760">
                  <c:v>117.14</c:v>
                </c:pt>
                <c:pt idx="761">
                  <c:v>117.38</c:v>
                </c:pt>
                <c:pt idx="762">
                  <c:v>111.42</c:v>
                </c:pt>
                <c:pt idx="763">
                  <c:v>111.42</c:v>
                </c:pt>
                <c:pt idx="764">
                  <c:v>111.2</c:v>
                </c:pt>
                <c:pt idx="765">
                  <c:v>111.47</c:v>
                </c:pt>
                <c:pt idx="766">
                  <c:v>105.97</c:v>
                </c:pt>
                <c:pt idx="767">
                  <c:v>106.44</c:v>
                </c:pt>
                <c:pt idx="768">
                  <c:v>109.16</c:v>
                </c:pt>
                <c:pt idx="769">
                  <c:v>108.33</c:v>
                </c:pt>
                <c:pt idx="770">
                  <c:v>112.11</c:v>
                </c:pt>
                <c:pt idx="771">
                  <c:v>113.64</c:v>
                </c:pt>
                <c:pt idx="772">
                  <c:v>111.39</c:v>
                </c:pt>
                <c:pt idx="773">
                  <c:v>107.75</c:v>
                </c:pt>
                <c:pt idx="774">
                  <c:v>109.94</c:v>
                </c:pt>
                <c:pt idx="775">
                  <c:v>109.5</c:v>
                </c:pt>
                <c:pt idx="776">
                  <c:v>111.67</c:v>
                </c:pt>
                <c:pt idx="777">
                  <c:v>102.28</c:v>
                </c:pt>
                <c:pt idx="778">
                  <c:v>99.25</c:v>
                </c:pt>
                <c:pt idx="779">
                  <c:v>103.78</c:v>
                </c:pt>
                <c:pt idx="780">
                  <c:v>105.8</c:v>
                </c:pt>
                <c:pt idx="781">
                  <c:v>105.16</c:v>
                </c:pt>
                <c:pt idx="782">
                  <c:v>103.81</c:v>
                </c:pt>
                <c:pt idx="783">
                  <c:v>94.94</c:v>
                </c:pt>
                <c:pt idx="784">
                  <c:v>96.34</c:v>
                </c:pt>
                <c:pt idx="785">
                  <c:v>96.56</c:v>
                </c:pt>
                <c:pt idx="786">
                  <c:v>97.41</c:v>
                </c:pt>
                <c:pt idx="787">
                  <c:v>96.89</c:v>
                </c:pt>
                <c:pt idx="788">
                  <c:v>101.67</c:v>
                </c:pt>
                <c:pt idx="789">
                  <c:v>102.95</c:v>
                </c:pt>
                <c:pt idx="790">
                  <c:v>102.08</c:v>
                </c:pt>
                <c:pt idx="791">
                  <c:v>98.51</c:v>
                </c:pt>
                <c:pt idx="792">
                  <c:v>97.49</c:v>
                </c:pt>
                <c:pt idx="793">
                  <c:v>97.05</c:v>
                </c:pt>
                <c:pt idx="794">
                  <c:v>98.31</c:v>
                </c:pt>
                <c:pt idx="795">
                  <c:v>97.52</c:v>
                </c:pt>
                <c:pt idx="796">
                  <c:v>99.98</c:v>
                </c:pt>
                <c:pt idx="797">
                  <c:v>99.28</c:v>
                </c:pt>
                <c:pt idx="798">
                  <c:v>100.05</c:v>
                </c:pt>
                <c:pt idx="799">
                  <c:v>99.61</c:v>
                </c:pt>
                <c:pt idx="800">
                  <c:v>95.25</c:v>
                </c:pt>
                <c:pt idx="801">
                  <c:v>95.27</c:v>
                </c:pt>
                <c:pt idx="802">
                  <c:v>92.39</c:v>
                </c:pt>
                <c:pt idx="803">
                  <c:v>89.25</c:v>
                </c:pt>
                <c:pt idx="804">
                  <c:v>89.69</c:v>
                </c:pt>
                <c:pt idx="805">
                  <c:v>89.11</c:v>
                </c:pt>
                <c:pt idx="806">
                  <c:v>91.38</c:v>
                </c:pt>
                <c:pt idx="807">
                  <c:v>91.39</c:v>
                </c:pt>
                <c:pt idx="808">
                  <c:v>92.36</c:v>
                </c:pt>
                <c:pt idx="809">
                  <c:v>94.78</c:v>
                </c:pt>
                <c:pt idx="810">
                  <c:v>92.66</c:v>
                </c:pt>
                <c:pt idx="811">
                  <c:v>92.16</c:v>
                </c:pt>
                <c:pt idx="812">
                  <c:v>88.84</c:v>
                </c:pt>
                <c:pt idx="813">
                  <c:v>87.61</c:v>
                </c:pt>
                <c:pt idx="814">
                  <c:v>88.33</c:v>
                </c:pt>
                <c:pt idx="815">
                  <c:v>91.38</c:v>
                </c:pt>
                <c:pt idx="816">
                  <c:v>90.63</c:v>
                </c:pt>
                <c:pt idx="817">
                  <c:v>90.38</c:v>
                </c:pt>
                <c:pt idx="818">
                  <c:v>91.72</c:v>
                </c:pt>
                <c:pt idx="819">
                  <c:v>94.56</c:v>
                </c:pt>
                <c:pt idx="820">
                  <c:v>96.08</c:v>
                </c:pt>
                <c:pt idx="821">
                  <c:v>93.77</c:v>
                </c:pt>
                <c:pt idx="822">
                  <c:v>93.83</c:v>
                </c:pt>
                <c:pt idx="823">
                  <c:v>93.67</c:v>
                </c:pt>
                <c:pt idx="824">
                  <c:v>97.53</c:v>
                </c:pt>
                <c:pt idx="825">
                  <c:v>92.72</c:v>
                </c:pt>
                <c:pt idx="826">
                  <c:v>89.83</c:v>
                </c:pt>
                <c:pt idx="827">
                  <c:v>87.81</c:v>
                </c:pt>
                <c:pt idx="828">
                  <c:v>87.67</c:v>
                </c:pt>
                <c:pt idx="829">
                  <c:v>88.72</c:v>
                </c:pt>
                <c:pt idx="830">
                  <c:v>89.41</c:v>
                </c:pt>
                <c:pt idx="831">
                  <c:v>87.22</c:v>
                </c:pt>
                <c:pt idx="832">
                  <c:v>82.41</c:v>
                </c:pt>
                <c:pt idx="833">
                  <c:v>83.31</c:v>
                </c:pt>
                <c:pt idx="834">
                  <c:v>86.44</c:v>
                </c:pt>
                <c:pt idx="835">
                  <c:v>86.58</c:v>
                </c:pt>
                <c:pt idx="836">
                  <c:v>88.28</c:v>
                </c:pt>
                <c:pt idx="837">
                  <c:v>87.78</c:v>
                </c:pt>
                <c:pt idx="838">
                  <c:v>89.24</c:v>
                </c:pt>
                <c:pt idx="839">
                  <c:v>84.84</c:v>
                </c:pt>
                <c:pt idx="840">
                  <c:v>85.6</c:v>
                </c:pt>
                <c:pt idx="841">
                  <c:v>85.83</c:v>
                </c:pt>
                <c:pt idx="842">
                  <c:v>86</c:v>
                </c:pt>
                <c:pt idx="843">
                  <c:v>84.56</c:v>
                </c:pt>
                <c:pt idx="844">
                  <c:v>83.36</c:v>
                </c:pt>
                <c:pt idx="845">
                  <c:v>84.09</c:v>
                </c:pt>
                <c:pt idx="846">
                  <c:v>79.73</c:v>
                </c:pt>
                <c:pt idx="847">
                  <c:v>79.94</c:v>
                </c:pt>
                <c:pt idx="848">
                  <c:v>77.06</c:v>
                </c:pt>
                <c:pt idx="849">
                  <c:v>78.86</c:v>
                </c:pt>
                <c:pt idx="850">
                  <c:v>82.09</c:v>
                </c:pt>
                <c:pt idx="851">
                  <c:v>82</c:v>
                </c:pt>
                <c:pt idx="852">
                  <c:v>80.03</c:v>
                </c:pt>
                <c:pt idx="853">
                  <c:v>82.36</c:v>
                </c:pt>
                <c:pt idx="854">
                  <c:v>83.67</c:v>
                </c:pt>
                <c:pt idx="855">
                  <c:v>86.84</c:v>
                </c:pt>
                <c:pt idx="856">
                  <c:v>88.31</c:v>
                </c:pt>
                <c:pt idx="857">
                  <c:v>89.11</c:v>
                </c:pt>
                <c:pt idx="858">
                  <c:v>93.54</c:v>
                </c:pt>
                <c:pt idx="859">
                  <c:v>92.84</c:v>
                </c:pt>
                <c:pt idx="860">
                  <c:v>90.95</c:v>
                </c:pt>
                <c:pt idx="861">
                  <c:v>88.81</c:v>
                </c:pt>
                <c:pt idx="862">
                  <c:v>87.34</c:v>
                </c:pt>
                <c:pt idx="863">
                  <c:v>89.14</c:v>
                </c:pt>
                <c:pt idx="864">
                  <c:v>85.81</c:v>
                </c:pt>
                <c:pt idx="865">
                  <c:v>86.36</c:v>
                </c:pt>
                <c:pt idx="866">
                  <c:v>86.06</c:v>
                </c:pt>
                <c:pt idx="867">
                  <c:v>84.19</c:v>
                </c:pt>
                <c:pt idx="868">
                  <c:v>85.86</c:v>
                </c:pt>
                <c:pt idx="869">
                  <c:v>85.62</c:v>
                </c:pt>
                <c:pt idx="870">
                  <c:v>86.16</c:v>
                </c:pt>
                <c:pt idx="871">
                  <c:v>86.28</c:v>
                </c:pt>
                <c:pt idx="872">
                  <c:v>85.77</c:v>
                </c:pt>
                <c:pt idx="873">
                  <c:v>85.72</c:v>
                </c:pt>
                <c:pt idx="874">
                  <c:v>89.03</c:v>
                </c:pt>
                <c:pt idx="875">
                  <c:v>89.42</c:v>
                </c:pt>
                <c:pt idx="876">
                  <c:v>89.2</c:v>
                </c:pt>
                <c:pt idx="877">
                  <c:v>89.11</c:v>
                </c:pt>
                <c:pt idx="878">
                  <c:v>86.88</c:v>
                </c:pt>
                <c:pt idx="879">
                  <c:v>89.36</c:v>
                </c:pt>
                <c:pt idx="880">
                  <c:v>89.61</c:v>
                </c:pt>
                <c:pt idx="881">
                  <c:v>88.62</c:v>
                </c:pt>
                <c:pt idx="882">
                  <c:v>93.2</c:v>
                </c:pt>
                <c:pt idx="883">
                  <c:v>91.19</c:v>
                </c:pt>
                <c:pt idx="884">
                  <c:v>92.39</c:v>
                </c:pt>
                <c:pt idx="885">
                  <c:v>89.5</c:v>
                </c:pt>
                <c:pt idx="886">
                  <c:v>86.19</c:v>
                </c:pt>
                <c:pt idx="887">
                  <c:v>86.69</c:v>
                </c:pt>
                <c:pt idx="888">
                  <c:v>89.23</c:v>
                </c:pt>
                <c:pt idx="889">
                  <c:v>90</c:v>
                </c:pt>
                <c:pt idx="890">
                  <c:v>85.57</c:v>
                </c:pt>
                <c:pt idx="891">
                  <c:v>87.55</c:v>
                </c:pt>
                <c:pt idx="892">
                  <c:v>85.58</c:v>
                </c:pt>
                <c:pt idx="893">
                  <c:v>82.71</c:v>
                </c:pt>
                <c:pt idx="894">
                  <c:v>81.06</c:v>
                </c:pt>
                <c:pt idx="895">
                  <c:v>80.92</c:v>
                </c:pt>
                <c:pt idx="896">
                  <c:v>81.06</c:v>
                </c:pt>
                <c:pt idx="897">
                  <c:v>82</c:v>
                </c:pt>
                <c:pt idx="898">
                  <c:v>78.14</c:v>
                </c:pt>
                <c:pt idx="899">
                  <c:v>78.56</c:v>
                </c:pt>
                <c:pt idx="900">
                  <c:v>77.150000000000006</c:v>
                </c:pt>
                <c:pt idx="901">
                  <c:v>76.59</c:v>
                </c:pt>
                <c:pt idx="902">
                  <c:v>77.05</c:v>
                </c:pt>
                <c:pt idx="903">
                  <c:v>79.239999999999995</c:v>
                </c:pt>
                <c:pt idx="904">
                  <c:v>81.05</c:v>
                </c:pt>
                <c:pt idx="905">
                  <c:v>81.8</c:v>
                </c:pt>
                <c:pt idx="906">
                  <c:v>80.760000000000005</c:v>
                </c:pt>
                <c:pt idx="907">
                  <c:v>81.53</c:v>
                </c:pt>
                <c:pt idx="908">
                  <c:v>77.739999999999995</c:v>
                </c:pt>
                <c:pt idx="909">
                  <c:v>74.78</c:v>
                </c:pt>
                <c:pt idx="910">
                  <c:v>72.86</c:v>
                </c:pt>
                <c:pt idx="911">
                  <c:v>72.33</c:v>
                </c:pt>
                <c:pt idx="912">
                  <c:v>71.75</c:v>
                </c:pt>
                <c:pt idx="913">
                  <c:v>72.08</c:v>
                </c:pt>
                <c:pt idx="914">
                  <c:v>73.61</c:v>
                </c:pt>
                <c:pt idx="915">
                  <c:v>75.36</c:v>
                </c:pt>
                <c:pt idx="916">
                  <c:v>77.44</c:v>
                </c:pt>
                <c:pt idx="917">
                  <c:v>76.400000000000006</c:v>
                </c:pt>
                <c:pt idx="918">
                  <c:v>74.73</c:v>
                </c:pt>
                <c:pt idx="919">
                  <c:v>75.22</c:v>
                </c:pt>
                <c:pt idx="920">
                  <c:v>76</c:v>
                </c:pt>
                <c:pt idx="921">
                  <c:v>76.27</c:v>
                </c:pt>
                <c:pt idx="922">
                  <c:v>78.59</c:v>
                </c:pt>
                <c:pt idx="923">
                  <c:v>78.56</c:v>
                </c:pt>
                <c:pt idx="924">
                  <c:v>79.44</c:v>
                </c:pt>
                <c:pt idx="925">
                  <c:v>81.06</c:v>
                </c:pt>
                <c:pt idx="926">
                  <c:v>79.84</c:v>
                </c:pt>
                <c:pt idx="927">
                  <c:v>78.67</c:v>
                </c:pt>
                <c:pt idx="928">
                  <c:v>78.67</c:v>
                </c:pt>
                <c:pt idx="929">
                  <c:v>80.55</c:v>
                </c:pt>
                <c:pt idx="930">
                  <c:v>80.53</c:v>
                </c:pt>
                <c:pt idx="931">
                  <c:v>77.14</c:v>
                </c:pt>
                <c:pt idx="932">
                  <c:v>73.42</c:v>
                </c:pt>
                <c:pt idx="933">
                  <c:v>74.02</c:v>
                </c:pt>
                <c:pt idx="934">
                  <c:v>73.75</c:v>
                </c:pt>
                <c:pt idx="935">
                  <c:v>74.14</c:v>
                </c:pt>
                <c:pt idx="936">
                  <c:v>74.73</c:v>
                </c:pt>
                <c:pt idx="937">
                  <c:v>74.62</c:v>
                </c:pt>
                <c:pt idx="938">
                  <c:v>77.73</c:v>
                </c:pt>
                <c:pt idx="939">
                  <c:v>78.36</c:v>
                </c:pt>
                <c:pt idx="940">
                  <c:v>80.11</c:v>
                </c:pt>
                <c:pt idx="941">
                  <c:v>79.84</c:v>
                </c:pt>
                <c:pt idx="942">
                  <c:v>78.84</c:v>
                </c:pt>
                <c:pt idx="943">
                  <c:v>80.75</c:v>
                </c:pt>
                <c:pt idx="944">
                  <c:v>79.25</c:v>
                </c:pt>
                <c:pt idx="945">
                  <c:v>80.83</c:v>
                </c:pt>
                <c:pt idx="946">
                  <c:v>81.53</c:v>
                </c:pt>
                <c:pt idx="947">
                  <c:v>81.06</c:v>
                </c:pt>
                <c:pt idx="948">
                  <c:v>81.44</c:v>
                </c:pt>
                <c:pt idx="949">
                  <c:v>80.02</c:v>
                </c:pt>
                <c:pt idx="950">
                  <c:v>80.36</c:v>
                </c:pt>
                <c:pt idx="951">
                  <c:v>81</c:v>
                </c:pt>
                <c:pt idx="952">
                  <c:v>79.27</c:v>
                </c:pt>
                <c:pt idx="953">
                  <c:v>80.2</c:v>
                </c:pt>
                <c:pt idx="954">
                  <c:v>77.83</c:v>
                </c:pt>
                <c:pt idx="955">
                  <c:v>79.03</c:v>
                </c:pt>
                <c:pt idx="956">
                  <c:v>76.7</c:v>
                </c:pt>
                <c:pt idx="957">
                  <c:v>75.86</c:v>
                </c:pt>
                <c:pt idx="958">
                  <c:v>73.099999999999994</c:v>
                </c:pt>
                <c:pt idx="959">
                  <c:v>73.39</c:v>
                </c:pt>
                <c:pt idx="960">
                  <c:v>74.44</c:v>
                </c:pt>
                <c:pt idx="961">
                  <c:v>77.45</c:v>
                </c:pt>
                <c:pt idx="962">
                  <c:v>78.42</c:v>
                </c:pt>
                <c:pt idx="963">
                  <c:v>77.61</c:v>
                </c:pt>
                <c:pt idx="964">
                  <c:v>79.680000000000007</c:v>
                </c:pt>
                <c:pt idx="965">
                  <c:v>79.31</c:v>
                </c:pt>
                <c:pt idx="966">
                  <c:v>79.19</c:v>
                </c:pt>
                <c:pt idx="967">
                  <c:v>78.790000000000006</c:v>
                </c:pt>
                <c:pt idx="968">
                  <c:v>78.55</c:v>
                </c:pt>
                <c:pt idx="969">
                  <c:v>77.84</c:v>
                </c:pt>
                <c:pt idx="970">
                  <c:v>76.31</c:v>
                </c:pt>
                <c:pt idx="971">
                  <c:v>76.48</c:v>
                </c:pt>
                <c:pt idx="972">
                  <c:v>77.11</c:v>
                </c:pt>
                <c:pt idx="973">
                  <c:v>76.05</c:v>
                </c:pt>
                <c:pt idx="974">
                  <c:v>73.8</c:v>
                </c:pt>
                <c:pt idx="975">
                  <c:v>75.47</c:v>
                </c:pt>
                <c:pt idx="976">
                  <c:v>76.31</c:v>
                </c:pt>
                <c:pt idx="977">
                  <c:v>76.5</c:v>
                </c:pt>
                <c:pt idx="978">
                  <c:v>75.599999999999994</c:v>
                </c:pt>
                <c:pt idx="979">
                  <c:v>76.53</c:v>
                </c:pt>
                <c:pt idx="980">
                  <c:v>77.52</c:v>
                </c:pt>
                <c:pt idx="981">
                  <c:v>77.81</c:v>
                </c:pt>
                <c:pt idx="982">
                  <c:v>79.75</c:v>
                </c:pt>
                <c:pt idx="983">
                  <c:v>79.28</c:v>
                </c:pt>
                <c:pt idx="984">
                  <c:v>80.42</c:v>
                </c:pt>
                <c:pt idx="985">
                  <c:v>77.16</c:v>
                </c:pt>
                <c:pt idx="986">
                  <c:v>76.48</c:v>
                </c:pt>
                <c:pt idx="987">
                  <c:v>75.38</c:v>
                </c:pt>
                <c:pt idx="988">
                  <c:v>76.569999999999993</c:v>
                </c:pt>
                <c:pt idx="989">
                  <c:v>77.03</c:v>
                </c:pt>
                <c:pt idx="990">
                  <c:v>74.53</c:v>
                </c:pt>
                <c:pt idx="991">
                  <c:v>71.77</c:v>
                </c:pt>
                <c:pt idx="992">
                  <c:v>68.16</c:v>
                </c:pt>
                <c:pt idx="993">
                  <c:v>68.31</c:v>
                </c:pt>
                <c:pt idx="994">
                  <c:v>66.36</c:v>
                </c:pt>
                <c:pt idx="995">
                  <c:v>67.47</c:v>
                </c:pt>
                <c:pt idx="996">
                  <c:v>69.31</c:v>
                </c:pt>
                <c:pt idx="997">
                  <c:v>69.92</c:v>
                </c:pt>
                <c:pt idx="998">
                  <c:v>69.39</c:v>
                </c:pt>
                <c:pt idx="999">
                  <c:v>69.099999999999994</c:v>
                </c:pt>
                <c:pt idx="1000">
                  <c:v>69.55</c:v>
                </c:pt>
                <c:pt idx="1001">
                  <c:v>72.88</c:v>
                </c:pt>
                <c:pt idx="1002">
                  <c:v>73.61</c:v>
                </c:pt>
                <c:pt idx="1003">
                  <c:v>72.77</c:v>
                </c:pt>
                <c:pt idx="1004">
                  <c:v>74.25</c:v>
                </c:pt>
                <c:pt idx="1005">
                  <c:v>75.569999999999993</c:v>
                </c:pt>
                <c:pt idx="1006">
                  <c:v>80.39</c:v>
                </c:pt>
                <c:pt idx="1007">
                  <c:v>80.36</c:v>
                </c:pt>
                <c:pt idx="1008">
                  <c:v>80.86</c:v>
                </c:pt>
                <c:pt idx="1009">
                  <c:v>80.44</c:v>
                </c:pt>
                <c:pt idx="1010">
                  <c:v>80.36</c:v>
                </c:pt>
                <c:pt idx="1011">
                  <c:v>80.75</c:v>
                </c:pt>
                <c:pt idx="1012">
                  <c:v>79.8</c:v>
                </c:pt>
                <c:pt idx="1013">
                  <c:v>81.41</c:v>
                </c:pt>
                <c:pt idx="1014">
                  <c:v>83.04</c:v>
                </c:pt>
                <c:pt idx="1015">
                  <c:v>82.22</c:v>
                </c:pt>
                <c:pt idx="1016">
                  <c:v>82.65</c:v>
                </c:pt>
                <c:pt idx="1017">
                  <c:v>82.55</c:v>
                </c:pt>
                <c:pt idx="1018">
                  <c:v>80.89</c:v>
                </c:pt>
                <c:pt idx="1019">
                  <c:v>81.03</c:v>
                </c:pt>
                <c:pt idx="1020">
                  <c:v>78.94</c:v>
                </c:pt>
                <c:pt idx="1021">
                  <c:v>77.17</c:v>
                </c:pt>
                <c:pt idx="1022">
                  <c:v>77.98</c:v>
                </c:pt>
                <c:pt idx="1023">
                  <c:v>77.78</c:v>
                </c:pt>
                <c:pt idx="1024">
                  <c:v>78.67</c:v>
                </c:pt>
                <c:pt idx="1025">
                  <c:v>77.33</c:v>
                </c:pt>
                <c:pt idx="1026">
                  <c:v>74.45</c:v>
                </c:pt>
                <c:pt idx="1027">
                  <c:v>74.83</c:v>
                </c:pt>
                <c:pt idx="1028">
                  <c:v>76.7</c:v>
                </c:pt>
                <c:pt idx="1029">
                  <c:v>76.12</c:v>
                </c:pt>
                <c:pt idx="1030">
                  <c:v>75.62</c:v>
                </c:pt>
                <c:pt idx="1031">
                  <c:v>71.64</c:v>
                </c:pt>
                <c:pt idx="1032">
                  <c:v>67.25</c:v>
                </c:pt>
                <c:pt idx="1033">
                  <c:v>68.77</c:v>
                </c:pt>
                <c:pt idx="1034">
                  <c:v>71.400000000000006</c:v>
                </c:pt>
                <c:pt idx="1035">
                  <c:v>71.44</c:v>
                </c:pt>
                <c:pt idx="1036">
                  <c:v>73</c:v>
                </c:pt>
                <c:pt idx="1037">
                  <c:v>73.61</c:v>
                </c:pt>
                <c:pt idx="1038">
                  <c:v>72.89</c:v>
                </c:pt>
                <c:pt idx="1039">
                  <c:v>71.36</c:v>
                </c:pt>
                <c:pt idx="1040">
                  <c:v>70.11</c:v>
                </c:pt>
                <c:pt idx="1041">
                  <c:v>70.06</c:v>
                </c:pt>
                <c:pt idx="1042">
                  <c:v>71.42</c:v>
                </c:pt>
                <c:pt idx="1043">
                  <c:v>70.67</c:v>
                </c:pt>
                <c:pt idx="1044">
                  <c:v>72.77</c:v>
                </c:pt>
                <c:pt idx="1045">
                  <c:v>72.14</c:v>
                </c:pt>
                <c:pt idx="1046">
                  <c:v>71.930000000000007</c:v>
                </c:pt>
                <c:pt idx="1047">
                  <c:v>71.86</c:v>
                </c:pt>
                <c:pt idx="1048">
                  <c:v>72.36</c:v>
                </c:pt>
                <c:pt idx="1049">
                  <c:v>73.88</c:v>
                </c:pt>
                <c:pt idx="1050">
                  <c:v>74.25</c:v>
                </c:pt>
                <c:pt idx="1051">
                  <c:v>71.88</c:v>
                </c:pt>
                <c:pt idx="1052">
                  <c:v>72.92</c:v>
                </c:pt>
                <c:pt idx="1053">
                  <c:v>73.23</c:v>
                </c:pt>
                <c:pt idx="1054">
                  <c:v>72.89</c:v>
                </c:pt>
                <c:pt idx="1055">
                  <c:v>69.569999999999993</c:v>
                </c:pt>
                <c:pt idx="1056">
                  <c:v>67.75</c:v>
                </c:pt>
                <c:pt idx="1057">
                  <c:v>70.11</c:v>
                </c:pt>
                <c:pt idx="1058">
                  <c:v>71.94</c:v>
                </c:pt>
                <c:pt idx="1059">
                  <c:v>73.39</c:v>
                </c:pt>
                <c:pt idx="1060">
                  <c:v>71.97</c:v>
                </c:pt>
                <c:pt idx="1061">
                  <c:v>71.77</c:v>
                </c:pt>
                <c:pt idx="1062">
                  <c:v>72.44</c:v>
                </c:pt>
                <c:pt idx="1063">
                  <c:v>70.86</c:v>
                </c:pt>
                <c:pt idx="1064">
                  <c:v>70.34</c:v>
                </c:pt>
                <c:pt idx="1065">
                  <c:v>70</c:v>
                </c:pt>
                <c:pt idx="1066">
                  <c:v>67.42</c:v>
                </c:pt>
                <c:pt idx="1067">
                  <c:v>69.2</c:v>
                </c:pt>
                <c:pt idx="1068">
                  <c:v>68.56</c:v>
                </c:pt>
                <c:pt idx="1069">
                  <c:v>70.66</c:v>
                </c:pt>
                <c:pt idx="1070">
                  <c:v>71.489999999999995</c:v>
                </c:pt>
                <c:pt idx="1071">
                  <c:v>71.34</c:v>
                </c:pt>
                <c:pt idx="1072">
                  <c:v>71.19</c:v>
                </c:pt>
                <c:pt idx="1073">
                  <c:v>70.81</c:v>
                </c:pt>
                <c:pt idx="1074">
                  <c:v>72.38</c:v>
                </c:pt>
                <c:pt idx="1075">
                  <c:v>69.22</c:v>
                </c:pt>
                <c:pt idx="1076">
                  <c:v>69.41</c:v>
                </c:pt>
                <c:pt idx="1077">
                  <c:v>69.84</c:v>
                </c:pt>
                <c:pt idx="1078">
                  <c:v>69.37</c:v>
                </c:pt>
                <c:pt idx="1079">
                  <c:v>67.84</c:v>
                </c:pt>
                <c:pt idx="1080">
                  <c:v>69.22</c:v>
                </c:pt>
                <c:pt idx="1081">
                  <c:v>69.66</c:v>
                </c:pt>
                <c:pt idx="1082">
                  <c:v>70.37</c:v>
                </c:pt>
                <c:pt idx="1083">
                  <c:v>70.34</c:v>
                </c:pt>
                <c:pt idx="1084">
                  <c:v>70.02</c:v>
                </c:pt>
                <c:pt idx="1085">
                  <c:v>71</c:v>
                </c:pt>
                <c:pt idx="1086">
                  <c:v>71.88</c:v>
                </c:pt>
                <c:pt idx="1087">
                  <c:v>71.78</c:v>
                </c:pt>
                <c:pt idx="1088">
                  <c:v>73.63</c:v>
                </c:pt>
                <c:pt idx="1089">
                  <c:v>73.52</c:v>
                </c:pt>
                <c:pt idx="1090">
                  <c:v>73.08</c:v>
                </c:pt>
                <c:pt idx="1091">
                  <c:v>74.75</c:v>
                </c:pt>
                <c:pt idx="1092">
                  <c:v>75.8</c:v>
                </c:pt>
                <c:pt idx="1093">
                  <c:v>77.150000000000006</c:v>
                </c:pt>
                <c:pt idx="1094">
                  <c:v>75.27</c:v>
                </c:pt>
                <c:pt idx="1095">
                  <c:v>74.900000000000006</c:v>
                </c:pt>
                <c:pt idx="1096">
                  <c:v>74.22</c:v>
                </c:pt>
                <c:pt idx="1097">
                  <c:v>75.81</c:v>
                </c:pt>
                <c:pt idx="1098">
                  <c:v>75.25</c:v>
                </c:pt>
                <c:pt idx="1099">
                  <c:v>75.91</c:v>
                </c:pt>
                <c:pt idx="1100">
                  <c:v>76.87</c:v>
                </c:pt>
                <c:pt idx="1101">
                  <c:v>76.66</c:v>
                </c:pt>
                <c:pt idx="1102">
                  <c:v>78.94</c:v>
                </c:pt>
                <c:pt idx="1103">
                  <c:v>79.36</c:v>
                </c:pt>
                <c:pt idx="1104">
                  <c:v>79.08</c:v>
                </c:pt>
                <c:pt idx="1105">
                  <c:v>79.69</c:v>
                </c:pt>
                <c:pt idx="1106">
                  <c:v>80.73</c:v>
                </c:pt>
                <c:pt idx="1107">
                  <c:v>80.45</c:v>
                </c:pt>
                <c:pt idx="1108">
                  <c:v>81.28</c:v>
                </c:pt>
              </c:numCache>
            </c:numRef>
          </c:val>
          <c:smooth val="0"/>
          <c:extLst>
            <c:ext xmlns:c16="http://schemas.microsoft.com/office/drawing/2014/chart" uri="{C3380CC4-5D6E-409C-BE32-E72D297353CC}">
              <c16:uniqueId val="{00000001-94CB-4F7E-9C9D-082112D8B158}"/>
            </c:ext>
          </c:extLst>
        </c:ser>
        <c:dLbls>
          <c:showLegendKey val="0"/>
          <c:showVal val="0"/>
          <c:showCatName val="0"/>
          <c:showSerName val="0"/>
          <c:showPercent val="0"/>
          <c:showBubbleSize val="0"/>
        </c:dLbls>
        <c:smooth val="0"/>
        <c:axId val="665040512"/>
        <c:axId val="665040928"/>
      </c:lineChart>
      <c:dateAx>
        <c:axId val="66504051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65040928"/>
        <c:crosses val="autoZero"/>
        <c:auto val="1"/>
        <c:lblOffset val="100"/>
        <c:baseTimeUnit val="days"/>
      </c:dateAx>
      <c:valAx>
        <c:axId val="66504092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b="0" i="0" baseline="0">
                    <a:effectLst/>
                  </a:rPr>
                  <a:t>USD$ por barril</a:t>
                </a:r>
              </a:p>
            </c:rich>
          </c:tx>
          <c:layout>
            <c:manualLayout>
              <c:xMode val="edge"/>
              <c:yMode val="edge"/>
              <c:x val="4.7014574518100608E-3"/>
              <c:y val="0.2956115827541101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65040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5400" cap="flat" cmpd="sng" algn="ctr">
      <a:solidFill>
        <a:srgbClr val="DDDDDD"/>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392038618585932"/>
          <c:y val="0.179985511121077"/>
          <c:w val="0.7343635818442299"/>
          <c:h val="0.61554190994471802"/>
        </c:manualLayout>
      </c:layout>
      <c:lineChart>
        <c:grouping val="standard"/>
        <c:varyColors val="0"/>
        <c:ser>
          <c:idx val="0"/>
          <c:order val="0"/>
          <c:tx>
            <c:strRef>
              <c:f>Hoja3!$B$1</c:f>
              <c:strCache>
                <c:ptCount val="1"/>
                <c:pt idx="0">
                  <c:v>Maiz</c:v>
                </c:pt>
              </c:strCache>
            </c:strRef>
          </c:tx>
          <c:spPr>
            <a:ln w="15875" cap="rnd">
              <a:solidFill>
                <a:schemeClr val="accent5">
                  <a:lumMod val="50000"/>
                </a:schemeClr>
              </a:solidFill>
              <a:round/>
            </a:ln>
            <a:effectLst/>
          </c:spPr>
          <c:marker>
            <c:symbol val="none"/>
          </c:marker>
          <c:dLbls>
            <c:dLbl>
              <c:idx val="893"/>
              <c:layout>
                <c:manualLayout>
                  <c:x val="0"/>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8F-4E76-BEEA-FF35DAF768E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Hoja3!$A$259:$A$1152</c:f>
              <c:numCache>
                <c:formatCode>m/d/yyyy</c:formatCode>
                <c:ptCount val="89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43851</c:v>
                </c:pt>
                <c:pt idx="14">
                  <c:v>43852</c:v>
                </c:pt>
                <c:pt idx="15">
                  <c:v>43853</c:v>
                </c:pt>
                <c:pt idx="16">
                  <c:v>43854</c:v>
                </c:pt>
                <c:pt idx="17">
                  <c:v>43857</c:v>
                </c:pt>
                <c:pt idx="18">
                  <c:v>43858</c:v>
                </c:pt>
                <c:pt idx="19">
                  <c:v>43859</c:v>
                </c:pt>
                <c:pt idx="20">
                  <c:v>43860</c:v>
                </c:pt>
                <c:pt idx="21">
                  <c:v>43861</c:v>
                </c:pt>
                <c:pt idx="22">
                  <c:v>43864</c:v>
                </c:pt>
                <c:pt idx="23">
                  <c:v>43865</c:v>
                </c:pt>
                <c:pt idx="24">
                  <c:v>43866</c:v>
                </c:pt>
                <c:pt idx="25">
                  <c:v>43867</c:v>
                </c:pt>
                <c:pt idx="26">
                  <c:v>43868</c:v>
                </c:pt>
                <c:pt idx="27">
                  <c:v>43871</c:v>
                </c:pt>
                <c:pt idx="28">
                  <c:v>43872</c:v>
                </c:pt>
                <c:pt idx="29">
                  <c:v>43873</c:v>
                </c:pt>
                <c:pt idx="30">
                  <c:v>43874</c:v>
                </c:pt>
                <c:pt idx="31">
                  <c:v>43875</c:v>
                </c:pt>
                <c:pt idx="32">
                  <c:v>43879</c:v>
                </c:pt>
                <c:pt idx="33">
                  <c:v>43880</c:v>
                </c:pt>
                <c:pt idx="34">
                  <c:v>43881</c:v>
                </c:pt>
                <c:pt idx="35">
                  <c:v>43882</c:v>
                </c:pt>
                <c:pt idx="36">
                  <c:v>43885</c:v>
                </c:pt>
                <c:pt idx="37">
                  <c:v>43886</c:v>
                </c:pt>
                <c:pt idx="38">
                  <c:v>43887</c:v>
                </c:pt>
                <c:pt idx="39">
                  <c:v>43888</c:v>
                </c:pt>
                <c:pt idx="40">
                  <c:v>43889</c:v>
                </c:pt>
                <c:pt idx="41">
                  <c:v>43892</c:v>
                </c:pt>
                <c:pt idx="42">
                  <c:v>43893</c:v>
                </c:pt>
                <c:pt idx="43">
                  <c:v>43894</c:v>
                </c:pt>
                <c:pt idx="44">
                  <c:v>43895</c:v>
                </c:pt>
                <c:pt idx="45">
                  <c:v>43896</c:v>
                </c:pt>
                <c:pt idx="46">
                  <c:v>43899</c:v>
                </c:pt>
                <c:pt idx="47">
                  <c:v>43900</c:v>
                </c:pt>
                <c:pt idx="48">
                  <c:v>43901</c:v>
                </c:pt>
                <c:pt idx="49">
                  <c:v>43902</c:v>
                </c:pt>
                <c:pt idx="50">
                  <c:v>43903</c:v>
                </c:pt>
                <c:pt idx="51">
                  <c:v>43906</c:v>
                </c:pt>
                <c:pt idx="52">
                  <c:v>43907</c:v>
                </c:pt>
                <c:pt idx="53">
                  <c:v>43908</c:v>
                </c:pt>
                <c:pt idx="54">
                  <c:v>43909</c:v>
                </c:pt>
                <c:pt idx="55">
                  <c:v>43910</c:v>
                </c:pt>
                <c:pt idx="56">
                  <c:v>43913</c:v>
                </c:pt>
                <c:pt idx="57">
                  <c:v>43914</c:v>
                </c:pt>
                <c:pt idx="58">
                  <c:v>43915</c:v>
                </c:pt>
                <c:pt idx="59">
                  <c:v>43916</c:v>
                </c:pt>
                <c:pt idx="60">
                  <c:v>43917</c:v>
                </c:pt>
                <c:pt idx="61">
                  <c:v>43920</c:v>
                </c:pt>
                <c:pt idx="62">
                  <c:v>43921</c:v>
                </c:pt>
                <c:pt idx="63">
                  <c:v>43922</c:v>
                </c:pt>
                <c:pt idx="64">
                  <c:v>43923</c:v>
                </c:pt>
                <c:pt idx="65">
                  <c:v>43924</c:v>
                </c:pt>
                <c:pt idx="66">
                  <c:v>43927</c:v>
                </c:pt>
                <c:pt idx="67">
                  <c:v>43928</c:v>
                </c:pt>
                <c:pt idx="68">
                  <c:v>43929</c:v>
                </c:pt>
                <c:pt idx="69">
                  <c:v>43930</c:v>
                </c:pt>
                <c:pt idx="70">
                  <c:v>43931</c:v>
                </c:pt>
                <c:pt idx="71">
                  <c:v>43934</c:v>
                </c:pt>
                <c:pt idx="72">
                  <c:v>43935</c:v>
                </c:pt>
                <c:pt idx="73">
                  <c:v>43936</c:v>
                </c:pt>
                <c:pt idx="74">
                  <c:v>43937</c:v>
                </c:pt>
                <c:pt idx="75">
                  <c:v>43938</c:v>
                </c:pt>
                <c:pt idx="76">
                  <c:v>43941</c:v>
                </c:pt>
                <c:pt idx="77">
                  <c:v>43942</c:v>
                </c:pt>
                <c:pt idx="78">
                  <c:v>43943</c:v>
                </c:pt>
                <c:pt idx="79">
                  <c:v>43944</c:v>
                </c:pt>
                <c:pt idx="80">
                  <c:v>43945</c:v>
                </c:pt>
                <c:pt idx="81">
                  <c:v>43948</c:v>
                </c:pt>
                <c:pt idx="82">
                  <c:v>43949</c:v>
                </c:pt>
                <c:pt idx="83">
                  <c:v>43950</c:v>
                </c:pt>
                <c:pt idx="84">
                  <c:v>43951</c:v>
                </c:pt>
                <c:pt idx="85">
                  <c:v>43952</c:v>
                </c:pt>
                <c:pt idx="86">
                  <c:v>43955</c:v>
                </c:pt>
                <c:pt idx="87">
                  <c:v>43956</c:v>
                </c:pt>
                <c:pt idx="88">
                  <c:v>43957</c:v>
                </c:pt>
                <c:pt idx="89">
                  <c:v>43958</c:v>
                </c:pt>
                <c:pt idx="90">
                  <c:v>43959</c:v>
                </c:pt>
                <c:pt idx="91">
                  <c:v>43962</c:v>
                </c:pt>
                <c:pt idx="92">
                  <c:v>43963</c:v>
                </c:pt>
                <c:pt idx="93">
                  <c:v>43964</c:v>
                </c:pt>
                <c:pt idx="94">
                  <c:v>43965</c:v>
                </c:pt>
                <c:pt idx="95">
                  <c:v>43966</c:v>
                </c:pt>
                <c:pt idx="96">
                  <c:v>43969</c:v>
                </c:pt>
                <c:pt idx="97">
                  <c:v>43970</c:v>
                </c:pt>
                <c:pt idx="98">
                  <c:v>43971</c:v>
                </c:pt>
                <c:pt idx="99">
                  <c:v>43972</c:v>
                </c:pt>
                <c:pt idx="100">
                  <c:v>43973</c:v>
                </c:pt>
                <c:pt idx="101">
                  <c:v>43976</c:v>
                </c:pt>
                <c:pt idx="102">
                  <c:v>43977</c:v>
                </c:pt>
                <c:pt idx="103">
                  <c:v>43978</c:v>
                </c:pt>
                <c:pt idx="104">
                  <c:v>43979</c:v>
                </c:pt>
                <c:pt idx="105">
                  <c:v>43980</c:v>
                </c:pt>
                <c:pt idx="106">
                  <c:v>43983</c:v>
                </c:pt>
                <c:pt idx="107">
                  <c:v>43984</c:v>
                </c:pt>
                <c:pt idx="108">
                  <c:v>43985</c:v>
                </c:pt>
                <c:pt idx="109">
                  <c:v>43986</c:v>
                </c:pt>
                <c:pt idx="110">
                  <c:v>43987</c:v>
                </c:pt>
                <c:pt idx="111">
                  <c:v>43990</c:v>
                </c:pt>
                <c:pt idx="112">
                  <c:v>43991</c:v>
                </c:pt>
                <c:pt idx="113">
                  <c:v>43992</c:v>
                </c:pt>
                <c:pt idx="114">
                  <c:v>43993</c:v>
                </c:pt>
                <c:pt idx="115">
                  <c:v>43994</c:v>
                </c:pt>
                <c:pt idx="116">
                  <c:v>43997</c:v>
                </c:pt>
                <c:pt idx="117">
                  <c:v>43998</c:v>
                </c:pt>
                <c:pt idx="118">
                  <c:v>43999</c:v>
                </c:pt>
                <c:pt idx="119">
                  <c:v>44000</c:v>
                </c:pt>
                <c:pt idx="120">
                  <c:v>44001</c:v>
                </c:pt>
                <c:pt idx="121">
                  <c:v>44004</c:v>
                </c:pt>
                <c:pt idx="122">
                  <c:v>44005</c:v>
                </c:pt>
                <c:pt idx="123">
                  <c:v>44006</c:v>
                </c:pt>
                <c:pt idx="124">
                  <c:v>44007</c:v>
                </c:pt>
                <c:pt idx="125">
                  <c:v>44008</c:v>
                </c:pt>
                <c:pt idx="126">
                  <c:v>44011</c:v>
                </c:pt>
                <c:pt idx="127">
                  <c:v>44012</c:v>
                </c:pt>
                <c:pt idx="128">
                  <c:v>44013</c:v>
                </c:pt>
                <c:pt idx="129">
                  <c:v>44014</c:v>
                </c:pt>
                <c:pt idx="130">
                  <c:v>44018</c:v>
                </c:pt>
                <c:pt idx="131">
                  <c:v>44019</c:v>
                </c:pt>
                <c:pt idx="132">
                  <c:v>44020</c:v>
                </c:pt>
                <c:pt idx="133">
                  <c:v>44021</c:v>
                </c:pt>
                <c:pt idx="134">
                  <c:v>44022</c:v>
                </c:pt>
                <c:pt idx="135">
                  <c:v>44025</c:v>
                </c:pt>
                <c:pt idx="136">
                  <c:v>44026</c:v>
                </c:pt>
                <c:pt idx="137">
                  <c:v>44027</c:v>
                </c:pt>
                <c:pt idx="138">
                  <c:v>44028</c:v>
                </c:pt>
                <c:pt idx="139">
                  <c:v>44029</c:v>
                </c:pt>
                <c:pt idx="140">
                  <c:v>44032</c:v>
                </c:pt>
                <c:pt idx="141">
                  <c:v>44033</c:v>
                </c:pt>
                <c:pt idx="142">
                  <c:v>44034</c:v>
                </c:pt>
                <c:pt idx="143">
                  <c:v>44035</c:v>
                </c:pt>
                <c:pt idx="144">
                  <c:v>44036</c:v>
                </c:pt>
                <c:pt idx="145">
                  <c:v>44039</c:v>
                </c:pt>
                <c:pt idx="146">
                  <c:v>44040</c:v>
                </c:pt>
                <c:pt idx="147">
                  <c:v>44041</c:v>
                </c:pt>
                <c:pt idx="148">
                  <c:v>44042</c:v>
                </c:pt>
                <c:pt idx="149">
                  <c:v>44043</c:v>
                </c:pt>
                <c:pt idx="150">
                  <c:v>44046</c:v>
                </c:pt>
                <c:pt idx="151">
                  <c:v>44047</c:v>
                </c:pt>
                <c:pt idx="152">
                  <c:v>44048</c:v>
                </c:pt>
                <c:pt idx="153">
                  <c:v>44049</c:v>
                </c:pt>
                <c:pt idx="154">
                  <c:v>44050</c:v>
                </c:pt>
                <c:pt idx="155">
                  <c:v>44053</c:v>
                </c:pt>
                <c:pt idx="156">
                  <c:v>44054</c:v>
                </c:pt>
                <c:pt idx="157">
                  <c:v>44055</c:v>
                </c:pt>
                <c:pt idx="158">
                  <c:v>44056</c:v>
                </c:pt>
                <c:pt idx="159">
                  <c:v>44057</c:v>
                </c:pt>
                <c:pt idx="160">
                  <c:v>44060</c:v>
                </c:pt>
                <c:pt idx="161">
                  <c:v>44061</c:v>
                </c:pt>
                <c:pt idx="162">
                  <c:v>44062</c:v>
                </c:pt>
                <c:pt idx="163">
                  <c:v>44063</c:v>
                </c:pt>
                <c:pt idx="164">
                  <c:v>44064</c:v>
                </c:pt>
                <c:pt idx="165">
                  <c:v>44067</c:v>
                </c:pt>
                <c:pt idx="166">
                  <c:v>44068</c:v>
                </c:pt>
                <c:pt idx="167">
                  <c:v>44069</c:v>
                </c:pt>
                <c:pt idx="168">
                  <c:v>44070</c:v>
                </c:pt>
                <c:pt idx="169">
                  <c:v>44071</c:v>
                </c:pt>
                <c:pt idx="170">
                  <c:v>44074</c:v>
                </c:pt>
                <c:pt idx="171">
                  <c:v>44075</c:v>
                </c:pt>
                <c:pt idx="172">
                  <c:v>44076</c:v>
                </c:pt>
                <c:pt idx="173">
                  <c:v>44077</c:v>
                </c:pt>
                <c:pt idx="174">
                  <c:v>44078</c:v>
                </c:pt>
                <c:pt idx="175">
                  <c:v>44081</c:v>
                </c:pt>
                <c:pt idx="176">
                  <c:v>44082</c:v>
                </c:pt>
                <c:pt idx="177">
                  <c:v>44083</c:v>
                </c:pt>
                <c:pt idx="178">
                  <c:v>44084</c:v>
                </c:pt>
                <c:pt idx="179">
                  <c:v>44085</c:v>
                </c:pt>
                <c:pt idx="180">
                  <c:v>44088</c:v>
                </c:pt>
                <c:pt idx="181">
                  <c:v>44089</c:v>
                </c:pt>
                <c:pt idx="182">
                  <c:v>44090</c:v>
                </c:pt>
                <c:pt idx="183">
                  <c:v>44091</c:v>
                </c:pt>
                <c:pt idx="184">
                  <c:v>44092</c:v>
                </c:pt>
                <c:pt idx="185">
                  <c:v>44095</c:v>
                </c:pt>
                <c:pt idx="186">
                  <c:v>44096</c:v>
                </c:pt>
                <c:pt idx="187">
                  <c:v>44097</c:v>
                </c:pt>
                <c:pt idx="188">
                  <c:v>44098</c:v>
                </c:pt>
                <c:pt idx="189">
                  <c:v>44099</c:v>
                </c:pt>
                <c:pt idx="190">
                  <c:v>44102</c:v>
                </c:pt>
                <c:pt idx="191">
                  <c:v>44103</c:v>
                </c:pt>
                <c:pt idx="192">
                  <c:v>44104</c:v>
                </c:pt>
                <c:pt idx="193">
                  <c:v>44105</c:v>
                </c:pt>
                <c:pt idx="194">
                  <c:v>44106</c:v>
                </c:pt>
                <c:pt idx="195">
                  <c:v>44109</c:v>
                </c:pt>
                <c:pt idx="196">
                  <c:v>44110</c:v>
                </c:pt>
                <c:pt idx="197">
                  <c:v>44111</c:v>
                </c:pt>
                <c:pt idx="198">
                  <c:v>44112</c:v>
                </c:pt>
                <c:pt idx="199">
                  <c:v>44113</c:v>
                </c:pt>
                <c:pt idx="200">
                  <c:v>44116</c:v>
                </c:pt>
                <c:pt idx="201">
                  <c:v>44117</c:v>
                </c:pt>
                <c:pt idx="202">
                  <c:v>44118</c:v>
                </c:pt>
                <c:pt idx="203">
                  <c:v>44119</c:v>
                </c:pt>
                <c:pt idx="204">
                  <c:v>44120</c:v>
                </c:pt>
                <c:pt idx="205">
                  <c:v>44123</c:v>
                </c:pt>
                <c:pt idx="206">
                  <c:v>44124</c:v>
                </c:pt>
                <c:pt idx="207">
                  <c:v>44125</c:v>
                </c:pt>
                <c:pt idx="208">
                  <c:v>44126</c:v>
                </c:pt>
                <c:pt idx="209">
                  <c:v>44127</c:v>
                </c:pt>
                <c:pt idx="210">
                  <c:v>44130</c:v>
                </c:pt>
                <c:pt idx="211">
                  <c:v>44131</c:v>
                </c:pt>
                <c:pt idx="212">
                  <c:v>44132</c:v>
                </c:pt>
                <c:pt idx="213">
                  <c:v>44133</c:v>
                </c:pt>
                <c:pt idx="214">
                  <c:v>44134</c:v>
                </c:pt>
                <c:pt idx="215">
                  <c:v>44137</c:v>
                </c:pt>
                <c:pt idx="216">
                  <c:v>44138</c:v>
                </c:pt>
                <c:pt idx="217">
                  <c:v>44139</c:v>
                </c:pt>
                <c:pt idx="218">
                  <c:v>44140</c:v>
                </c:pt>
                <c:pt idx="219">
                  <c:v>44141</c:v>
                </c:pt>
                <c:pt idx="220">
                  <c:v>44144</c:v>
                </c:pt>
                <c:pt idx="221">
                  <c:v>44145</c:v>
                </c:pt>
                <c:pt idx="222">
                  <c:v>44146</c:v>
                </c:pt>
                <c:pt idx="223">
                  <c:v>44147</c:v>
                </c:pt>
                <c:pt idx="224">
                  <c:v>44148</c:v>
                </c:pt>
                <c:pt idx="225">
                  <c:v>44151</c:v>
                </c:pt>
                <c:pt idx="226">
                  <c:v>44152</c:v>
                </c:pt>
                <c:pt idx="227">
                  <c:v>44153</c:v>
                </c:pt>
                <c:pt idx="228">
                  <c:v>44154</c:v>
                </c:pt>
                <c:pt idx="229">
                  <c:v>44155</c:v>
                </c:pt>
                <c:pt idx="230">
                  <c:v>44158</c:v>
                </c:pt>
                <c:pt idx="231">
                  <c:v>44159</c:v>
                </c:pt>
                <c:pt idx="232">
                  <c:v>44160</c:v>
                </c:pt>
                <c:pt idx="233">
                  <c:v>44162</c:v>
                </c:pt>
                <c:pt idx="234">
                  <c:v>44165</c:v>
                </c:pt>
                <c:pt idx="235">
                  <c:v>44166</c:v>
                </c:pt>
                <c:pt idx="236">
                  <c:v>44167</c:v>
                </c:pt>
                <c:pt idx="237">
                  <c:v>44168</c:v>
                </c:pt>
                <c:pt idx="238">
                  <c:v>44169</c:v>
                </c:pt>
                <c:pt idx="239">
                  <c:v>44172</c:v>
                </c:pt>
                <c:pt idx="240">
                  <c:v>44173</c:v>
                </c:pt>
                <c:pt idx="241">
                  <c:v>44174</c:v>
                </c:pt>
                <c:pt idx="242">
                  <c:v>44175</c:v>
                </c:pt>
                <c:pt idx="243">
                  <c:v>44176</c:v>
                </c:pt>
                <c:pt idx="244">
                  <c:v>44179</c:v>
                </c:pt>
                <c:pt idx="245">
                  <c:v>44180</c:v>
                </c:pt>
                <c:pt idx="246">
                  <c:v>44181</c:v>
                </c:pt>
                <c:pt idx="247">
                  <c:v>44182</c:v>
                </c:pt>
                <c:pt idx="248">
                  <c:v>44183</c:v>
                </c:pt>
                <c:pt idx="249">
                  <c:v>44186</c:v>
                </c:pt>
                <c:pt idx="250">
                  <c:v>44187</c:v>
                </c:pt>
                <c:pt idx="251">
                  <c:v>44188</c:v>
                </c:pt>
                <c:pt idx="252">
                  <c:v>44189</c:v>
                </c:pt>
                <c:pt idx="253">
                  <c:v>44193</c:v>
                </c:pt>
                <c:pt idx="254">
                  <c:v>44194</c:v>
                </c:pt>
                <c:pt idx="255">
                  <c:v>44195</c:v>
                </c:pt>
                <c:pt idx="256">
                  <c:v>44196</c:v>
                </c:pt>
                <c:pt idx="257">
                  <c:v>44197</c:v>
                </c:pt>
                <c:pt idx="258">
                  <c:v>44200</c:v>
                </c:pt>
                <c:pt idx="259">
                  <c:v>44201</c:v>
                </c:pt>
                <c:pt idx="260">
                  <c:v>44202</c:v>
                </c:pt>
                <c:pt idx="261">
                  <c:v>44203</c:v>
                </c:pt>
                <c:pt idx="262">
                  <c:v>44204</c:v>
                </c:pt>
                <c:pt idx="263">
                  <c:v>44207</c:v>
                </c:pt>
                <c:pt idx="264">
                  <c:v>44208</c:v>
                </c:pt>
                <c:pt idx="265">
                  <c:v>44209</c:v>
                </c:pt>
                <c:pt idx="266">
                  <c:v>44210</c:v>
                </c:pt>
                <c:pt idx="267">
                  <c:v>44211</c:v>
                </c:pt>
                <c:pt idx="268">
                  <c:v>44215</c:v>
                </c:pt>
                <c:pt idx="269">
                  <c:v>44216</c:v>
                </c:pt>
                <c:pt idx="270">
                  <c:v>44217</c:v>
                </c:pt>
                <c:pt idx="271">
                  <c:v>44218</c:v>
                </c:pt>
                <c:pt idx="272">
                  <c:v>44221</c:v>
                </c:pt>
                <c:pt idx="273">
                  <c:v>44222</c:v>
                </c:pt>
                <c:pt idx="274">
                  <c:v>44223</c:v>
                </c:pt>
                <c:pt idx="275">
                  <c:v>44224</c:v>
                </c:pt>
                <c:pt idx="276">
                  <c:v>44225</c:v>
                </c:pt>
                <c:pt idx="277">
                  <c:v>44228</c:v>
                </c:pt>
                <c:pt idx="278">
                  <c:v>44229</c:v>
                </c:pt>
                <c:pt idx="279">
                  <c:v>44230</c:v>
                </c:pt>
                <c:pt idx="280">
                  <c:v>44231</c:v>
                </c:pt>
                <c:pt idx="281">
                  <c:v>44232</c:v>
                </c:pt>
                <c:pt idx="282">
                  <c:v>44235</c:v>
                </c:pt>
                <c:pt idx="283">
                  <c:v>44236</c:v>
                </c:pt>
                <c:pt idx="284">
                  <c:v>44237</c:v>
                </c:pt>
                <c:pt idx="285">
                  <c:v>44238</c:v>
                </c:pt>
                <c:pt idx="286">
                  <c:v>44239</c:v>
                </c:pt>
                <c:pt idx="287">
                  <c:v>44241</c:v>
                </c:pt>
                <c:pt idx="288">
                  <c:v>44242</c:v>
                </c:pt>
                <c:pt idx="289">
                  <c:v>44243</c:v>
                </c:pt>
                <c:pt idx="290">
                  <c:v>44244</c:v>
                </c:pt>
                <c:pt idx="291">
                  <c:v>44245</c:v>
                </c:pt>
                <c:pt idx="292">
                  <c:v>44246</c:v>
                </c:pt>
                <c:pt idx="293">
                  <c:v>44249</c:v>
                </c:pt>
                <c:pt idx="294">
                  <c:v>44250</c:v>
                </c:pt>
                <c:pt idx="295">
                  <c:v>44251</c:v>
                </c:pt>
                <c:pt idx="296">
                  <c:v>44252</c:v>
                </c:pt>
                <c:pt idx="297">
                  <c:v>44253</c:v>
                </c:pt>
                <c:pt idx="298">
                  <c:v>44256</c:v>
                </c:pt>
                <c:pt idx="299">
                  <c:v>44257</c:v>
                </c:pt>
                <c:pt idx="300">
                  <c:v>44258</c:v>
                </c:pt>
                <c:pt idx="301">
                  <c:v>44259</c:v>
                </c:pt>
                <c:pt idx="302">
                  <c:v>44260</c:v>
                </c:pt>
                <c:pt idx="303">
                  <c:v>44263</c:v>
                </c:pt>
                <c:pt idx="304">
                  <c:v>44264</c:v>
                </c:pt>
                <c:pt idx="305">
                  <c:v>44265</c:v>
                </c:pt>
                <c:pt idx="306">
                  <c:v>44266</c:v>
                </c:pt>
                <c:pt idx="307">
                  <c:v>44267</c:v>
                </c:pt>
                <c:pt idx="308">
                  <c:v>44270</c:v>
                </c:pt>
                <c:pt idx="309">
                  <c:v>44271</c:v>
                </c:pt>
                <c:pt idx="310">
                  <c:v>44272</c:v>
                </c:pt>
                <c:pt idx="311">
                  <c:v>44273</c:v>
                </c:pt>
                <c:pt idx="312">
                  <c:v>44274</c:v>
                </c:pt>
                <c:pt idx="313">
                  <c:v>44277</c:v>
                </c:pt>
                <c:pt idx="314">
                  <c:v>44278</c:v>
                </c:pt>
                <c:pt idx="315">
                  <c:v>44279</c:v>
                </c:pt>
                <c:pt idx="316">
                  <c:v>44280</c:v>
                </c:pt>
                <c:pt idx="317">
                  <c:v>44281</c:v>
                </c:pt>
                <c:pt idx="318">
                  <c:v>44284</c:v>
                </c:pt>
                <c:pt idx="319">
                  <c:v>44285</c:v>
                </c:pt>
                <c:pt idx="320">
                  <c:v>44286</c:v>
                </c:pt>
                <c:pt idx="321">
                  <c:v>44287</c:v>
                </c:pt>
                <c:pt idx="322">
                  <c:v>44291</c:v>
                </c:pt>
                <c:pt idx="323">
                  <c:v>44292</c:v>
                </c:pt>
                <c:pt idx="324">
                  <c:v>44293</c:v>
                </c:pt>
                <c:pt idx="325">
                  <c:v>44294</c:v>
                </c:pt>
                <c:pt idx="326">
                  <c:v>44295</c:v>
                </c:pt>
                <c:pt idx="327">
                  <c:v>44298</c:v>
                </c:pt>
                <c:pt idx="328">
                  <c:v>44299</c:v>
                </c:pt>
                <c:pt idx="329">
                  <c:v>44300</c:v>
                </c:pt>
                <c:pt idx="330">
                  <c:v>44301</c:v>
                </c:pt>
                <c:pt idx="331">
                  <c:v>44302</c:v>
                </c:pt>
                <c:pt idx="332">
                  <c:v>44305</c:v>
                </c:pt>
                <c:pt idx="333">
                  <c:v>44306</c:v>
                </c:pt>
                <c:pt idx="334">
                  <c:v>44307</c:v>
                </c:pt>
                <c:pt idx="335">
                  <c:v>44308</c:v>
                </c:pt>
                <c:pt idx="336">
                  <c:v>44309</c:v>
                </c:pt>
                <c:pt idx="337">
                  <c:v>44312</c:v>
                </c:pt>
                <c:pt idx="338">
                  <c:v>44313</c:v>
                </c:pt>
                <c:pt idx="339">
                  <c:v>44314</c:v>
                </c:pt>
                <c:pt idx="340">
                  <c:v>44315</c:v>
                </c:pt>
                <c:pt idx="341">
                  <c:v>44316</c:v>
                </c:pt>
                <c:pt idx="342">
                  <c:v>44319</c:v>
                </c:pt>
                <c:pt idx="343">
                  <c:v>44320</c:v>
                </c:pt>
                <c:pt idx="344">
                  <c:v>44321</c:v>
                </c:pt>
                <c:pt idx="345">
                  <c:v>44322</c:v>
                </c:pt>
                <c:pt idx="346">
                  <c:v>44323</c:v>
                </c:pt>
                <c:pt idx="347">
                  <c:v>44326</c:v>
                </c:pt>
                <c:pt idx="348">
                  <c:v>44327</c:v>
                </c:pt>
                <c:pt idx="349">
                  <c:v>44328</c:v>
                </c:pt>
                <c:pt idx="350">
                  <c:v>44329</c:v>
                </c:pt>
                <c:pt idx="351">
                  <c:v>44330</c:v>
                </c:pt>
                <c:pt idx="352">
                  <c:v>44333</c:v>
                </c:pt>
                <c:pt idx="353">
                  <c:v>44334</c:v>
                </c:pt>
                <c:pt idx="354">
                  <c:v>44335</c:v>
                </c:pt>
                <c:pt idx="355">
                  <c:v>44336</c:v>
                </c:pt>
                <c:pt idx="356">
                  <c:v>44337</c:v>
                </c:pt>
                <c:pt idx="357">
                  <c:v>44340</c:v>
                </c:pt>
                <c:pt idx="358">
                  <c:v>44341</c:v>
                </c:pt>
                <c:pt idx="359">
                  <c:v>44342</c:v>
                </c:pt>
                <c:pt idx="360">
                  <c:v>44343</c:v>
                </c:pt>
                <c:pt idx="361">
                  <c:v>44344</c:v>
                </c:pt>
                <c:pt idx="362">
                  <c:v>44347</c:v>
                </c:pt>
                <c:pt idx="363">
                  <c:v>44348</c:v>
                </c:pt>
                <c:pt idx="364">
                  <c:v>44349</c:v>
                </c:pt>
                <c:pt idx="365">
                  <c:v>44350</c:v>
                </c:pt>
                <c:pt idx="366">
                  <c:v>44351</c:v>
                </c:pt>
                <c:pt idx="367">
                  <c:v>44354</c:v>
                </c:pt>
                <c:pt idx="368">
                  <c:v>44355</c:v>
                </c:pt>
                <c:pt idx="369">
                  <c:v>44356</c:v>
                </c:pt>
                <c:pt idx="370">
                  <c:v>44357</c:v>
                </c:pt>
                <c:pt idx="371">
                  <c:v>44358</c:v>
                </c:pt>
                <c:pt idx="372">
                  <c:v>44361</c:v>
                </c:pt>
                <c:pt idx="373">
                  <c:v>44362</c:v>
                </c:pt>
                <c:pt idx="374">
                  <c:v>44363</c:v>
                </c:pt>
                <c:pt idx="375">
                  <c:v>44364</c:v>
                </c:pt>
                <c:pt idx="376">
                  <c:v>44365</c:v>
                </c:pt>
                <c:pt idx="377">
                  <c:v>44368</c:v>
                </c:pt>
                <c:pt idx="378">
                  <c:v>44369</c:v>
                </c:pt>
                <c:pt idx="379">
                  <c:v>44370</c:v>
                </c:pt>
                <c:pt idx="380">
                  <c:v>44371</c:v>
                </c:pt>
                <c:pt idx="381">
                  <c:v>44372</c:v>
                </c:pt>
                <c:pt idx="382">
                  <c:v>44375</c:v>
                </c:pt>
                <c:pt idx="383">
                  <c:v>44376</c:v>
                </c:pt>
                <c:pt idx="384">
                  <c:v>44377</c:v>
                </c:pt>
                <c:pt idx="385">
                  <c:v>44378</c:v>
                </c:pt>
                <c:pt idx="386">
                  <c:v>44379</c:v>
                </c:pt>
                <c:pt idx="387">
                  <c:v>44383</c:v>
                </c:pt>
                <c:pt idx="388">
                  <c:v>44384</c:v>
                </c:pt>
                <c:pt idx="389">
                  <c:v>44385</c:v>
                </c:pt>
                <c:pt idx="390">
                  <c:v>44386</c:v>
                </c:pt>
                <c:pt idx="391">
                  <c:v>44389</c:v>
                </c:pt>
                <c:pt idx="392">
                  <c:v>44390</c:v>
                </c:pt>
                <c:pt idx="393">
                  <c:v>44391</c:v>
                </c:pt>
                <c:pt idx="394">
                  <c:v>44392</c:v>
                </c:pt>
                <c:pt idx="395">
                  <c:v>44393</c:v>
                </c:pt>
                <c:pt idx="396">
                  <c:v>44396</c:v>
                </c:pt>
                <c:pt idx="397">
                  <c:v>44397</c:v>
                </c:pt>
                <c:pt idx="398">
                  <c:v>44398</c:v>
                </c:pt>
                <c:pt idx="399">
                  <c:v>44399</c:v>
                </c:pt>
                <c:pt idx="400">
                  <c:v>44400</c:v>
                </c:pt>
                <c:pt idx="401">
                  <c:v>44403</c:v>
                </c:pt>
                <c:pt idx="402">
                  <c:v>44404</c:v>
                </c:pt>
                <c:pt idx="403">
                  <c:v>44405</c:v>
                </c:pt>
                <c:pt idx="404">
                  <c:v>44406</c:v>
                </c:pt>
                <c:pt idx="405">
                  <c:v>44407</c:v>
                </c:pt>
                <c:pt idx="406">
                  <c:v>44410</c:v>
                </c:pt>
                <c:pt idx="407">
                  <c:v>44411</c:v>
                </c:pt>
                <c:pt idx="408">
                  <c:v>44412</c:v>
                </c:pt>
                <c:pt idx="409">
                  <c:v>44413</c:v>
                </c:pt>
                <c:pt idx="410">
                  <c:v>44414</c:v>
                </c:pt>
                <c:pt idx="411">
                  <c:v>44417</c:v>
                </c:pt>
                <c:pt idx="412">
                  <c:v>44418</c:v>
                </c:pt>
                <c:pt idx="413">
                  <c:v>44419</c:v>
                </c:pt>
                <c:pt idx="414">
                  <c:v>44420</c:v>
                </c:pt>
                <c:pt idx="415">
                  <c:v>44421</c:v>
                </c:pt>
                <c:pt idx="416">
                  <c:v>44424</c:v>
                </c:pt>
                <c:pt idx="417">
                  <c:v>44425</c:v>
                </c:pt>
                <c:pt idx="418">
                  <c:v>44426</c:v>
                </c:pt>
                <c:pt idx="419">
                  <c:v>44427</c:v>
                </c:pt>
                <c:pt idx="420">
                  <c:v>44428</c:v>
                </c:pt>
                <c:pt idx="421">
                  <c:v>44431</c:v>
                </c:pt>
                <c:pt idx="422">
                  <c:v>44432</c:v>
                </c:pt>
                <c:pt idx="423">
                  <c:v>44433</c:v>
                </c:pt>
                <c:pt idx="424">
                  <c:v>44434</c:v>
                </c:pt>
                <c:pt idx="425">
                  <c:v>44435</c:v>
                </c:pt>
                <c:pt idx="426">
                  <c:v>44438</c:v>
                </c:pt>
                <c:pt idx="427">
                  <c:v>44439</c:v>
                </c:pt>
                <c:pt idx="428">
                  <c:v>44440</c:v>
                </c:pt>
                <c:pt idx="429">
                  <c:v>44441</c:v>
                </c:pt>
                <c:pt idx="430">
                  <c:v>44442</c:v>
                </c:pt>
                <c:pt idx="431">
                  <c:v>44445</c:v>
                </c:pt>
                <c:pt idx="432">
                  <c:v>44446</c:v>
                </c:pt>
                <c:pt idx="433">
                  <c:v>44447</c:v>
                </c:pt>
                <c:pt idx="434">
                  <c:v>44448</c:v>
                </c:pt>
                <c:pt idx="435">
                  <c:v>44449</c:v>
                </c:pt>
                <c:pt idx="436">
                  <c:v>44452</c:v>
                </c:pt>
                <c:pt idx="437">
                  <c:v>44453</c:v>
                </c:pt>
                <c:pt idx="438">
                  <c:v>44454</c:v>
                </c:pt>
                <c:pt idx="439">
                  <c:v>44455</c:v>
                </c:pt>
                <c:pt idx="440">
                  <c:v>44456</c:v>
                </c:pt>
                <c:pt idx="441">
                  <c:v>44459</c:v>
                </c:pt>
                <c:pt idx="442">
                  <c:v>44460</c:v>
                </c:pt>
                <c:pt idx="443">
                  <c:v>44461</c:v>
                </c:pt>
                <c:pt idx="444">
                  <c:v>44462</c:v>
                </c:pt>
                <c:pt idx="445">
                  <c:v>44463</c:v>
                </c:pt>
                <c:pt idx="446">
                  <c:v>44466</c:v>
                </c:pt>
                <c:pt idx="447">
                  <c:v>44467</c:v>
                </c:pt>
                <c:pt idx="448">
                  <c:v>44468</c:v>
                </c:pt>
                <c:pt idx="449">
                  <c:v>44469</c:v>
                </c:pt>
                <c:pt idx="450">
                  <c:v>44470</c:v>
                </c:pt>
                <c:pt idx="451">
                  <c:v>44473</c:v>
                </c:pt>
                <c:pt idx="452">
                  <c:v>44474</c:v>
                </c:pt>
                <c:pt idx="453">
                  <c:v>44475</c:v>
                </c:pt>
                <c:pt idx="454">
                  <c:v>44476</c:v>
                </c:pt>
                <c:pt idx="455">
                  <c:v>44477</c:v>
                </c:pt>
                <c:pt idx="456">
                  <c:v>44480</c:v>
                </c:pt>
                <c:pt idx="457">
                  <c:v>44481</c:v>
                </c:pt>
                <c:pt idx="458">
                  <c:v>44482</c:v>
                </c:pt>
                <c:pt idx="459">
                  <c:v>44483</c:v>
                </c:pt>
                <c:pt idx="460">
                  <c:v>44484</c:v>
                </c:pt>
                <c:pt idx="461">
                  <c:v>44487</c:v>
                </c:pt>
                <c:pt idx="462">
                  <c:v>44488</c:v>
                </c:pt>
                <c:pt idx="463">
                  <c:v>44489</c:v>
                </c:pt>
                <c:pt idx="464">
                  <c:v>44490</c:v>
                </c:pt>
                <c:pt idx="465">
                  <c:v>44491</c:v>
                </c:pt>
                <c:pt idx="466">
                  <c:v>44494</c:v>
                </c:pt>
                <c:pt idx="467">
                  <c:v>44495</c:v>
                </c:pt>
                <c:pt idx="468">
                  <c:v>44496</c:v>
                </c:pt>
                <c:pt idx="469">
                  <c:v>44497</c:v>
                </c:pt>
                <c:pt idx="470">
                  <c:v>44498</c:v>
                </c:pt>
                <c:pt idx="471">
                  <c:v>44501</c:v>
                </c:pt>
                <c:pt idx="472">
                  <c:v>44502</c:v>
                </c:pt>
                <c:pt idx="473">
                  <c:v>44503</c:v>
                </c:pt>
                <c:pt idx="474">
                  <c:v>44504</c:v>
                </c:pt>
                <c:pt idx="475">
                  <c:v>44505</c:v>
                </c:pt>
                <c:pt idx="476">
                  <c:v>44508</c:v>
                </c:pt>
                <c:pt idx="477">
                  <c:v>44509</c:v>
                </c:pt>
                <c:pt idx="478">
                  <c:v>44510</c:v>
                </c:pt>
                <c:pt idx="479">
                  <c:v>44511</c:v>
                </c:pt>
                <c:pt idx="480">
                  <c:v>44512</c:v>
                </c:pt>
                <c:pt idx="481">
                  <c:v>44515</c:v>
                </c:pt>
                <c:pt idx="482">
                  <c:v>44516</c:v>
                </c:pt>
                <c:pt idx="483">
                  <c:v>44517</c:v>
                </c:pt>
                <c:pt idx="484">
                  <c:v>44518</c:v>
                </c:pt>
                <c:pt idx="485">
                  <c:v>44519</c:v>
                </c:pt>
                <c:pt idx="486">
                  <c:v>44522</c:v>
                </c:pt>
                <c:pt idx="487">
                  <c:v>44523</c:v>
                </c:pt>
                <c:pt idx="488">
                  <c:v>44524</c:v>
                </c:pt>
                <c:pt idx="489">
                  <c:v>44526</c:v>
                </c:pt>
                <c:pt idx="490">
                  <c:v>44529</c:v>
                </c:pt>
                <c:pt idx="491">
                  <c:v>44530</c:v>
                </c:pt>
                <c:pt idx="492">
                  <c:v>44531</c:v>
                </c:pt>
                <c:pt idx="493">
                  <c:v>44532</c:v>
                </c:pt>
                <c:pt idx="494">
                  <c:v>44533</c:v>
                </c:pt>
                <c:pt idx="495">
                  <c:v>44536</c:v>
                </c:pt>
                <c:pt idx="496">
                  <c:v>44537</c:v>
                </c:pt>
                <c:pt idx="497">
                  <c:v>44538</c:v>
                </c:pt>
                <c:pt idx="498">
                  <c:v>44539</c:v>
                </c:pt>
                <c:pt idx="499">
                  <c:v>44540</c:v>
                </c:pt>
                <c:pt idx="500">
                  <c:v>44543</c:v>
                </c:pt>
                <c:pt idx="501">
                  <c:v>44544</c:v>
                </c:pt>
                <c:pt idx="502">
                  <c:v>44545</c:v>
                </c:pt>
                <c:pt idx="503">
                  <c:v>44546</c:v>
                </c:pt>
                <c:pt idx="504">
                  <c:v>44547</c:v>
                </c:pt>
                <c:pt idx="505">
                  <c:v>44550</c:v>
                </c:pt>
                <c:pt idx="506">
                  <c:v>44551</c:v>
                </c:pt>
                <c:pt idx="507">
                  <c:v>44552</c:v>
                </c:pt>
                <c:pt idx="508">
                  <c:v>44553</c:v>
                </c:pt>
                <c:pt idx="509">
                  <c:v>44554</c:v>
                </c:pt>
                <c:pt idx="510">
                  <c:v>44557</c:v>
                </c:pt>
                <c:pt idx="511">
                  <c:v>44558</c:v>
                </c:pt>
                <c:pt idx="512">
                  <c:v>44559</c:v>
                </c:pt>
                <c:pt idx="513">
                  <c:v>44560</c:v>
                </c:pt>
                <c:pt idx="514">
                  <c:v>44561</c:v>
                </c:pt>
                <c:pt idx="515">
                  <c:v>44564</c:v>
                </c:pt>
                <c:pt idx="516">
                  <c:v>44565</c:v>
                </c:pt>
                <c:pt idx="517">
                  <c:v>44566</c:v>
                </c:pt>
                <c:pt idx="518">
                  <c:v>44567</c:v>
                </c:pt>
                <c:pt idx="519">
                  <c:v>44568</c:v>
                </c:pt>
                <c:pt idx="520">
                  <c:v>44571</c:v>
                </c:pt>
                <c:pt idx="521">
                  <c:v>44572</c:v>
                </c:pt>
                <c:pt idx="522">
                  <c:v>44573</c:v>
                </c:pt>
                <c:pt idx="523">
                  <c:v>44574</c:v>
                </c:pt>
                <c:pt idx="524">
                  <c:v>44575</c:v>
                </c:pt>
                <c:pt idx="525">
                  <c:v>44579</c:v>
                </c:pt>
                <c:pt idx="526">
                  <c:v>44580</c:v>
                </c:pt>
                <c:pt idx="527">
                  <c:v>44581</c:v>
                </c:pt>
                <c:pt idx="528">
                  <c:v>44582</c:v>
                </c:pt>
                <c:pt idx="529">
                  <c:v>44585</c:v>
                </c:pt>
                <c:pt idx="530">
                  <c:v>44586</c:v>
                </c:pt>
                <c:pt idx="531">
                  <c:v>44587</c:v>
                </c:pt>
                <c:pt idx="532">
                  <c:v>44588</c:v>
                </c:pt>
                <c:pt idx="533">
                  <c:v>44589</c:v>
                </c:pt>
                <c:pt idx="534">
                  <c:v>44592</c:v>
                </c:pt>
                <c:pt idx="535">
                  <c:v>44593</c:v>
                </c:pt>
                <c:pt idx="536">
                  <c:v>44594</c:v>
                </c:pt>
                <c:pt idx="537">
                  <c:v>44595</c:v>
                </c:pt>
                <c:pt idx="538">
                  <c:v>44596</c:v>
                </c:pt>
                <c:pt idx="539">
                  <c:v>44599</c:v>
                </c:pt>
                <c:pt idx="540">
                  <c:v>44600</c:v>
                </c:pt>
                <c:pt idx="541">
                  <c:v>44601</c:v>
                </c:pt>
                <c:pt idx="542">
                  <c:v>44602</c:v>
                </c:pt>
                <c:pt idx="543">
                  <c:v>44603</c:v>
                </c:pt>
                <c:pt idx="544">
                  <c:v>44606</c:v>
                </c:pt>
                <c:pt idx="545">
                  <c:v>44607</c:v>
                </c:pt>
                <c:pt idx="546">
                  <c:v>44608</c:v>
                </c:pt>
                <c:pt idx="547">
                  <c:v>44609</c:v>
                </c:pt>
                <c:pt idx="548">
                  <c:v>44610</c:v>
                </c:pt>
                <c:pt idx="549">
                  <c:v>44614</c:v>
                </c:pt>
                <c:pt idx="550">
                  <c:v>44615</c:v>
                </c:pt>
                <c:pt idx="551">
                  <c:v>44616</c:v>
                </c:pt>
                <c:pt idx="552">
                  <c:v>44617</c:v>
                </c:pt>
                <c:pt idx="553">
                  <c:v>44620</c:v>
                </c:pt>
                <c:pt idx="554">
                  <c:v>44621</c:v>
                </c:pt>
                <c:pt idx="555">
                  <c:v>44622</c:v>
                </c:pt>
                <c:pt idx="556">
                  <c:v>44623</c:v>
                </c:pt>
                <c:pt idx="557">
                  <c:v>44624</c:v>
                </c:pt>
                <c:pt idx="558">
                  <c:v>44627</c:v>
                </c:pt>
                <c:pt idx="559">
                  <c:v>44628</c:v>
                </c:pt>
                <c:pt idx="560">
                  <c:v>44629</c:v>
                </c:pt>
                <c:pt idx="561">
                  <c:v>44630</c:v>
                </c:pt>
                <c:pt idx="562">
                  <c:v>44631</c:v>
                </c:pt>
                <c:pt idx="563">
                  <c:v>44634</c:v>
                </c:pt>
                <c:pt idx="564">
                  <c:v>44635</c:v>
                </c:pt>
                <c:pt idx="565">
                  <c:v>44636</c:v>
                </c:pt>
                <c:pt idx="566">
                  <c:v>44637</c:v>
                </c:pt>
                <c:pt idx="567">
                  <c:v>44638</c:v>
                </c:pt>
                <c:pt idx="568">
                  <c:v>44641</c:v>
                </c:pt>
                <c:pt idx="569">
                  <c:v>44642</c:v>
                </c:pt>
                <c:pt idx="570">
                  <c:v>44643</c:v>
                </c:pt>
                <c:pt idx="571">
                  <c:v>44644</c:v>
                </c:pt>
                <c:pt idx="572">
                  <c:v>44645</c:v>
                </c:pt>
                <c:pt idx="573">
                  <c:v>44648</c:v>
                </c:pt>
                <c:pt idx="574">
                  <c:v>44649</c:v>
                </c:pt>
                <c:pt idx="575">
                  <c:v>44650</c:v>
                </c:pt>
                <c:pt idx="576">
                  <c:v>44651</c:v>
                </c:pt>
                <c:pt idx="577">
                  <c:v>44652</c:v>
                </c:pt>
                <c:pt idx="578">
                  <c:v>44655</c:v>
                </c:pt>
                <c:pt idx="579">
                  <c:v>44656</c:v>
                </c:pt>
                <c:pt idx="580">
                  <c:v>44657</c:v>
                </c:pt>
                <c:pt idx="581">
                  <c:v>44658</c:v>
                </c:pt>
                <c:pt idx="582">
                  <c:v>44659</c:v>
                </c:pt>
                <c:pt idx="583">
                  <c:v>44662</c:v>
                </c:pt>
                <c:pt idx="584">
                  <c:v>44663</c:v>
                </c:pt>
                <c:pt idx="585">
                  <c:v>44664</c:v>
                </c:pt>
                <c:pt idx="586">
                  <c:v>44665</c:v>
                </c:pt>
                <c:pt idx="587">
                  <c:v>44666</c:v>
                </c:pt>
                <c:pt idx="588">
                  <c:v>44669</c:v>
                </c:pt>
                <c:pt idx="589">
                  <c:v>44670</c:v>
                </c:pt>
                <c:pt idx="590">
                  <c:v>44671</c:v>
                </c:pt>
                <c:pt idx="591">
                  <c:v>44672</c:v>
                </c:pt>
                <c:pt idx="592">
                  <c:v>44673</c:v>
                </c:pt>
                <c:pt idx="593">
                  <c:v>44676</c:v>
                </c:pt>
                <c:pt idx="594">
                  <c:v>44677</c:v>
                </c:pt>
                <c:pt idx="595">
                  <c:v>44678</c:v>
                </c:pt>
                <c:pt idx="596">
                  <c:v>44679</c:v>
                </c:pt>
                <c:pt idx="597">
                  <c:v>44680</c:v>
                </c:pt>
                <c:pt idx="598">
                  <c:v>44683</c:v>
                </c:pt>
                <c:pt idx="599">
                  <c:v>44684</c:v>
                </c:pt>
                <c:pt idx="600">
                  <c:v>44685</c:v>
                </c:pt>
                <c:pt idx="601">
                  <c:v>44686</c:v>
                </c:pt>
                <c:pt idx="602">
                  <c:v>44687</c:v>
                </c:pt>
                <c:pt idx="603">
                  <c:v>44690</c:v>
                </c:pt>
                <c:pt idx="604">
                  <c:v>44691</c:v>
                </c:pt>
                <c:pt idx="605">
                  <c:v>44692</c:v>
                </c:pt>
                <c:pt idx="606">
                  <c:v>44693</c:v>
                </c:pt>
                <c:pt idx="607">
                  <c:v>44694</c:v>
                </c:pt>
                <c:pt idx="608">
                  <c:v>44697</c:v>
                </c:pt>
                <c:pt idx="609">
                  <c:v>44698</c:v>
                </c:pt>
                <c:pt idx="610">
                  <c:v>44699</c:v>
                </c:pt>
                <c:pt idx="611">
                  <c:v>44700</c:v>
                </c:pt>
                <c:pt idx="612">
                  <c:v>44701</c:v>
                </c:pt>
                <c:pt idx="613">
                  <c:v>44704</c:v>
                </c:pt>
                <c:pt idx="614">
                  <c:v>44705</c:v>
                </c:pt>
                <c:pt idx="615">
                  <c:v>44706</c:v>
                </c:pt>
                <c:pt idx="616">
                  <c:v>44707</c:v>
                </c:pt>
                <c:pt idx="617">
                  <c:v>44708</c:v>
                </c:pt>
                <c:pt idx="618">
                  <c:v>44711</c:v>
                </c:pt>
                <c:pt idx="619">
                  <c:v>44712</c:v>
                </c:pt>
                <c:pt idx="620">
                  <c:v>44713</c:v>
                </c:pt>
                <c:pt idx="621">
                  <c:v>44714</c:v>
                </c:pt>
                <c:pt idx="622">
                  <c:v>44715</c:v>
                </c:pt>
                <c:pt idx="623">
                  <c:v>44718</c:v>
                </c:pt>
                <c:pt idx="624">
                  <c:v>44719</c:v>
                </c:pt>
                <c:pt idx="625">
                  <c:v>44720</c:v>
                </c:pt>
                <c:pt idx="626">
                  <c:v>44721</c:v>
                </c:pt>
                <c:pt idx="627">
                  <c:v>44722</c:v>
                </c:pt>
                <c:pt idx="628">
                  <c:v>44725</c:v>
                </c:pt>
                <c:pt idx="629">
                  <c:v>44726</c:v>
                </c:pt>
                <c:pt idx="630">
                  <c:v>44727</c:v>
                </c:pt>
                <c:pt idx="631">
                  <c:v>44728</c:v>
                </c:pt>
                <c:pt idx="632">
                  <c:v>44729</c:v>
                </c:pt>
                <c:pt idx="633">
                  <c:v>44733</c:v>
                </c:pt>
                <c:pt idx="634">
                  <c:v>44734</c:v>
                </c:pt>
                <c:pt idx="635">
                  <c:v>44735</c:v>
                </c:pt>
                <c:pt idx="636">
                  <c:v>44736</c:v>
                </c:pt>
                <c:pt idx="637">
                  <c:v>44739</c:v>
                </c:pt>
                <c:pt idx="638">
                  <c:v>44740</c:v>
                </c:pt>
                <c:pt idx="639">
                  <c:v>44741</c:v>
                </c:pt>
                <c:pt idx="640">
                  <c:v>44742</c:v>
                </c:pt>
                <c:pt idx="641">
                  <c:v>44743</c:v>
                </c:pt>
                <c:pt idx="642">
                  <c:v>44747</c:v>
                </c:pt>
                <c:pt idx="643">
                  <c:v>44748</c:v>
                </c:pt>
                <c:pt idx="644">
                  <c:v>44749</c:v>
                </c:pt>
                <c:pt idx="645">
                  <c:v>44750</c:v>
                </c:pt>
                <c:pt idx="646">
                  <c:v>44753</c:v>
                </c:pt>
                <c:pt idx="647">
                  <c:v>44754</c:v>
                </c:pt>
                <c:pt idx="648">
                  <c:v>44755</c:v>
                </c:pt>
                <c:pt idx="649">
                  <c:v>44756</c:v>
                </c:pt>
                <c:pt idx="650">
                  <c:v>44757</c:v>
                </c:pt>
                <c:pt idx="651">
                  <c:v>44760</c:v>
                </c:pt>
                <c:pt idx="652">
                  <c:v>44761</c:v>
                </c:pt>
                <c:pt idx="653">
                  <c:v>44762</c:v>
                </c:pt>
                <c:pt idx="654">
                  <c:v>44763</c:v>
                </c:pt>
                <c:pt idx="655">
                  <c:v>44764</c:v>
                </c:pt>
                <c:pt idx="656">
                  <c:v>44767</c:v>
                </c:pt>
                <c:pt idx="657">
                  <c:v>44768</c:v>
                </c:pt>
                <c:pt idx="658">
                  <c:v>44769</c:v>
                </c:pt>
                <c:pt idx="659">
                  <c:v>44770</c:v>
                </c:pt>
                <c:pt idx="660">
                  <c:v>44771</c:v>
                </c:pt>
                <c:pt idx="661">
                  <c:v>44774</c:v>
                </c:pt>
                <c:pt idx="662">
                  <c:v>44775</c:v>
                </c:pt>
                <c:pt idx="663">
                  <c:v>44776</c:v>
                </c:pt>
                <c:pt idx="664">
                  <c:v>44777</c:v>
                </c:pt>
                <c:pt idx="665">
                  <c:v>44778</c:v>
                </c:pt>
                <c:pt idx="666">
                  <c:v>44781</c:v>
                </c:pt>
                <c:pt idx="667">
                  <c:v>44782</c:v>
                </c:pt>
                <c:pt idx="668">
                  <c:v>44783</c:v>
                </c:pt>
                <c:pt idx="669">
                  <c:v>44784</c:v>
                </c:pt>
                <c:pt idx="670">
                  <c:v>44785</c:v>
                </c:pt>
                <c:pt idx="671">
                  <c:v>44788</c:v>
                </c:pt>
                <c:pt idx="672">
                  <c:v>44789</c:v>
                </c:pt>
                <c:pt idx="673">
                  <c:v>44790</c:v>
                </c:pt>
                <c:pt idx="674">
                  <c:v>44791</c:v>
                </c:pt>
                <c:pt idx="675">
                  <c:v>44792</c:v>
                </c:pt>
                <c:pt idx="676">
                  <c:v>44795</c:v>
                </c:pt>
                <c:pt idx="677">
                  <c:v>44796</c:v>
                </c:pt>
                <c:pt idx="678">
                  <c:v>44797</c:v>
                </c:pt>
                <c:pt idx="679">
                  <c:v>44798</c:v>
                </c:pt>
                <c:pt idx="680">
                  <c:v>44799</c:v>
                </c:pt>
                <c:pt idx="681">
                  <c:v>44802</c:v>
                </c:pt>
                <c:pt idx="682">
                  <c:v>44803</c:v>
                </c:pt>
                <c:pt idx="683">
                  <c:v>44804</c:v>
                </c:pt>
                <c:pt idx="684">
                  <c:v>44805</c:v>
                </c:pt>
                <c:pt idx="685">
                  <c:v>44806</c:v>
                </c:pt>
                <c:pt idx="686">
                  <c:v>44809</c:v>
                </c:pt>
                <c:pt idx="687">
                  <c:v>44810</c:v>
                </c:pt>
                <c:pt idx="688">
                  <c:v>44811</c:v>
                </c:pt>
                <c:pt idx="689">
                  <c:v>44812</c:v>
                </c:pt>
                <c:pt idx="690">
                  <c:v>44813</c:v>
                </c:pt>
                <c:pt idx="691">
                  <c:v>44816</c:v>
                </c:pt>
                <c:pt idx="692">
                  <c:v>44817</c:v>
                </c:pt>
                <c:pt idx="693">
                  <c:v>44818</c:v>
                </c:pt>
                <c:pt idx="694">
                  <c:v>44819</c:v>
                </c:pt>
                <c:pt idx="695">
                  <c:v>44820</c:v>
                </c:pt>
                <c:pt idx="696">
                  <c:v>44823</c:v>
                </c:pt>
                <c:pt idx="697">
                  <c:v>44824</c:v>
                </c:pt>
                <c:pt idx="698">
                  <c:v>44825</c:v>
                </c:pt>
                <c:pt idx="699">
                  <c:v>44826</c:v>
                </c:pt>
                <c:pt idx="700">
                  <c:v>44827</c:v>
                </c:pt>
                <c:pt idx="701">
                  <c:v>44830</c:v>
                </c:pt>
                <c:pt idx="702">
                  <c:v>44831</c:v>
                </c:pt>
                <c:pt idx="703">
                  <c:v>44832</c:v>
                </c:pt>
                <c:pt idx="704">
                  <c:v>44833</c:v>
                </c:pt>
                <c:pt idx="705">
                  <c:v>44834</c:v>
                </c:pt>
                <c:pt idx="706">
                  <c:v>44837</c:v>
                </c:pt>
                <c:pt idx="707">
                  <c:v>44838</c:v>
                </c:pt>
                <c:pt idx="708">
                  <c:v>44839</c:v>
                </c:pt>
                <c:pt idx="709">
                  <c:v>44840</c:v>
                </c:pt>
                <c:pt idx="710">
                  <c:v>44841</c:v>
                </c:pt>
                <c:pt idx="711">
                  <c:v>44844</c:v>
                </c:pt>
                <c:pt idx="712">
                  <c:v>44845</c:v>
                </c:pt>
                <c:pt idx="713">
                  <c:v>44846</c:v>
                </c:pt>
                <c:pt idx="714">
                  <c:v>44847</c:v>
                </c:pt>
                <c:pt idx="715">
                  <c:v>44848</c:v>
                </c:pt>
                <c:pt idx="716">
                  <c:v>44851</c:v>
                </c:pt>
                <c:pt idx="717">
                  <c:v>44852</c:v>
                </c:pt>
                <c:pt idx="718">
                  <c:v>44853</c:v>
                </c:pt>
                <c:pt idx="719">
                  <c:v>44854</c:v>
                </c:pt>
                <c:pt idx="720">
                  <c:v>44855</c:v>
                </c:pt>
                <c:pt idx="721">
                  <c:v>44858</c:v>
                </c:pt>
                <c:pt idx="722">
                  <c:v>44859</c:v>
                </c:pt>
                <c:pt idx="723">
                  <c:v>44860</c:v>
                </c:pt>
                <c:pt idx="724">
                  <c:v>44861</c:v>
                </c:pt>
                <c:pt idx="725">
                  <c:v>44862</c:v>
                </c:pt>
                <c:pt idx="726">
                  <c:v>44865</c:v>
                </c:pt>
                <c:pt idx="727">
                  <c:v>44866</c:v>
                </c:pt>
                <c:pt idx="728">
                  <c:v>44867</c:v>
                </c:pt>
                <c:pt idx="729">
                  <c:v>44868</c:v>
                </c:pt>
                <c:pt idx="730">
                  <c:v>44869</c:v>
                </c:pt>
                <c:pt idx="731">
                  <c:v>44872</c:v>
                </c:pt>
                <c:pt idx="732">
                  <c:v>44873</c:v>
                </c:pt>
                <c:pt idx="733">
                  <c:v>44874</c:v>
                </c:pt>
                <c:pt idx="734">
                  <c:v>44875</c:v>
                </c:pt>
                <c:pt idx="735">
                  <c:v>44876</c:v>
                </c:pt>
                <c:pt idx="736">
                  <c:v>44879</c:v>
                </c:pt>
                <c:pt idx="737">
                  <c:v>44880</c:v>
                </c:pt>
                <c:pt idx="738">
                  <c:v>44881</c:v>
                </c:pt>
                <c:pt idx="739">
                  <c:v>44882</c:v>
                </c:pt>
                <c:pt idx="740">
                  <c:v>44883</c:v>
                </c:pt>
                <c:pt idx="741">
                  <c:v>44886</c:v>
                </c:pt>
                <c:pt idx="742">
                  <c:v>44887</c:v>
                </c:pt>
                <c:pt idx="743">
                  <c:v>44888</c:v>
                </c:pt>
                <c:pt idx="744">
                  <c:v>44890</c:v>
                </c:pt>
                <c:pt idx="745">
                  <c:v>44893</c:v>
                </c:pt>
                <c:pt idx="746">
                  <c:v>44894</c:v>
                </c:pt>
                <c:pt idx="747">
                  <c:v>44895</c:v>
                </c:pt>
                <c:pt idx="748">
                  <c:v>44896</c:v>
                </c:pt>
                <c:pt idx="749">
                  <c:v>44897</c:v>
                </c:pt>
                <c:pt idx="750">
                  <c:v>44900</c:v>
                </c:pt>
                <c:pt idx="751">
                  <c:v>44901</c:v>
                </c:pt>
                <c:pt idx="752">
                  <c:v>44902</c:v>
                </c:pt>
                <c:pt idx="753">
                  <c:v>44903</c:v>
                </c:pt>
                <c:pt idx="754">
                  <c:v>44904</c:v>
                </c:pt>
                <c:pt idx="755">
                  <c:v>44907</c:v>
                </c:pt>
                <c:pt idx="756">
                  <c:v>44908</c:v>
                </c:pt>
                <c:pt idx="757">
                  <c:v>44909</c:v>
                </c:pt>
                <c:pt idx="758">
                  <c:v>44910</c:v>
                </c:pt>
                <c:pt idx="759">
                  <c:v>44911</c:v>
                </c:pt>
                <c:pt idx="760">
                  <c:v>44914</c:v>
                </c:pt>
                <c:pt idx="761">
                  <c:v>44915</c:v>
                </c:pt>
                <c:pt idx="762">
                  <c:v>44916</c:v>
                </c:pt>
                <c:pt idx="763">
                  <c:v>44917</c:v>
                </c:pt>
                <c:pt idx="764">
                  <c:v>44918</c:v>
                </c:pt>
                <c:pt idx="765">
                  <c:v>44922</c:v>
                </c:pt>
                <c:pt idx="766">
                  <c:v>44923</c:v>
                </c:pt>
                <c:pt idx="767">
                  <c:v>44924</c:v>
                </c:pt>
                <c:pt idx="768">
                  <c:v>44925</c:v>
                </c:pt>
                <c:pt idx="769">
                  <c:v>44929</c:v>
                </c:pt>
                <c:pt idx="770">
                  <c:v>44930</c:v>
                </c:pt>
                <c:pt idx="771">
                  <c:v>44931</c:v>
                </c:pt>
                <c:pt idx="772">
                  <c:v>44932</c:v>
                </c:pt>
                <c:pt idx="773">
                  <c:v>44935</c:v>
                </c:pt>
                <c:pt idx="774">
                  <c:v>44936</c:v>
                </c:pt>
                <c:pt idx="775">
                  <c:v>44937</c:v>
                </c:pt>
                <c:pt idx="776">
                  <c:v>44938</c:v>
                </c:pt>
                <c:pt idx="777">
                  <c:v>44939</c:v>
                </c:pt>
                <c:pt idx="778">
                  <c:v>44943</c:v>
                </c:pt>
                <c:pt idx="779">
                  <c:v>44944</c:v>
                </c:pt>
                <c:pt idx="780">
                  <c:v>44945</c:v>
                </c:pt>
                <c:pt idx="781">
                  <c:v>44946</c:v>
                </c:pt>
                <c:pt idx="782">
                  <c:v>44949</c:v>
                </c:pt>
                <c:pt idx="783">
                  <c:v>44950</c:v>
                </c:pt>
                <c:pt idx="784">
                  <c:v>44951</c:v>
                </c:pt>
                <c:pt idx="785">
                  <c:v>44952</c:v>
                </c:pt>
                <c:pt idx="786">
                  <c:v>44953</c:v>
                </c:pt>
                <c:pt idx="787">
                  <c:v>44956</c:v>
                </c:pt>
                <c:pt idx="788">
                  <c:v>44957</c:v>
                </c:pt>
                <c:pt idx="789">
                  <c:v>44958</c:v>
                </c:pt>
                <c:pt idx="790">
                  <c:v>44959</c:v>
                </c:pt>
                <c:pt idx="791">
                  <c:v>44960</c:v>
                </c:pt>
                <c:pt idx="792">
                  <c:v>44963</c:v>
                </c:pt>
                <c:pt idx="793">
                  <c:v>44964</c:v>
                </c:pt>
                <c:pt idx="794">
                  <c:v>44965</c:v>
                </c:pt>
                <c:pt idx="795">
                  <c:v>44966</c:v>
                </c:pt>
                <c:pt idx="796">
                  <c:v>44967</c:v>
                </c:pt>
                <c:pt idx="797">
                  <c:v>44970</c:v>
                </c:pt>
                <c:pt idx="798">
                  <c:v>44971</c:v>
                </c:pt>
                <c:pt idx="799">
                  <c:v>44972</c:v>
                </c:pt>
                <c:pt idx="800">
                  <c:v>44973</c:v>
                </c:pt>
                <c:pt idx="801">
                  <c:v>44974</c:v>
                </c:pt>
                <c:pt idx="802">
                  <c:v>44978</c:v>
                </c:pt>
                <c:pt idx="803">
                  <c:v>44979</c:v>
                </c:pt>
                <c:pt idx="804">
                  <c:v>44980</c:v>
                </c:pt>
                <c:pt idx="805">
                  <c:v>44981</c:v>
                </c:pt>
                <c:pt idx="806">
                  <c:v>44984</c:v>
                </c:pt>
                <c:pt idx="807">
                  <c:v>44985</c:v>
                </c:pt>
                <c:pt idx="808">
                  <c:v>44986</c:v>
                </c:pt>
                <c:pt idx="809">
                  <c:v>44987</c:v>
                </c:pt>
                <c:pt idx="810">
                  <c:v>44988</c:v>
                </c:pt>
                <c:pt idx="811">
                  <c:v>44991</c:v>
                </c:pt>
                <c:pt idx="812">
                  <c:v>44992</c:v>
                </c:pt>
                <c:pt idx="813">
                  <c:v>44993</c:v>
                </c:pt>
                <c:pt idx="814">
                  <c:v>44994</c:v>
                </c:pt>
                <c:pt idx="815">
                  <c:v>44995</c:v>
                </c:pt>
                <c:pt idx="816">
                  <c:v>44998</c:v>
                </c:pt>
                <c:pt idx="817">
                  <c:v>44999</c:v>
                </c:pt>
                <c:pt idx="818">
                  <c:v>45000</c:v>
                </c:pt>
                <c:pt idx="819">
                  <c:v>45001</c:v>
                </c:pt>
                <c:pt idx="820">
                  <c:v>45002</c:v>
                </c:pt>
                <c:pt idx="821">
                  <c:v>45005</c:v>
                </c:pt>
                <c:pt idx="822">
                  <c:v>45006</c:v>
                </c:pt>
                <c:pt idx="823">
                  <c:v>45007</c:v>
                </c:pt>
                <c:pt idx="824">
                  <c:v>45008</c:v>
                </c:pt>
                <c:pt idx="825">
                  <c:v>45009</c:v>
                </c:pt>
                <c:pt idx="826">
                  <c:v>45012</c:v>
                </c:pt>
                <c:pt idx="827">
                  <c:v>45013</c:v>
                </c:pt>
                <c:pt idx="828">
                  <c:v>45014</c:v>
                </c:pt>
                <c:pt idx="829">
                  <c:v>45015</c:v>
                </c:pt>
                <c:pt idx="830">
                  <c:v>45016</c:v>
                </c:pt>
                <c:pt idx="831">
                  <c:v>45019</c:v>
                </c:pt>
                <c:pt idx="832">
                  <c:v>45020</c:v>
                </c:pt>
                <c:pt idx="833">
                  <c:v>45021</c:v>
                </c:pt>
                <c:pt idx="834">
                  <c:v>45022</c:v>
                </c:pt>
                <c:pt idx="835">
                  <c:v>45023</c:v>
                </c:pt>
                <c:pt idx="836">
                  <c:v>45026</c:v>
                </c:pt>
                <c:pt idx="837">
                  <c:v>45027</c:v>
                </c:pt>
                <c:pt idx="838">
                  <c:v>45028</c:v>
                </c:pt>
                <c:pt idx="839">
                  <c:v>45029</c:v>
                </c:pt>
                <c:pt idx="840">
                  <c:v>45030</c:v>
                </c:pt>
                <c:pt idx="841">
                  <c:v>45033</c:v>
                </c:pt>
                <c:pt idx="842">
                  <c:v>45034</c:v>
                </c:pt>
                <c:pt idx="843">
                  <c:v>45035</c:v>
                </c:pt>
                <c:pt idx="844">
                  <c:v>45036</c:v>
                </c:pt>
                <c:pt idx="845">
                  <c:v>45037</c:v>
                </c:pt>
                <c:pt idx="846">
                  <c:v>45040</c:v>
                </c:pt>
                <c:pt idx="847">
                  <c:v>45041</c:v>
                </c:pt>
                <c:pt idx="848">
                  <c:v>45042</c:v>
                </c:pt>
                <c:pt idx="849">
                  <c:v>45043</c:v>
                </c:pt>
                <c:pt idx="850">
                  <c:v>45044</c:v>
                </c:pt>
                <c:pt idx="851">
                  <c:v>45047</c:v>
                </c:pt>
                <c:pt idx="852">
                  <c:v>45048</c:v>
                </c:pt>
                <c:pt idx="853">
                  <c:v>45049</c:v>
                </c:pt>
                <c:pt idx="854">
                  <c:v>45050</c:v>
                </c:pt>
                <c:pt idx="855">
                  <c:v>45051</c:v>
                </c:pt>
                <c:pt idx="856">
                  <c:v>45054</c:v>
                </c:pt>
                <c:pt idx="857">
                  <c:v>45055</c:v>
                </c:pt>
                <c:pt idx="858">
                  <c:v>45056</c:v>
                </c:pt>
                <c:pt idx="859">
                  <c:v>45057</c:v>
                </c:pt>
                <c:pt idx="860">
                  <c:v>45058</c:v>
                </c:pt>
                <c:pt idx="861">
                  <c:v>45061</c:v>
                </c:pt>
                <c:pt idx="862">
                  <c:v>45062</c:v>
                </c:pt>
                <c:pt idx="863">
                  <c:v>45063</c:v>
                </c:pt>
                <c:pt idx="864">
                  <c:v>45064</c:v>
                </c:pt>
                <c:pt idx="865">
                  <c:v>45065</c:v>
                </c:pt>
                <c:pt idx="866">
                  <c:v>45068</c:v>
                </c:pt>
                <c:pt idx="867">
                  <c:v>45069</c:v>
                </c:pt>
                <c:pt idx="868">
                  <c:v>45070</c:v>
                </c:pt>
                <c:pt idx="869">
                  <c:v>45071</c:v>
                </c:pt>
                <c:pt idx="870">
                  <c:v>45072</c:v>
                </c:pt>
                <c:pt idx="871">
                  <c:v>45076</c:v>
                </c:pt>
                <c:pt idx="872">
                  <c:v>45077</c:v>
                </c:pt>
                <c:pt idx="873">
                  <c:v>45078</c:v>
                </c:pt>
                <c:pt idx="874">
                  <c:v>45079</c:v>
                </c:pt>
                <c:pt idx="875">
                  <c:v>45082</c:v>
                </c:pt>
                <c:pt idx="876">
                  <c:v>45083</c:v>
                </c:pt>
                <c:pt idx="877">
                  <c:v>45084</c:v>
                </c:pt>
                <c:pt idx="878">
                  <c:v>45085</c:v>
                </c:pt>
                <c:pt idx="879">
                  <c:v>45086</c:v>
                </c:pt>
                <c:pt idx="880">
                  <c:v>45089</c:v>
                </c:pt>
                <c:pt idx="881">
                  <c:v>45090</c:v>
                </c:pt>
                <c:pt idx="882">
                  <c:v>45091</c:v>
                </c:pt>
                <c:pt idx="883">
                  <c:v>45092</c:v>
                </c:pt>
                <c:pt idx="884">
                  <c:v>45093</c:v>
                </c:pt>
                <c:pt idx="885">
                  <c:v>45097</c:v>
                </c:pt>
                <c:pt idx="886">
                  <c:v>45098</c:v>
                </c:pt>
                <c:pt idx="887">
                  <c:v>45099</c:v>
                </c:pt>
                <c:pt idx="888">
                  <c:v>45100</c:v>
                </c:pt>
                <c:pt idx="889">
                  <c:v>45103</c:v>
                </c:pt>
                <c:pt idx="890">
                  <c:v>45104</c:v>
                </c:pt>
                <c:pt idx="891">
                  <c:v>45105</c:v>
                </c:pt>
                <c:pt idx="892">
                  <c:v>45106</c:v>
                </c:pt>
                <c:pt idx="893">
                  <c:v>45107</c:v>
                </c:pt>
              </c:numCache>
            </c:numRef>
          </c:cat>
          <c:val>
            <c:numRef>
              <c:f>Hoja3!$B$259:$B$1175</c:f>
              <c:numCache>
                <c:formatCode>General</c:formatCode>
                <c:ptCount val="917"/>
                <c:pt idx="0">
                  <c:v>387.25</c:v>
                </c:pt>
                <c:pt idx="1">
                  <c:v>387.75</c:v>
                </c:pt>
                <c:pt idx="2">
                  <c:v>391.5</c:v>
                </c:pt>
                <c:pt idx="3">
                  <c:v>386.25</c:v>
                </c:pt>
                <c:pt idx="4">
                  <c:v>385</c:v>
                </c:pt>
                <c:pt idx="5">
                  <c:v>384</c:v>
                </c:pt>
                <c:pt idx="6">
                  <c:v>383.75</c:v>
                </c:pt>
                <c:pt idx="7">
                  <c:v>383.25</c:v>
                </c:pt>
                <c:pt idx="8">
                  <c:v>386.5</c:v>
                </c:pt>
                <c:pt idx="9">
                  <c:v>389.25</c:v>
                </c:pt>
                <c:pt idx="10">
                  <c:v>388.75</c:v>
                </c:pt>
                <c:pt idx="11">
                  <c:v>387.25</c:v>
                </c:pt>
                <c:pt idx="12">
                  <c:v>377</c:v>
                </c:pt>
                <c:pt idx="13">
                  <c:v>389</c:v>
                </c:pt>
                <c:pt idx="14">
                  <c:v>387.5</c:v>
                </c:pt>
                <c:pt idx="15">
                  <c:v>388.5</c:v>
                </c:pt>
                <c:pt idx="16">
                  <c:v>393.25</c:v>
                </c:pt>
                <c:pt idx="17">
                  <c:v>384.25</c:v>
                </c:pt>
                <c:pt idx="18">
                  <c:v>386.5</c:v>
                </c:pt>
                <c:pt idx="19">
                  <c:v>384.25</c:v>
                </c:pt>
                <c:pt idx="20">
                  <c:v>379.5</c:v>
                </c:pt>
                <c:pt idx="21">
                  <c:v>381.25</c:v>
                </c:pt>
                <c:pt idx="22">
                  <c:v>378.75</c:v>
                </c:pt>
                <c:pt idx="23">
                  <c:v>382.25</c:v>
                </c:pt>
                <c:pt idx="24">
                  <c:v>380.75</c:v>
                </c:pt>
                <c:pt idx="25">
                  <c:v>379.25</c:v>
                </c:pt>
                <c:pt idx="26">
                  <c:v>383.5</c:v>
                </c:pt>
                <c:pt idx="27">
                  <c:v>381.75</c:v>
                </c:pt>
                <c:pt idx="28">
                  <c:v>379.75</c:v>
                </c:pt>
                <c:pt idx="29">
                  <c:v>383</c:v>
                </c:pt>
                <c:pt idx="30">
                  <c:v>379.5</c:v>
                </c:pt>
                <c:pt idx="31">
                  <c:v>377.75</c:v>
                </c:pt>
                <c:pt idx="32">
                  <c:v>383</c:v>
                </c:pt>
                <c:pt idx="33">
                  <c:v>380.5</c:v>
                </c:pt>
                <c:pt idx="34">
                  <c:v>378.5</c:v>
                </c:pt>
                <c:pt idx="35">
                  <c:v>377</c:v>
                </c:pt>
                <c:pt idx="36">
                  <c:v>372.25</c:v>
                </c:pt>
                <c:pt idx="37">
                  <c:v>372.5</c:v>
                </c:pt>
                <c:pt idx="38">
                  <c:v>370.5</c:v>
                </c:pt>
                <c:pt idx="39">
                  <c:v>364.5</c:v>
                </c:pt>
                <c:pt idx="40">
                  <c:v>366.5</c:v>
                </c:pt>
                <c:pt idx="41">
                  <c:v>374.75</c:v>
                </c:pt>
                <c:pt idx="42">
                  <c:v>381.75</c:v>
                </c:pt>
                <c:pt idx="43">
                  <c:v>387</c:v>
                </c:pt>
                <c:pt idx="44">
                  <c:v>384.5</c:v>
                </c:pt>
                <c:pt idx="45">
                  <c:v>377.25</c:v>
                </c:pt>
                <c:pt idx="46">
                  <c:v>374.25</c:v>
                </c:pt>
                <c:pt idx="47">
                  <c:v>380</c:v>
                </c:pt>
                <c:pt idx="48">
                  <c:v>379.25</c:v>
                </c:pt>
                <c:pt idx="49">
                  <c:v>369.75</c:v>
                </c:pt>
                <c:pt idx="50">
                  <c:v>370.75</c:v>
                </c:pt>
                <c:pt idx="51">
                  <c:v>354.75</c:v>
                </c:pt>
                <c:pt idx="52">
                  <c:v>344</c:v>
                </c:pt>
                <c:pt idx="53">
                  <c:v>335.25</c:v>
                </c:pt>
                <c:pt idx="54">
                  <c:v>345.5</c:v>
                </c:pt>
                <c:pt idx="55">
                  <c:v>343.75</c:v>
                </c:pt>
                <c:pt idx="56">
                  <c:v>343.5</c:v>
                </c:pt>
                <c:pt idx="57">
                  <c:v>347.25</c:v>
                </c:pt>
                <c:pt idx="58">
                  <c:v>348.5</c:v>
                </c:pt>
                <c:pt idx="59">
                  <c:v>348.75</c:v>
                </c:pt>
                <c:pt idx="60">
                  <c:v>346</c:v>
                </c:pt>
                <c:pt idx="61">
                  <c:v>341.25</c:v>
                </c:pt>
                <c:pt idx="62">
                  <c:v>340.75</c:v>
                </c:pt>
                <c:pt idx="63">
                  <c:v>334.75</c:v>
                </c:pt>
                <c:pt idx="64">
                  <c:v>333.5</c:v>
                </c:pt>
                <c:pt idx="65">
                  <c:v>330.75</c:v>
                </c:pt>
                <c:pt idx="66">
                  <c:v>327.75</c:v>
                </c:pt>
                <c:pt idx="67">
                  <c:v>331.5</c:v>
                </c:pt>
                <c:pt idx="68">
                  <c:v>330</c:v>
                </c:pt>
                <c:pt idx="69">
                  <c:v>331.75</c:v>
                </c:pt>
                <c:pt idx="70">
                  <c:v>332.25</c:v>
                </c:pt>
                <c:pt idx="71">
                  <c:v>331.5</c:v>
                </c:pt>
                <c:pt idx="72">
                  <c:v>326</c:v>
                </c:pt>
                <c:pt idx="73">
                  <c:v>319.25</c:v>
                </c:pt>
                <c:pt idx="74">
                  <c:v>319.75</c:v>
                </c:pt>
                <c:pt idx="75">
                  <c:v>322.25</c:v>
                </c:pt>
                <c:pt idx="76">
                  <c:v>314.25</c:v>
                </c:pt>
                <c:pt idx="77">
                  <c:v>309.25</c:v>
                </c:pt>
                <c:pt idx="78">
                  <c:v>317.5</c:v>
                </c:pt>
                <c:pt idx="79">
                  <c:v>319.25</c:v>
                </c:pt>
                <c:pt idx="80">
                  <c:v>315.75</c:v>
                </c:pt>
                <c:pt idx="81">
                  <c:v>305.5</c:v>
                </c:pt>
                <c:pt idx="82">
                  <c:v>302.75</c:v>
                </c:pt>
                <c:pt idx="83">
                  <c:v>304.5</c:v>
                </c:pt>
                <c:pt idx="84">
                  <c:v>311.5</c:v>
                </c:pt>
                <c:pt idx="85">
                  <c:v>311.5</c:v>
                </c:pt>
                <c:pt idx="86">
                  <c:v>310.75</c:v>
                </c:pt>
                <c:pt idx="87">
                  <c:v>313</c:v>
                </c:pt>
                <c:pt idx="88">
                  <c:v>311.75</c:v>
                </c:pt>
                <c:pt idx="89">
                  <c:v>316</c:v>
                </c:pt>
                <c:pt idx="90">
                  <c:v>319</c:v>
                </c:pt>
                <c:pt idx="91">
                  <c:v>318.5</c:v>
                </c:pt>
                <c:pt idx="92">
                  <c:v>323.75</c:v>
                </c:pt>
                <c:pt idx="93">
                  <c:v>320.25</c:v>
                </c:pt>
                <c:pt idx="94">
                  <c:v>320.25</c:v>
                </c:pt>
                <c:pt idx="95">
                  <c:v>319.25</c:v>
                </c:pt>
                <c:pt idx="96">
                  <c:v>320.75</c:v>
                </c:pt>
                <c:pt idx="97">
                  <c:v>321.25</c:v>
                </c:pt>
                <c:pt idx="98">
                  <c:v>319.5</c:v>
                </c:pt>
                <c:pt idx="99">
                  <c:v>317.75</c:v>
                </c:pt>
                <c:pt idx="100">
                  <c:v>318</c:v>
                </c:pt>
                <c:pt idx="101">
                  <c:v>316.88</c:v>
                </c:pt>
                <c:pt idx="102">
                  <c:v>319</c:v>
                </c:pt>
                <c:pt idx="103">
                  <c:v>320.5</c:v>
                </c:pt>
                <c:pt idx="104">
                  <c:v>327.5</c:v>
                </c:pt>
                <c:pt idx="105">
                  <c:v>325.75</c:v>
                </c:pt>
                <c:pt idx="106">
                  <c:v>323.25</c:v>
                </c:pt>
                <c:pt idx="107">
                  <c:v>324.25</c:v>
                </c:pt>
                <c:pt idx="108">
                  <c:v>324</c:v>
                </c:pt>
                <c:pt idx="109">
                  <c:v>329</c:v>
                </c:pt>
                <c:pt idx="110">
                  <c:v>331.25</c:v>
                </c:pt>
                <c:pt idx="111">
                  <c:v>333.75</c:v>
                </c:pt>
                <c:pt idx="112">
                  <c:v>327.5</c:v>
                </c:pt>
                <c:pt idx="113">
                  <c:v>326.25</c:v>
                </c:pt>
                <c:pt idx="114">
                  <c:v>329.75</c:v>
                </c:pt>
                <c:pt idx="115">
                  <c:v>330</c:v>
                </c:pt>
                <c:pt idx="116">
                  <c:v>329.25</c:v>
                </c:pt>
                <c:pt idx="117">
                  <c:v>329</c:v>
                </c:pt>
                <c:pt idx="118">
                  <c:v>330.25</c:v>
                </c:pt>
                <c:pt idx="119">
                  <c:v>331</c:v>
                </c:pt>
                <c:pt idx="120">
                  <c:v>332.5</c:v>
                </c:pt>
                <c:pt idx="121">
                  <c:v>328.25</c:v>
                </c:pt>
                <c:pt idx="122">
                  <c:v>325</c:v>
                </c:pt>
                <c:pt idx="123">
                  <c:v>324.25</c:v>
                </c:pt>
                <c:pt idx="124">
                  <c:v>317.25</c:v>
                </c:pt>
                <c:pt idx="125">
                  <c:v>317</c:v>
                </c:pt>
                <c:pt idx="126">
                  <c:v>326.25</c:v>
                </c:pt>
                <c:pt idx="127">
                  <c:v>338.5</c:v>
                </c:pt>
                <c:pt idx="128">
                  <c:v>348.25</c:v>
                </c:pt>
                <c:pt idx="129">
                  <c:v>342.5</c:v>
                </c:pt>
                <c:pt idx="130">
                  <c:v>346.5</c:v>
                </c:pt>
                <c:pt idx="131">
                  <c:v>345</c:v>
                </c:pt>
                <c:pt idx="132">
                  <c:v>348.25</c:v>
                </c:pt>
                <c:pt idx="133">
                  <c:v>351.25</c:v>
                </c:pt>
                <c:pt idx="134">
                  <c:v>340.5</c:v>
                </c:pt>
                <c:pt idx="135">
                  <c:v>334</c:v>
                </c:pt>
                <c:pt idx="136">
                  <c:v>334.75</c:v>
                </c:pt>
                <c:pt idx="137">
                  <c:v>326.25</c:v>
                </c:pt>
                <c:pt idx="138">
                  <c:v>330.25</c:v>
                </c:pt>
                <c:pt idx="139">
                  <c:v>333</c:v>
                </c:pt>
                <c:pt idx="140">
                  <c:v>328.25</c:v>
                </c:pt>
                <c:pt idx="141">
                  <c:v>322.75</c:v>
                </c:pt>
                <c:pt idx="142">
                  <c:v>327.5</c:v>
                </c:pt>
                <c:pt idx="143">
                  <c:v>328</c:v>
                </c:pt>
                <c:pt idx="144">
                  <c:v>326.25</c:v>
                </c:pt>
                <c:pt idx="145">
                  <c:v>325</c:v>
                </c:pt>
                <c:pt idx="146">
                  <c:v>320</c:v>
                </c:pt>
                <c:pt idx="147">
                  <c:v>315.5</c:v>
                </c:pt>
                <c:pt idx="148">
                  <c:v>315.75</c:v>
                </c:pt>
                <c:pt idx="149">
                  <c:v>316</c:v>
                </c:pt>
                <c:pt idx="150">
                  <c:v>317.5</c:v>
                </c:pt>
                <c:pt idx="151">
                  <c:v>308.25</c:v>
                </c:pt>
                <c:pt idx="152">
                  <c:v>311</c:v>
                </c:pt>
                <c:pt idx="153">
                  <c:v>311.25</c:v>
                </c:pt>
                <c:pt idx="154">
                  <c:v>307.75</c:v>
                </c:pt>
                <c:pt idx="155">
                  <c:v>310.5</c:v>
                </c:pt>
                <c:pt idx="156">
                  <c:v>311.5</c:v>
                </c:pt>
                <c:pt idx="157">
                  <c:v>314.5</c:v>
                </c:pt>
                <c:pt idx="158">
                  <c:v>325.25</c:v>
                </c:pt>
                <c:pt idx="159">
                  <c:v>324.5</c:v>
                </c:pt>
                <c:pt idx="160">
                  <c:v>331</c:v>
                </c:pt>
                <c:pt idx="161">
                  <c:v>327</c:v>
                </c:pt>
                <c:pt idx="162">
                  <c:v>325</c:v>
                </c:pt>
                <c:pt idx="163">
                  <c:v>324.5</c:v>
                </c:pt>
                <c:pt idx="164">
                  <c:v>327</c:v>
                </c:pt>
                <c:pt idx="165">
                  <c:v>331.75</c:v>
                </c:pt>
                <c:pt idx="166">
                  <c:v>340.75</c:v>
                </c:pt>
                <c:pt idx="167">
                  <c:v>340.5</c:v>
                </c:pt>
                <c:pt idx="168">
                  <c:v>344.25</c:v>
                </c:pt>
                <c:pt idx="169">
                  <c:v>346</c:v>
                </c:pt>
                <c:pt idx="170">
                  <c:v>348.5</c:v>
                </c:pt>
                <c:pt idx="171">
                  <c:v>349.5</c:v>
                </c:pt>
                <c:pt idx="172">
                  <c:v>349.75</c:v>
                </c:pt>
                <c:pt idx="173">
                  <c:v>344.5</c:v>
                </c:pt>
                <c:pt idx="174">
                  <c:v>347.25</c:v>
                </c:pt>
                <c:pt idx="175">
                  <c:v>344.5</c:v>
                </c:pt>
                <c:pt idx="176">
                  <c:v>351</c:v>
                </c:pt>
                <c:pt idx="177">
                  <c:v>350</c:v>
                </c:pt>
                <c:pt idx="178">
                  <c:v>357.25</c:v>
                </c:pt>
                <c:pt idx="179">
                  <c:v>365</c:v>
                </c:pt>
                <c:pt idx="180">
                  <c:v>357.5</c:v>
                </c:pt>
                <c:pt idx="181">
                  <c:v>366</c:v>
                </c:pt>
                <c:pt idx="182">
                  <c:v>371.75</c:v>
                </c:pt>
                <c:pt idx="183">
                  <c:v>375.25</c:v>
                </c:pt>
                <c:pt idx="184">
                  <c:v>378.5</c:v>
                </c:pt>
                <c:pt idx="185">
                  <c:v>369.75</c:v>
                </c:pt>
                <c:pt idx="186">
                  <c:v>369.25</c:v>
                </c:pt>
                <c:pt idx="187">
                  <c:v>368.5</c:v>
                </c:pt>
                <c:pt idx="188">
                  <c:v>363.5</c:v>
                </c:pt>
                <c:pt idx="189">
                  <c:v>365.25</c:v>
                </c:pt>
                <c:pt idx="190">
                  <c:v>366.75</c:v>
                </c:pt>
                <c:pt idx="191">
                  <c:v>364.75</c:v>
                </c:pt>
                <c:pt idx="192">
                  <c:v>379</c:v>
                </c:pt>
                <c:pt idx="193">
                  <c:v>382.75</c:v>
                </c:pt>
                <c:pt idx="194">
                  <c:v>379.75</c:v>
                </c:pt>
                <c:pt idx="195">
                  <c:v>379.5</c:v>
                </c:pt>
                <c:pt idx="196">
                  <c:v>385</c:v>
                </c:pt>
                <c:pt idx="197">
                  <c:v>388.75</c:v>
                </c:pt>
                <c:pt idx="198">
                  <c:v>387</c:v>
                </c:pt>
                <c:pt idx="199">
                  <c:v>395</c:v>
                </c:pt>
                <c:pt idx="200">
                  <c:v>389</c:v>
                </c:pt>
                <c:pt idx="201">
                  <c:v>391.25</c:v>
                </c:pt>
                <c:pt idx="202">
                  <c:v>396.5</c:v>
                </c:pt>
                <c:pt idx="203">
                  <c:v>403.75</c:v>
                </c:pt>
                <c:pt idx="204">
                  <c:v>402</c:v>
                </c:pt>
                <c:pt idx="205">
                  <c:v>405.25</c:v>
                </c:pt>
                <c:pt idx="206">
                  <c:v>408.75</c:v>
                </c:pt>
                <c:pt idx="207">
                  <c:v>413.75</c:v>
                </c:pt>
                <c:pt idx="208">
                  <c:v>416.25</c:v>
                </c:pt>
                <c:pt idx="209">
                  <c:v>419.25</c:v>
                </c:pt>
                <c:pt idx="210">
                  <c:v>417.75</c:v>
                </c:pt>
                <c:pt idx="211">
                  <c:v>416</c:v>
                </c:pt>
                <c:pt idx="212">
                  <c:v>401.5</c:v>
                </c:pt>
                <c:pt idx="213">
                  <c:v>398.5</c:v>
                </c:pt>
                <c:pt idx="214">
                  <c:v>398.5</c:v>
                </c:pt>
                <c:pt idx="215">
                  <c:v>397.5</c:v>
                </c:pt>
                <c:pt idx="216">
                  <c:v>401</c:v>
                </c:pt>
                <c:pt idx="217">
                  <c:v>405.25</c:v>
                </c:pt>
                <c:pt idx="218">
                  <c:v>409.25</c:v>
                </c:pt>
                <c:pt idx="219">
                  <c:v>406.75</c:v>
                </c:pt>
                <c:pt idx="220">
                  <c:v>407.5</c:v>
                </c:pt>
                <c:pt idx="221">
                  <c:v>423</c:v>
                </c:pt>
                <c:pt idx="222">
                  <c:v>417.25</c:v>
                </c:pt>
                <c:pt idx="223">
                  <c:v>408.25</c:v>
                </c:pt>
                <c:pt idx="224">
                  <c:v>410.5</c:v>
                </c:pt>
                <c:pt idx="225">
                  <c:v>416.25</c:v>
                </c:pt>
                <c:pt idx="226">
                  <c:v>420.25</c:v>
                </c:pt>
                <c:pt idx="227">
                  <c:v>425.75</c:v>
                </c:pt>
                <c:pt idx="228">
                  <c:v>422.5</c:v>
                </c:pt>
                <c:pt idx="229">
                  <c:v>423.25</c:v>
                </c:pt>
                <c:pt idx="230">
                  <c:v>426.5</c:v>
                </c:pt>
                <c:pt idx="231">
                  <c:v>425.75</c:v>
                </c:pt>
                <c:pt idx="232">
                  <c:v>420</c:v>
                </c:pt>
                <c:pt idx="233">
                  <c:v>425.5</c:v>
                </c:pt>
                <c:pt idx="234">
                  <c:v>419.75</c:v>
                </c:pt>
                <c:pt idx="235">
                  <c:v>414.75</c:v>
                </c:pt>
                <c:pt idx="236">
                  <c:v>419</c:v>
                </c:pt>
                <c:pt idx="237">
                  <c:v>422.5</c:v>
                </c:pt>
                <c:pt idx="238">
                  <c:v>417</c:v>
                </c:pt>
                <c:pt idx="239">
                  <c:v>419.5</c:v>
                </c:pt>
                <c:pt idx="240">
                  <c:v>417</c:v>
                </c:pt>
                <c:pt idx="241">
                  <c:v>422</c:v>
                </c:pt>
                <c:pt idx="242">
                  <c:v>420.25</c:v>
                </c:pt>
                <c:pt idx="243">
                  <c:v>424.25</c:v>
                </c:pt>
                <c:pt idx="244">
                  <c:v>419.25</c:v>
                </c:pt>
                <c:pt idx="245">
                  <c:v>424.75</c:v>
                </c:pt>
                <c:pt idx="246">
                  <c:v>427.25</c:v>
                </c:pt>
                <c:pt idx="247">
                  <c:v>432.5</c:v>
                </c:pt>
                <c:pt idx="248">
                  <c:v>437.5</c:v>
                </c:pt>
                <c:pt idx="249">
                  <c:v>440</c:v>
                </c:pt>
                <c:pt idx="250">
                  <c:v>443.5</c:v>
                </c:pt>
                <c:pt idx="251">
                  <c:v>447.25</c:v>
                </c:pt>
                <c:pt idx="252">
                  <c:v>451</c:v>
                </c:pt>
                <c:pt idx="253">
                  <c:v>456.5</c:v>
                </c:pt>
                <c:pt idx="254">
                  <c:v>466</c:v>
                </c:pt>
                <c:pt idx="255">
                  <c:v>474.5</c:v>
                </c:pt>
                <c:pt idx="256">
                  <c:v>484</c:v>
                </c:pt>
                <c:pt idx="257">
                  <c:v>485.75</c:v>
                </c:pt>
                <c:pt idx="258">
                  <c:v>483.75</c:v>
                </c:pt>
                <c:pt idx="259">
                  <c:v>491.75</c:v>
                </c:pt>
                <c:pt idx="260">
                  <c:v>495</c:v>
                </c:pt>
                <c:pt idx="261">
                  <c:v>494</c:v>
                </c:pt>
                <c:pt idx="262">
                  <c:v>496.25</c:v>
                </c:pt>
                <c:pt idx="263">
                  <c:v>492.25</c:v>
                </c:pt>
                <c:pt idx="264">
                  <c:v>517.25</c:v>
                </c:pt>
                <c:pt idx="265">
                  <c:v>524.5</c:v>
                </c:pt>
                <c:pt idx="266">
                  <c:v>534.25</c:v>
                </c:pt>
                <c:pt idx="267">
                  <c:v>531.5</c:v>
                </c:pt>
                <c:pt idx="268">
                  <c:v>526</c:v>
                </c:pt>
                <c:pt idx="269">
                  <c:v>522</c:v>
                </c:pt>
                <c:pt idx="270">
                  <c:v>524.25</c:v>
                </c:pt>
                <c:pt idx="271">
                  <c:v>500.5</c:v>
                </c:pt>
                <c:pt idx="272">
                  <c:v>511.5</c:v>
                </c:pt>
                <c:pt idx="273">
                  <c:v>532.25</c:v>
                </c:pt>
                <c:pt idx="274">
                  <c:v>534</c:v>
                </c:pt>
                <c:pt idx="275">
                  <c:v>534.5</c:v>
                </c:pt>
                <c:pt idx="276">
                  <c:v>547</c:v>
                </c:pt>
                <c:pt idx="277">
                  <c:v>549.25</c:v>
                </c:pt>
                <c:pt idx="278">
                  <c:v>543</c:v>
                </c:pt>
                <c:pt idx="279">
                  <c:v>552</c:v>
                </c:pt>
                <c:pt idx="280">
                  <c:v>550</c:v>
                </c:pt>
                <c:pt idx="281">
                  <c:v>548.5</c:v>
                </c:pt>
                <c:pt idx="282">
                  <c:v>563.75</c:v>
                </c:pt>
                <c:pt idx="283">
                  <c:v>556.25</c:v>
                </c:pt>
                <c:pt idx="284">
                  <c:v>534.5</c:v>
                </c:pt>
                <c:pt idx="285">
                  <c:v>541</c:v>
                </c:pt>
                <c:pt idx="286">
                  <c:v>538.75</c:v>
                </c:pt>
                <c:pt idx="287">
                  <c:v>539.5</c:v>
                </c:pt>
                <c:pt idx="288">
                  <c:v>539.62</c:v>
                </c:pt>
                <c:pt idx="289">
                  <c:v>552.25</c:v>
                </c:pt>
                <c:pt idx="290">
                  <c:v>553</c:v>
                </c:pt>
                <c:pt idx="291">
                  <c:v>550.25</c:v>
                </c:pt>
                <c:pt idx="292">
                  <c:v>542.75</c:v>
                </c:pt>
                <c:pt idx="293">
                  <c:v>551</c:v>
                </c:pt>
                <c:pt idx="294">
                  <c:v>553.75</c:v>
                </c:pt>
                <c:pt idx="295">
                  <c:v>559.25</c:v>
                </c:pt>
                <c:pt idx="296">
                  <c:v>554.75</c:v>
                </c:pt>
                <c:pt idx="297">
                  <c:v>555.5</c:v>
                </c:pt>
                <c:pt idx="298">
                  <c:v>547.5</c:v>
                </c:pt>
                <c:pt idx="299">
                  <c:v>560.75</c:v>
                </c:pt>
                <c:pt idx="300">
                  <c:v>550.25</c:v>
                </c:pt>
                <c:pt idx="301">
                  <c:v>546.25</c:v>
                </c:pt>
                <c:pt idx="302">
                  <c:v>562</c:v>
                </c:pt>
                <c:pt idx="303">
                  <c:v>565</c:v>
                </c:pt>
                <c:pt idx="304">
                  <c:v>562</c:v>
                </c:pt>
                <c:pt idx="305">
                  <c:v>547.75</c:v>
                </c:pt>
                <c:pt idx="306">
                  <c:v>555</c:v>
                </c:pt>
                <c:pt idx="307">
                  <c:v>549.25</c:v>
                </c:pt>
                <c:pt idx="308">
                  <c:v>549.5</c:v>
                </c:pt>
                <c:pt idx="309">
                  <c:v>554.25</c:v>
                </c:pt>
                <c:pt idx="310">
                  <c:v>558</c:v>
                </c:pt>
                <c:pt idx="311">
                  <c:v>546.5</c:v>
                </c:pt>
                <c:pt idx="312">
                  <c:v>557.75</c:v>
                </c:pt>
                <c:pt idx="313">
                  <c:v>549</c:v>
                </c:pt>
                <c:pt idx="314">
                  <c:v>551.25</c:v>
                </c:pt>
                <c:pt idx="315">
                  <c:v>553.25</c:v>
                </c:pt>
                <c:pt idx="316">
                  <c:v>546.5</c:v>
                </c:pt>
                <c:pt idx="317">
                  <c:v>552.5</c:v>
                </c:pt>
                <c:pt idx="318">
                  <c:v>546.75</c:v>
                </c:pt>
                <c:pt idx="319">
                  <c:v>539.25</c:v>
                </c:pt>
                <c:pt idx="320">
                  <c:v>564.25</c:v>
                </c:pt>
                <c:pt idx="321">
                  <c:v>559.75</c:v>
                </c:pt>
                <c:pt idx="322">
                  <c:v>553.25</c:v>
                </c:pt>
                <c:pt idx="323">
                  <c:v>554.25</c:v>
                </c:pt>
                <c:pt idx="324">
                  <c:v>560.5</c:v>
                </c:pt>
                <c:pt idx="325">
                  <c:v>579.75</c:v>
                </c:pt>
                <c:pt idx="326">
                  <c:v>577.25</c:v>
                </c:pt>
                <c:pt idx="327">
                  <c:v>569</c:v>
                </c:pt>
                <c:pt idx="328">
                  <c:v>580</c:v>
                </c:pt>
                <c:pt idx="329">
                  <c:v>594</c:v>
                </c:pt>
                <c:pt idx="330">
                  <c:v>590</c:v>
                </c:pt>
                <c:pt idx="331">
                  <c:v>585.5</c:v>
                </c:pt>
                <c:pt idx="332">
                  <c:v>592</c:v>
                </c:pt>
                <c:pt idx="333">
                  <c:v>606.5</c:v>
                </c:pt>
                <c:pt idx="334">
                  <c:v>625.5</c:v>
                </c:pt>
                <c:pt idx="335">
                  <c:v>650.5</c:v>
                </c:pt>
                <c:pt idx="336">
                  <c:v>655.5</c:v>
                </c:pt>
                <c:pt idx="337">
                  <c:v>680.5</c:v>
                </c:pt>
                <c:pt idx="338">
                  <c:v>695.5</c:v>
                </c:pt>
                <c:pt idx="339">
                  <c:v>686.25</c:v>
                </c:pt>
                <c:pt idx="340">
                  <c:v>702</c:v>
                </c:pt>
                <c:pt idx="341">
                  <c:v>740</c:v>
                </c:pt>
                <c:pt idx="342">
                  <c:v>732.25</c:v>
                </c:pt>
                <c:pt idx="343">
                  <c:v>744.75</c:v>
                </c:pt>
                <c:pt idx="344">
                  <c:v>753.25</c:v>
                </c:pt>
                <c:pt idx="345">
                  <c:v>759.5</c:v>
                </c:pt>
                <c:pt idx="346">
                  <c:v>772.75</c:v>
                </c:pt>
                <c:pt idx="347">
                  <c:v>748</c:v>
                </c:pt>
                <c:pt idx="348">
                  <c:v>759.5</c:v>
                </c:pt>
                <c:pt idx="349">
                  <c:v>757.5</c:v>
                </c:pt>
                <c:pt idx="350">
                  <c:v>719</c:v>
                </c:pt>
                <c:pt idx="351">
                  <c:v>685</c:v>
                </c:pt>
                <c:pt idx="352">
                  <c:v>652.5</c:v>
                </c:pt>
                <c:pt idx="353">
                  <c:v>658.25</c:v>
                </c:pt>
                <c:pt idx="354">
                  <c:v>658.25</c:v>
                </c:pt>
                <c:pt idx="355">
                  <c:v>664.5</c:v>
                </c:pt>
                <c:pt idx="356">
                  <c:v>659.5</c:v>
                </c:pt>
                <c:pt idx="357">
                  <c:v>657.25</c:v>
                </c:pt>
                <c:pt idx="358">
                  <c:v>620.25</c:v>
                </c:pt>
                <c:pt idx="359">
                  <c:v>624.5</c:v>
                </c:pt>
                <c:pt idx="360">
                  <c:v>664.5</c:v>
                </c:pt>
                <c:pt idx="361">
                  <c:v>656.75</c:v>
                </c:pt>
                <c:pt idx="362">
                  <c:v>666.88</c:v>
                </c:pt>
                <c:pt idx="363">
                  <c:v>688.75</c:v>
                </c:pt>
                <c:pt idx="364">
                  <c:v>675</c:v>
                </c:pt>
                <c:pt idx="365">
                  <c:v>662</c:v>
                </c:pt>
                <c:pt idx="366">
                  <c:v>682.75</c:v>
                </c:pt>
                <c:pt idx="367">
                  <c:v>679.25</c:v>
                </c:pt>
                <c:pt idx="368">
                  <c:v>680</c:v>
                </c:pt>
                <c:pt idx="369">
                  <c:v>690.75</c:v>
                </c:pt>
                <c:pt idx="370">
                  <c:v>699</c:v>
                </c:pt>
                <c:pt idx="371">
                  <c:v>684.5</c:v>
                </c:pt>
                <c:pt idx="372">
                  <c:v>659.25</c:v>
                </c:pt>
                <c:pt idx="373">
                  <c:v>667.5</c:v>
                </c:pt>
                <c:pt idx="374">
                  <c:v>673</c:v>
                </c:pt>
                <c:pt idx="375">
                  <c:v>633</c:v>
                </c:pt>
                <c:pt idx="376">
                  <c:v>655.25</c:v>
                </c:pt>
                <c:pt idx="377">
                  <c:v>659.25</c:v>
                </c:pt>
                <c:pt idx="378">
                  <c:v>659.75</c:v>
                </c:pt>
                <c:pt idx="379">
                  <c:v>664.25</c:v>
                </c:pt>
                <c:pt idx="380">
                  <c:v>653.25</c:v>
                </c:pt>
                <c:pt idx="381">
                  <c:v>636.5</c:v>
                </c:pt>
                <c:pt idx="382">
                  <c:v>675.5</c:v>
                </c:pt>
                <c:pt idx="383">
                  <c:v>694.5</c:v>
                </c:pt>
                <c:pt idx="384">
                  <c:v>720</c:v>
                </c:pt>
                <c:pt idx="385">
                  <c:v>719.75</c:v>
                </c:pt>
                <c:pt idx="386">
                  <c:v>697.25</c:v>
                </c:pt>
                <c:pt idx="387">
                  <c:v>656</c:v>
                </c:pt>
                <c:pt idx="388">
                  <c:v>652.5</c:v>
                </c:pt>
                <c:pt idx="389">
                  <c:v>638</c:v>
                </c:pt>
                <c:pt idx="390">
                  <c:v>629.75</c:v>
                </c:pt>
                <c:pt idx="391">
                  <c:v>669.25</c:v>
                </c:pt>
                <c:pt idx="392">
                  <c:v>677</c:v>
                </c:pt>
                <c:pt idx="393">
                  <c:v>683</c:v>
                </c:pt>
                <c:pt idx="394">
                  <c:v>564.25</c:v>
                </c:pt>
                <c:pt idx="395">
                  <c:v>556</c:v>
                </c:pt>
                <c:pt idx="396">
                  <c:v>556</c:v>
                </c:pt>
                <c:pt idx="397">
                  <c:v>571.75</c:v>
                </c:pt>
                <c:pt idx="398">
                  <c:v>571.75</c:v>
                </c:pt>
                <c:pt idx="399">
                  <c:v>564.5</c:v>
                </c:pt>
                <c:pt idx="400">
                  <c:v>547.25</c:v>
                </c:pt>
                <c:pt idx="401">
                  <c:v>549.75</c:v>
                </c:pt>
                <c:pt idx="402">
                  <c:v>548.75</c:v>
                </c:pt>
                <c:pt idx="403">
                  <c:v>549.25</c:v>
                </c:pt>
                <c:pt idx="404">
                  <c:v>558</c:v>
                </c:pt>
                <c:pt idx="405">
                  <c:v>547</c:v>
                </c:pt>
                <c:pt idx="406">
                  <c:v>558.75</c:v>
                </c:pt>
                <c:pt idx="407">
                  <c:v>550.5</c:v>
                </c:pt>
                <c:pt idx="408">
                  <c:v>545.75</c:v>
                </c:pt>
                <c:pt idx="409">
                  <c:v>555.75</c:v>
                </c:pt>
                <c:pt idx="410">
                  <c:v>555</c:v>
                </c:pt>
                <c:pt idx="411">
                  <c:v>550.25</c:v>
                </c:pt>
                <c:pt idx="412">
                  <c:v>549.25</c:v>
                </c:pt>
                <c:pt idx="413">
                  <c:v>556.25</c:v>
                </c:pt>
                <c:pt idx="414">
                  <c:v>567</c:v>
                </c:pt>
                <c:pt idx="415">
                  <c:v>568.25</c:v>
                </c:pt>
                <c:pt idx="416">
                  <c:v>564.75</c:v>
                </c:pt>
                <c:pt idx="417">
                  <c:v>558.25</c:v>
                </c:pt>
                <c:pt idx="418">
                  <c:v>561.75</c:v>
                </c:pt>
                <c:pt idx="419">
                  <c:v>550</c:v>
                </c:pt>
                <c:pt idx="420">
                  <c:v>538.75</c:v>
                </c:pt>
                <c:pt idx="421">
                  <c:v>538</c:v>
                </c:pt>
                <c:pt idx="422">
                  <c:v>544.5</c:v>
                </c:pt>
                <c:pt idx="423">
                  <c:v>551.25</c:v>
                </c:pt>
                <c:pt idx="424">
                  <c:v>552.75</c:v>
                </c:pt>
                <c:pt idx="425">
                  <c:v>558</c:v>
                </c:pt>
                <c:pt idx="426">
                  <c:v>540.25</c:v>
                </c:pt>
                <c:pt idx="427">
                  <c:v>534</c:v>
                </c:pt>
                <c:pt idx="428">
                  <c:v>515.5</c:v>
                </c:pt>
                <c:pt idx="429">
                  <c:v>516.25</c:v>
                </c:pt>
                <c:pt idx="430">
                  <c:v>508</c:v>
                </c:pt>
                <c:pt idx="431">
                  <c:v>524.25</c:v>
                </c:pt>
                <c:pt idx="432">
                  <c:v>495.75</c:v>
                </c:pt>
                <c:pt idx="433">
                  <c:v>498.25</c:v>
                </c:pt>
                <c:pt idx="434">
                  <c:v>496</c:v>
                </c:pt>
                <c:pt idx="435">
                  <c:v>502.75</c:v>
                </c:pt>
                <c:pt idx="436">
                  <c:v>496.75</c:v>
                </c:pt>
                <c:pt idx="437">
                  <c:v>503</c:v>
                </c:pt>
                <c:pt idx="438">
                  <c:v>533.5</c:v>
                </c:pt>
                <c:pt idx="439">
                  <c:v>529.5</c:v>
                </c:pt>
                <c:pt idx="440">
                  <c:v>527.25</c:v>
                </c:pt>
                <c:pt idx="441">
                  <c:v>521.75</c:v>
                </c:pt>
                <c:pt idx="442">
                  <c:v>517</c:v>
                </c:pt>
                <c:pt idx="443">
                  <c:v>525.5</c:v>
                </c:pt>
                <c:pt idx="444">
                  <c:v>529.25</c:v>
                </c:pt>
                <c:pt idx="445">
                  <c:v>526.75</c:v>
                </c:pt>
                <c:pt idx="446">
                  <c:v>539.5</c:v>
                </c:pt>
                <c:pt idx="447">
                  <c:v>532.5</c:v>
                </c:pt>
                <c:pt idx="448">
                  <c:v>539</c:v>
                </c:pt>
                <c:pt idx="449">
                  <c:v>536.75</c:v>
                </c:pt>
                <c:pt idx="450">
                  <c:v>541.5</c:v>
                </c:pt>
                <c:pt idx="451">
                  <c:v>540.75</c:v>
                </c:pt>
                <c:pt idx="452">
                  <c:v>537.5</c:v>
                </c:pt>
                <c:pt idx="453">
                  <c:v>532.25</c:v>
                </c:pt>
                <c:pt idx="454">
                  <c:v>534</c:v>
                </c:pt>
                <c:pt idx="455">
                  <c:v>530.5</c:v>
                </c:pt>
                <c:pt idx="456">
                  <c:v>533</c:v>
                </c:pt>
                <c:pt idx="457">
                  <c:v>522.5</c:v>
                </c:pt>
                <c:pt idx="458">
                  <c:v>512.25</c:v>
                </c:pt>
                <c:pt idx="459">
                  <c:v>516.75</c:v>
                </c:pt>
                <c:pt idx="460">
                  <c:v>525.75</c:v>
                </c:pt>
                <c:pt idx="461">
                  <c:v>532.75</c:v>
                </c:pt>
                <c:pt idx="462">
                  <c:v>530.25</c:v>
                </c:pt>
                <c:pt idx="463">
                  <c:v>539.25</c:v>
                </c:pt>
                <c:pt idx="464">
                  <c:v>532.25</c:v>
                </c:pt>
                <c:pt idx="465">
                  <c:v>538</c:v>
                </c:pt>
                <c:pt idx="466">
                  <c:v>538</c:v>
                </c:pt>
                <c:pt idx="467">
                  <c:v>543.5</c:v>
                </c:pt>
                <c:pt idx="468">
                  <c:v>557.25</c:v>
                </c:pt>
                <c:pt idx="469">
                  <c:v>562.75</c:v>
                </c:pt>
                <c:pt idx="470">
                  <c:v>568.25</c:v>
                </c:pt>
                <c:pt idx="471">
                  <c:v>579</c:v>
                </c:pt>
                <c:pt idx="472">
                  <c:v>573</c:v>
                </c:pt>
                <c:pt idx="473">
                  <c:v>564</c:v>
                </c:pt>
                <c:pt idx="474">
                  <c:v>559.25</c:v>
                </c:pt>
                <c:pt idx="475">
                  <c:v>553</c:v>
                </c:pt>
                <c:pt idx="476">
                  <c:v>551.5</c:v>
                </c:pt>
                <c:pt idx="477">
                  <c:v>554.75</c:v>
                </c:pt>
                <c:pt idx="478">
                  <c:v>569.25</c:v>
                </c:pt>
                <c:pt idx="479">
                  <c:v>569.5</c:v>
                </c:pt>
                <c:pt idx="480">
                  <c:v>577.25</c:v>
                </c:pt>
                <c:pt idx="481">
                  <c:v>576.5</c:v>
                </c:pt>
                <c:pt idx="482">
                  <c:v>571</c:v>
                </c:pt>
                <c:pt idx="483">
                  <c:v>575.25</c:v>
                </c:pt>
                <c:pt idx="484">
                  <c:v>573</c:v>
                </c:pt>
                <c:pt idx="485">
                  <c:v>570.75</c:v>
                </c:pt>
                <c:pt idx="486">
                  <c:v>576.75</c:v>
                </c:pt>
                <c:pt idx="487">
                  <c:v>580.5</c:v>
                </c:pt>
                <c:pt idx="488">
                  <c:v>579.75</c:v>
                </c:pt>
                <c:pt idx="489">
                  <c:v>586.75</c:v>
                </c:pt>
                <c:pt idx="490">
                  <c:v>581</c:v>
                </c:pt>
                <c:pt idx="491">
                  <c:v>567</c:v>
                </c:pt>
                <c:pt idx="492">
                  <c:v>572</c:v>
                </c:pt>
                <c:pt idx="493">
                  <c:v>577</c:v>
                </c:pt>
                <c:pt idx="494">
                  <c:v>586</c:v>
                </c:pt>
                <c:pt idx="495">
                  <c:v>583.5</c:v>
                </c:pt>
                <c:pt idx="496">
                  <c:v>586.25</c:v>
                </c:pt>
                <c:pt idx="497">
                  <c:v>584.75</c:v>
                </c:pt>
                <c:pt idx="498">
                  <c:v>588.5</c:v>
                </c:pt>
                <c:pt idx="499">
                  <c:v>588.5</c:v>
                </c:pt>
                <c:pt idx="500">
                  <c:v>584.25</c:v>
                </c:pt>
                <c:pt idx="501">
                  <c:v>588.75</c:v>
                </c:pt>
                <c:pt idx="502">
                  <c:v>585.75</c:v>
                </c:pt>
                <c:pt idx="503">
                  <c:v>591.25</c:v>
                </c:pt>
                <c:pt idx="504">
                  <c:v>593.25</c:v>
                </c:pt>
                <c:pt idx="505">
                  <c:v>591</c:v>
                </c:pt>
                <c:pt idx="506">
                  <c:v>598.25</c:v>
                </c:pt>
                <c:pt idx="507">
                  <c:v>602.5</c:v>
                </c:pt>
                <c:pt idx="508">
                  <c:v>605.75</c:v>
                </c:pt>
                <c:pt idx="509">
                  <c:v>605.79999999999995</c:v>
                </c:pt>
                <c:pt idx="510">
                  <c:v>614.75</c:v>
                </c:pt>
                <c:pt idx="511">
                  <c:v>604.75</c:v>
                </c:pt>
                <c:pt idx="512">
                  <c:v>605.5</c:v>
                </c:pt>
                <c:pt idx="513">
                  <c:v>596</c:v>
                </c:pt>
                <c:pt idx="514">
                  <c:v>593.25</c:v>
                </c:pt>
                <c:pt idx="515">
                  <c:v>589.25</c:v>
                </c:pt>
                <c:pt idx="516">
                  <c:v>609.5</c:v>
                </c:pt>
                <c:pt idx="517">
                  <c:v>602.25</c:v>
                </c:pt>
                <c:pt idx="518">
                  <c:v>603.75</c:v>
                </c:pt>
                <c:pt idx="519">
                  <c:v>606.75</c:v>
                </c:pt>
                <c:pt idx="520">
                  <c:v>599.75</c:v>
                </c:pt>
                <c:pt idx="521">
                  <c:v>601</c:v>
                </c:pt>
                <c:pt idx="522">
                  <c:v>599</c:v>
                </c:pt>
                <c:pt idx="523">
                  <c:v>587.5</c:v>
                </c:pt>
                <c:pt idx="524">
                  <c:v>596.25</c:v>
                </c:pt>
                <c:pt idx="525">
                  <c:v>599.5</c:v>
                </c:pt>
                <c:pt idx="526">
                  <c:v>610.5</c:v>
                </c:pt>
                <c:pt idx="527">
                  <c:v>611</c:v>
                </c:pt>
                <c:pt idx="528">
                  <c:v>616.25</c:v>
                </c:pt>
                <c:pt idx="529">
                  <c:v>621</c:v>
                </c:pt>
                <c:pt idx="530">
                  <c:v>620</c:v>
                </c:pt>
                <c:pt idx="531">
                  <c:v>627</c:v>
                </c:pt>
                <c:pt idx="532">
                  <c:v>625.25</c:v>
                </c:pt>
                <c:pt idx="533">
                  <c:v>636</c:v>
                </c:pt>
                <c:pt idx="534">
                  <c:v>626</c:v>
                </c:pt>
                <c:pt idx="535">
                  <c:v>634.75</c:v>
                </c:pt>
                <c:pt idx="536">
                  <c:v>622.5</c:v>
                </c:pt>
                <c:pt idx="537">
                  <c:v>616.75</c:v>
                </c:pt>
                <c:pt idx="538">
                  <c:v>620.5</c:v>
                </c:pt>
                <c:pt idx="539">
                  <c:v>635.25</c:v>
                </c:pt>
                <c:pt idx="540">
                  <c:v>632.25</c:v>
                </c:pt>
                <c:pt idx="541">
                  <c:v>646.75</c:v>
                </c:pt>
                <c:pt idx="542">
                  <c:v>641.75</c:v>
                </c:pt>
                <c:pt idx="543">
                  <c:v>651</c:v>
                </c:pt>
                <c:pt idx="544">
                  <c:v>655.75</c:v>
                </c:pt>
                <c:pt idx="545">
                  <c:v>638</c:v>
                </c:pt>
                <c:pt idx="546">
                  <c:v>647</c:v>
                </c:pt>
                <c:pt idx="547">
                  <c:v>650</c:v>
                </c:pt>
                <c:pt idx="548">
                  <c:v>654.25</c:v>
                </c:pt>
                <c:pt idx="549">
                  <c:v>674.75</c:v>
                </c:pt>
                <c:pt idx="550">
                  <c:v>683.75</c:v>
                </c:pt>
                <c:pt idx="551">
                  <c:v>695</c:v>
                </c:pt>
                <c:pt idx="552">
                  <c:v>659.5</c:v>
                </c:pt>
                <c:pt idx="553">
                  <c:v>697.5</c:v>
                </c:pt>
                <c:pt idx="554">
                  <c:v>739.75</c:v>
                </c:pt>
                <c:pt idx="555">
                  <c:v>739</c:v>
                </c:pt>
                <c:pt idx="556">
                  <c:v>751.25</c:v>
                </c:pt>
                <c:pt idx="557">
                  <c:v>756.5</c:v>
                </c:pt>
                <c:pt idx="558">
                  <c:v>749.25</c:v>
                </c:pt>
                <c:pt idx="559">
                  <c:v>754.5</c:v>
                </c:pt>
                <c:pt idx="560">
                  <c:v>735</c:v>
                </c:pt>
                <c:pt idx="561">
                  <c:v>757.75</c:v>
                </c:pt>
                <c:pt idx="562">
                  <c:v>764.5</c:v>
                </c:pt>
                <c:pt idx="563">
                  <c:v>728.25</c:v>
                </c:pt>
                <c:pt idx="564">
                  <c:v>758</c:v>
                </c:pt>
                <c:pt idx="565">
                  <c:v>730</c:v>
                </c:pt>
                <c:pt idx="566">
                  <c:v>754.5</c:v>
                </c:pt>
                <c:pt idx="567">
                  <c:v>741.75</c:v>
                </c:pt>
                <c:pt idx="568">
                  <c:v>756.25</c:v>
                </c:pt>
                <c:pt idx="569">
                  <c:v>753</c:v>
                </c:pt>
                <c:pt idx="570">
                  <c:v>757.75</c:v>
                </c:pt>
                <c:pt idx="571">
                  <c:v>748.25</c:v>
                </c:pt>
                <c:pt idx="572">
                  <c:v>754</c:v>
                </c:pt>
                <c:pt idx="573">
                  <c:v>748.5</c:v>
                </c:pt>
                <c:pt idx="574">
                  <c:v>726.25</c:v>
                </c:pt>
                <c:pt idx="575">
                  <c:v>738</c:v>
                </c:pt>
                <c:pt idx="576">
                  <c:v>748.75</c:v>
                </c:pt>
                <c:pt idx="577">
                  <c:v>735</c:v>
                </c:pt>
                <c:pt idx="578">
                  <c:v>750.5</c:v>
                </c:pt>
                <c:pt idx="579">
                  <c:v>759.75</c:v>
                </c:pt>
                <c:pt idx="580">
                  <c:v>756.5</c:v>
                </c:pt>
                <c:pt idx="581">
                  <c:v>757.75</c:v>
                </c:pt>
                <c:pt idx="582">
                  <c:v>768.75</c:v>
                </c:pt>
                <c:pt idx="583">
                  <c:v>764.5</c:v>
                </c:pt>
                <c:pt idx="584">
                  <c:v>776.25</c:v>
                </c:pt>
                <c:pt idx="585">
                  <c:v>783.5</c:v>
                </c:pt>
                <c:pt idx="586">
                  <c:v>790.25</c:v>
                </c:pt>
                <c:pt idx="587">
                  <c:v>791</c:v>
                </c:pt>
                <c:pt idx="588">
                  <c:v>813.25</c:v>
                </c:pt>
                <c:pt idx="589">
                  <c:v>804</c:v>
                </c:pt>
                <c:pt idx="590">
                  <c:v>815.75</c:v>
                </c:pt>
                <c:pt idx="591">
                  <c:v>799.25</c:v>
                </c:pt>
                <c:pt idx="592">
                  <c:v>793</c:v>
                </c:pt>
                <c:pt idx="593">
                  <c:v>800.25</c:v>
                </c:pt>
                <c:pt idx="594">
                  <c:v>803.25</c:v>
                </c:pt>
                <c:pt idx="595">
                  <c:v>815.5</c:v>
                </c:pt>
                <c:pt idx="596">
                  <c:v>816</c:v>
                </c:pt>
                <c:pt idx="597">
                  <c:v>818.25</c:v>
                </c:pt>
                <c:pt idx="598">
                  <c:v>813</c:v>
                </c:pt>
                <c:pt idx="599">
                  <c:v>800.75</c:v>
                </c:pt>
                <c:pt idx="600">
                  <c:v>798.5</c:v>
                </c:pt>
                <c:pt idx="601">
                  <c:v>803.75</c:v>
                </c:pt>
                <c:pt idx="602">
                  <c:v>792.25</c:v>
                </c:pt>
                <c:pt idx="603">
                  <c:v>784.5</c:v>
                </c:pt>
                <c:pt idx="604">
                  <c:v>786.5</c:v>
                </c:pt>
                <c:pt idx="605">
                  <c:v>802.25</c:v>
                </c:pt>
                <c:pt idx="606">
                  <c:v>813.5</c:v>
                </c:pt>
                <c:pt idx="607">
                  <c:v>794.5</c:v>
                </c:pt>
                <c:pt idx="608">
                  <c:v>809.5</c:v>
                </c:pt>
                <c:pt idx="609">
                  <c:v>800.75</c:v>
                </c:pt>
                <c:pt idx="610">
                  <c:v>781.5</c:v>
                </c:pt>
                <c:pt idx="611">
                  <c:v>783.25</c:v>
                </c:pt>
                <c:pt idx="612">
                  <c:v>778.75</c:v>
                </c:pt>
                <c:pt idx="613">
                  <c:v>786.25</c:v>
                </c:pt>
                <c:pt idx="614">
                  <c:v>771.75</c:v>
                </c:pt>
                <c:pt idx="615">
                  <c:v>772.25</c:v>
                </c:pt>
                <c:pt idx="616">
                  <c:v>765</c:v>
                </c:pt>
                <c:pt idx="617">
                  <c:v>777.25</c:v>
                </c:pt>
                <c:pt idx="618">
                  <c:v>775.62</c:v>
                </c:pt>
                <c:pt idx="619">
                  <c:v>753.5</c:v>
                </c:pt>
                <c:pt idx="620">
                  <c:v>731.25</c:v>
                </c:pt>
                <c:pt idx="621">
                  <c:v>730.25</c:v>
                </c:pt>
                <c:pt idx="622">
                  <c:v>727</c:v>
                </c:pt>
                <c:pt idx="623">
                  <c:v>742.5</c:v>
                </c:pt>
                <c:pt idx="624">
                  <c:v>757</c:v>
                </c:pt>
                <c:pt idx="625">
                  <c:v>764.5</c:v>
                </c:pt>
                <c:pt idx="626">
                  <c:v>773</c:v>
                </c:pt>
                <c:pt idx="627">
                  <c:v>773.25</c:v>
                </c:pt>
                <c:pt idx="628">
                  <c:v>769.25</c:v>
                </c:pt>
                <c:pt idx="629">
                  <c:v>768.25</c:v>
                </c:pt>
                <c:pt idx="630">
                  <c:v>774</c:v>
                </c:pt>
                <c:pt idx="631">
                  <c:v>788.25</c:v>
                </c:pt>
                <c:pt idx="632">
                  <c:v>784.5</c:v>
                </c:pt>
                <c:pt idx="633">
                  <c:v>760.75</c:v>
                </c:pt>
                <c:pt idx="634">
                  <c:v>768</c:v>
                </c:pt>
                <c:pt idx="635">
                  <c:v>746.75</c:v>
                </c:pt>
                <c:pt idx="636">
                  <c:v>750.25</c:v>
                </c:pt>
                <c:pt idx="637">
                  <c:v>744.25</c:v>
                </c:pt>
                <c:pt idx="638">
                  <c:v>759.5</c:v>
                </c:pt>
                <c:pt idx="639">
                  <c:v>770.25</c:v>
                </c:pt>
                <c:pt idx="640">
                  <c:v>743.75</c:v>
                </c:pt>
                <c:pt idx="641">
                  <c:v>754.5</c:v>
                </c:pt>
                <c:pt idx="642">
                  <c:v>736</c:v>
                </c:pt>
                <c:pt idx="643">
                  <c:v>744.25</c:v>
                </c:pt>
                <c:pt idx="644">
                  <c:v>747</c:v>
                </c:pt>
                <c:pt idx="645">
                  <c:v>778.25</c:v>
                </c:pt>
                <c:pt idx="646">
                  <c:v>781.25</c:v>
                </c:pt>
                <c:pt idx="647">
                  <c:v>732.75</c:v>
                </c:pt>
                <c:pt idx="648">
                  <c:v>740</c:v>
                </c:pt>
                <c:pt idx="649">
                  <c:v>695</c:v>
                </c:pt>
                <c:pt idx="650">
                  <c:v>604.25</c:v>
                </c:pt>
                <c:pt idx="651">
                  <c:v>612.25</c:v>
                </c:pt>
                <c:pt idx="652">
                  <c:v>596.75</c:v>
                </c:pt>
                <c:pt idx="653">
                  <c:v>592.25</c:v>
                </c:pt>
                <c:pt idx="654">
                  <c:v>575.75</c:v>
                </c:pt>
                <c:pt idx="655">
                  <c:v>564.25</c:v>
                </c:pt>
                <c:pt idx="656">
                  <c:v>580</c:v>
                </c:pt>
                <c:pt idx="657">
                  <c:v>597</c:v>
                </c:pt>
                <c:pt idx="658">
                  <c:v>600.25</c:v>
                </c:pt>
                <c:pt idx="659">
                  <c:v>615</c:v>
                </c:pt>
                <c:pt idx="660">
                  <c:v>616.25</c:v>
                </c:pt>
                <c:pt idx="661">
                  <c:v>607</c:v>
                </c:pt>
                <c:pt idx="662">
                  <c:v>591.25</c:v>
                </c:pt>
                <c:pt idx="663">
                  <c:v>591.5</c:v>
                </c:pt>
                <c:pt idx="664">
                  <c:v>602.25</c:v>
                </c:pt>
                <c:pt idx="665">
                  <c:v>610.25</c:v>
                </c:pt>
                <c:pt idx="666">
                  <c:v>608.5</c:v>
                </c:pt>
                <c:pt idx="667">
                  <c:v>615.5</c:v>
                </c:pt>
                <c:pt idx="668">
                  <c:v>621.25</c:v>
                </c:pt>
                <c:pt idx="669">
                  <c:v>629.25</c:v>
                </c:pt>
                <c:pt idx="670">
                  <c:v>639.75</c:v>
                </c:pt>
                <c:pt idx="671">
                  <c:v>626.75</c:v>
                </c:pt>
                <c:pt idx="672">
                  <c:v>611</c:v>
                </c:pt>
                <c:pt idx="673">
                  <c:v>615</c:v>
                </c:pt>
                <c:pt idx="674">
                  <c:v>619.75</c:v>
                </c:pt>
                <c:pt idx="675">
                  <c:v>626</c:v>
                </c:pt>
                <c:pt idx="676">
                  <c:v>633.5</c:v>
                </c:pt>
                <c:pt idx="677">
                  <c:v>660</c:v>
                </c:pt>
                <c:pt idx="678">
                  <c:v>665.75</c:v>
                </c:pt>
                <c:pt idx="679">
                  <c:v>657.5</c:v>
                </c:pt>
                <c:pt idx="680">
                  <c:v>668.75</c:v>
                </c:pt>
                <c:pt idx="681">
                  <c:v>683.75</c:v>
                </c:pt>
                <c:pt idx="682">
                  <c:v>679.75</c:v>
                </c:pt>
                <c:pt idx="683">
                  <c:v>673.75</c:v>
                </c:pt>
                <c:pt idx="684">
                  <c:v>658.25</c:v>
                </c:pt>
                <c:pt idx="685">
                  <c:v>669</c:v>
                </c:pt>
                <c:pt idx="686">
                  <c:v>667.38</c:v>
                </c:pt>
                <c:pt idx="687">
                  <c:v>680.75</c:v>
                </c:pt>
                <c:pt idx="688">
                  <c:v>676.75</c:v>
                </c:pt>
                <c:pt idx="689">
                  <c:v>668.5</c:v>
                </c:pt>
                <c:pt idx="690">
                  <c:v>698.5</c:v>
                </c:pt>
                <c:pt idx="691">
                  <c:v>712.25</c:v>
                </c:pt>
                <c:pt idx="692">
                  <c:v>709</c:v>
                </c:pt>
                <c:pt idx="693">
                  <c:v>709</c:v>
                </c:pt>
                <c:pt idx="694">
                  <c:v>677.5</c:v>
                </c:pt>
                <c:pt idx="695">
                  <c:v>677.25</c:v>
                </c:pt>
                <c:pt idx="696">
                  <c:v>678.25</c:v>
                </c:pt>
                <c:pt idx="697">
                  <c:v>692</c:v>
                </c:pt>
                <c:pt idx="698">
                  <c:v>685.5</c:v>
                </c:pt>
                <c:pt idx="699">
                  <c:v>688.25</c:v>
                </c:pt>
                <c:pt idx="700">
                  <c:v>676.75</c:v>
                </c:pt>
                <c:pt idx="701">
                  <c:v>666.25</c:v>
                </c:pt>
                <c:pt idx="702">
                  <c:v>667.5</c:v>
                </c:pt>
                <c:pt idx="703">
                  <c:v>670.5</c:v>
                </c:pt>
                <c:pt idx="704">
                  <c:v>669.5</c:v>
                </c:pt>
                <c:pt idx="705">
                  <c:v>677.5</c:v>
                </c:pt>
                <c:pt idx="706">
                  <c:v>680.75</c:v>
                </c:pt>
                <c:pt idx="707">
                  <c:v>683</c:v>
                </c:pt>
                <c:pt idx="708">
                  <c:v>684</c:v>
                </c:pt>
                <c:pt idx="709">
                  <c:v>675.5</c:v>
                </c:pt>
                <c:pt idx="710">
                  <c:v>683.25</c:v>
                </c:pt>
                <c:pt idx="711">
                  <c:v>698.25</c:v>
                </c:pt>
                <c:pt idx="712">
                  <c:v>693</c:v>
                </c:pt>
                <c:pt idx="713">
                  <c:v>693</c:v>
                </c:pt>
                <c:pt idx="714">
                  <c:v>697.75</c:v>
                </c:pt>
                <c:pt idx="715">
                  <c:v>689.75</c:v>
                </c:pt>
                <c:pt idx="716">
                  <c:v>683.5</c:v>
                </c:pt>
                <c:pt idx="717">
                  <c:v>681</c:v>
                </c:pt>
                <c:pt idx="718">
                  <c:v>678.25</c:v>
                </c:pt>
                <c:pt idx="719">
                  <c:v>684</c:v>
                </c:pt>
                <c:pt idx="720">
                  <c:v>684.25</c:v>
                </c:pt>
                <c:pt idx="721">
                  <c:v>681.5</c:v>
                </c:pt>
                <c:pt idx="722">
                  <c:v>686.25</c:v>
                </c:pt>
                <c:pt idx="723">
                  <c:v>685</c:v>
                </c:pt>
                <c:pt idx="724">
                  <c:v>682.25</c:v>
                </c:pt>
                <c:pt idx="725">
                  <c:v>680.75</c:v>
                </c:pt>
                <c:pt idx="726">
                  <c:v>691.5</c:v>
                </c:pt>
                <c:pt idx="727">
                  <c:v>697.75</c:v>
                </c:pt>
                <c:pt idx="728">
                  <c:v>687.5</c:v>
                </c:pt>
                <c:pt idx="729">
                  <c:v>679.25</c:v>
                </c:pt>
                <c:pt idx="730">
                  <c:v>681</c:v>
                </c:pt>
                <c:pt idx="731">
                  <c:v>675.75</c:v>
                </c:pt>
                <c:pt idx="732">
                  <c:v>667.5</c:v>
                </c:pt>
                <c:pt idx="733">
                  <c:v>664.5</c:v>
                </c:pt>
                <c:pt idx="734">
                  <c:v>653.25</c:v>
                </c:pt>
                <c:pt idx="735">
                  <c:v>658</c:v>
                </c:pt>
                <c:pt idx="736">
                  <c:v>657.25</c:v>
                </c:pt>
                <c:pt idx="737">
                  <c:v>666.75</c:v>
                </c:pt>
                <c:pt idx="738">
                  <c:v>665.25</c:v>
                </c:pt>
                <c:pt idx="739">
                  <c:v>667.5</c:v>
                </c:pt>
                <c:pt idx="740">
                  <c:v>667.75</c:v>
                </c:pt>
                <c:pt idx="741">
                  <c:v>659.5</c:v>
                </c:pt>
                <c:pt idx="742">
                  <c:v>656.75</c:v>
                </c:pt>
                <c:pt idx="743">
                  <c:v>663.25</c:v>
                </c:pt>
                <c:pt idx="744">
                  <c:v>668</c:v>
                </c:pt>
                <c:pt idx="745">
                  <c:v>668.75</c:v>
                </c:pt>
                <c:pt idx="746">
                  <c:v>665.75</c:v>
                </c:pt>
                <c:pt idx="747">
                  <c:v>662</c:v>
                </c:pt>
                <c:pt idx="748">
                  <c:v>650</c:v>
                </c:pt>
                <c:pt idx="749">
                  <c:v>635</c:v>
                </c:pt>
                <c:pt idx="750">
                  <c:v>628.75</c:v>
                </c:pt>
                <c:pt idx="751">
                  <c:v>625.5</c:v>
                </c:pt>
                <c:pt idx="752">
                  <c:v>627.75</c:v>
                </c:pt>
                <c:pt idx="753">
                  <c:v>632</c:v>
                </c:pt>
                <c:pt idx="754">
                  <c:v>634.75</c:v>
                </c:pt>
                <c:pt idx="755">
                  <c:v>641.25</c:v>
                </c:pt>
                <c:pt idx="756">
                  <c:v>643.75</c:v>
                </c:pt>
                <c:pt idx="757">
                  <c:v>639</c:v>
                </c:pt>
                <c:pt idx="758">
                  <c:v>653.5</c:v>
                </c:pt>
                <c:pt idx="759">
                  <c:v>653</c:v>
                </c:pt>
                <c:pt idx="760">
                  <c:v>647.25</c:v>
                </c:pt>
                <c:pt idx="761">
                  <c:v>652</c:v>
                </c:pt>
                <c:pt idx="762">
                  <c:v>662.25</c:v>
                </c:pt>
                <c:pt idx="763">
                  <c:v>660.5</c:v>
                </c:pt>
                <c:pt idx="764">
                  <c:v>666.25</c:v>
                </c:pt>
                <c:pt idx="765">
                  <c:v>674.75</c:v>
                </c:pt>
                <c:pt idx="766">
                  <c:v>682.75</c:v>
                </c:pt>
                <c:pt idx="767">
                  <c:v>679.5</c:v>
                </c:pt>
                <c:pt idx="768">
                  <c:v>678.5</c:v>
                </c:pt>
                <c:pt idx="769">
                  <c:v>670.5</c:v>
                </c:pt>
                <c:pt idx="770">
                  <c:v>653.75</c:v>
                </c:pt>
                <c:pt idx="771">
                  <c:v>652.75</c:v>
                </c:pt>
                <c:pt idx="772">
                  <c:v>654</c:v>
                </c:pt>
                <c:pt idx="773">
                  <c:v>652.75</c:v>
                </c:pt>
                <c:pt idx="774">
                  <c:v>655</c:v>
                </c:pt>
                <c:pt idx="775">
                  <c:v>656</c:v>
                </c:pt>
                <c:pt idx="776">
                  <c:v>671</c:v>
                </c:pt>
                <c:pt idx="777">
                  <c:v>675</c:v>
                </c:pt>
                <c:pt idx="778">
                  <c:v>685.25</c:v>
                </c:pt>
                <c:pt idx="779">
                  <c:v>681.25</c:v>
                </c:pt>
                <c:pt idx="780">
                  <c:v>677.25</c:v>
                </c:pt>
                <c:pt idx="781">
                  <c:v>676.25</c:v>
                </c:pt>
                <c:pt idx="782">
                  <c:v>666.25</c:v>
                </c:pt>
                <c:pt idx="783">
                  <c:v>677</c:v>
                </c:pt>
                <c:pt idx="784">
                  <c:v>674.75</c:v>
                </c:pt>
                <c:pt idx="785">
                  <c:v>682.5</c:v>
                </c:pt>
                <c:pt idx="786">
                  <c:v>683</c:v>
                </c:pt>
                <c:pt idx="787">
                  <c:v>683.75</c:v>
                </c:pt>
                <c:pt idx="788">
                  <c:v>679.75</c:v>
                </c:pt>
                <c:pt idx="789">
                  <c:v>681</c:v>
                </c:pt>
                <c:pt idx="790">
                  <c:v>675.25</c:v>
                </c:pt>
                <c:pt idx="791">
                  <c:v>677.5</c:v>
                </c:pt>
                <c:pt idx="792">
                  <c:v>679</c:v>
                </c:pt>
                <c:pt idx="793">
                  <c:v>674</c:v>
                </c:pt>
                <c:pt idx="794">
                  <c:v>678.5</c:v>
                </c:pt>
                <c:pt idx="795">
                  <c:v>670.75</c:v>
                </c:pt>
                <c:pt idx="796">
                  <c:v>680.5</c:v>
                </c:pt>
                <c:pt idx="797">
                  <c:v>685</c:v>
                </c:pt>
                <c:pt idx="798">
                  <c:v>682.25</c:v>
                </c:pt>
                <c:pt idx="799">
                  <c:v>676.25</c:v>
                </c:pt>
                <c:pt idx="800">
                  <c:v>676</c:v>
                </c:pt>
                <c:pt idx="801">
                  <c:v>677.75</c:v>
                </c:pt>
                <c:pt idx="802">
                  <c:v>680.5</c:v>
                </c:pt>
                <c:pt idx="803">
                  <c:v>674.25</c:v>
                </c:pt>
                <c:pt idx="804">
                  <c:v>659.25</c:v>
                </c:pt>
                <c:pt idx="805">
                  <c:v>649.25</c:v>
                </c:pt>
                <c:pt idx="806">
                  <c:v>642.75</c:v>
                </c:pt>
                <c:pt idx="807">
                  <c:v>629.5</c:v>
                </c:pt>
                <c:pt idx="808">
                  <c:v>640.5</c:v>
                </c:pt>
                <c:pt idx="809">
                  <c:v>637.75</c:v>
                </c:pt>
                <c:pt idx="810">
                  <c:v>645.25</c:v>
                </c:pt>
                <c:pt idx="811">
                  <c:v>637</c:v>
                </c:pt>
                <c:pt idx="812">
                  <c:v>634.25</c:v>
                </c:pt>
                <c:pt idx="813">
                  <c:v>625.5</c:v>
                </c:pt>
                <c:pt idx="814">
                  <c:v>611.5</c:v>
                </c:pt>
                <c:pt idx="815">
                  <c:v>624.25</c:v>
                </c:pt>
                <c:pt idx="816">
                  <c:v>624.5</c:v>
                </c:pt>
                <c:pt idx="817">
                  <c:v>627.5</c:v>
                </c:pt>
                <c:pt idx="818">
                  <c:v>626.5</c:v>
                </c:pt>
                <c:pt idx="819">
                  <c:v>632.75</c:v>
                </c:pt>
                <c:pt idx="820">
                  <c:v>634.25</c:v>
                </c:pt>
                <c:pt idx="821">
                  <c:v>633</c:v>
                </c:pt>
                <c:pt idx="822">
                  <c:v>630</c:v>
                </c:pt>
                <c:pt idx="823">
                  <c:v>633.5</c:v>
                </c:pt>
                <c:pt idx="824">
                  <c:v>631.75</c:v>
                </c:pt>
                <c:pt idx="825">
                  <c:v>643</c:v>
                </c:pt>
                <c:pt idx="826">
                  <c:v>648.25</c:v>
                </c:pt>
                <c:pt idx="827">
                  <c:v>647.25</c:v>
                </c:pt>
                <c:pt idx="828">
                  <c:v>650.5</c:v>
                </c:pt>
                <c:pt idx="829">
                  <c:v>649.5</c:v>
                </c:pt>
                <c:pt idx="830">
                  <c:v>660.5</c:v>
                </c:pt>
                <c:pt idx="831">
                  <c:v>657.75</c:v>
                </c:pt>
                <c:pt idx="832">
                  <c:v>653.75</c:v>
                </c:pt>
                <c:pt idx="833">
                  <c:v>652.75</c:v>
                </c:pt>
                <c:pt idx="834">
                  <c:v>643.5</c:v>
                </c:pt>
                <c:pt idx="835">
                  <c:v>643.5</c:v>
                </c:pt>
                <c:pt idx="836">
                  <c:v>654</c:v>
                </c:pt>
                <c:pt idx="837">
                  <c:v>651</c:v>
                </c:pt>
                <c:pt idx="838">
                  <c:v>656</c:v>
                </c:pt>
                <c:pt idx="839">
                  <c:v>652.25</c:v>
                </c:pt>
                <c:pt idx="840">
                  <c:v>666.25</c:v>
                </c:pt>
                <c:pt idx="841">
                  <c:v>676.5</c:v>
                </c:pt>
                <c:pt idx="842">
                  <c:v>677.5</c:v>
                </c:pt>
                <c:pt idx="843">
                  <c:v>672.25</c:v>
                </c:pt>
                <c:pt idx="844">
                  <c:v>663.75</c:v>
                </c:pt>
                <c:pt idx="845">
                  <c:v>663.25</c:v>
                </c:pt>
                <c:pt idx="846">
                  <c:v>651.25</c:v>
                </c:pt>
                <c:pt idx="847">
                  <c:v>646.5</c:v>
                </c:pt>
                <c:pt idx="848">
                  <c:v>641.5</c:v>
                </c:pt>
                <c:pt idx="849">
                  <c:v>627</c:v>
                </c:pt>
                <c:pt idx="850">
                  <c:v>636</c:v>
                </c:pt>
                <c:pt idx="851">
                  <c:v>639.5</c:v>
                </c:pt>
                <c:pt idx="852">
                  <c:v>638</c:v>
                </c:pt>
                <c:pt idx="853">
                  <c:v>645.25</c:v>
                </c:pt>
                <c:pt idx="854">
                  <c:v>646.5</c:v>
                </c:pt>
                <c:pt idx="855">
                  <c:v>653.25</c:v>
                </c:pt>
                <c:pt idx="856">
                  <c:v>656.5</c:v>
                </c:pt>
                <c:pt idx="857">
                  <c:v>642.25</c:v>
                </c:pt>
                <c:pt idx="858">
                  <c:v>645.5</c:v>
                </c:pt>
                <c:pt idx="859">
                  <c:v>632.5</c:v>
                </c:pt>
                <c:pt idx="860">
                  <c:v>633.25</c:v>
                </c:pt>
                <c:pt idx="861">
                  <c:v>592.5</c:v>
                </c:pt>
                <c:pt idx="862">
                  <c:v>581.25</c:v>
                </c:pt>
                <c:pt idx="863">
                  <c:v>561.5</c:v>
                </c:pt>
                <c:pt idx="864">
                  <c:v>555.25</c:v>
                </c:pt>
                <c:pt idx="865">
                  <c:v>554.5</c:v>
                </c:pt>
                <c:pt idx="866">
                  <c:v>571</c:v>
                </c:pt>
                <c:pt idx="867">
                  <c:v>577.5</c:v>
                </c:pt>
                <c:pt idx="868">
                  <c:v>587.25</c:v>
                </c:pt>
                <c:pt idx="869">
                  <c:v>590.75</c:v>
                </c:pt>
                <c:pt idx="870">
                  <c:v>604</c:v>
                </c:pt>
                <c:pt idx="871">
                  <c:v>594</c:v>
                </c:pt>
                <c:pt idx="872">
                  <c:v>594</c:v>
                </c:pt>
                <c:pt idx="873">
                  <c:v>592.5</c:v>
                </c:pt>
                <c:pt idx="874">
                  <c:v>609</c:v>
                </c:pt>
                <c:pt idx="875">
                  <c:v>597.5</c:v>
                </c:pt>
                <c:pt idx="876">
                  <c:v>608</c:v>
                </c:pt>
                <c:pt idx="877">
                  <c:v>604.25</c:v>
                </c:pt>
                <c:pt idx="878">
                  <c:v>610.25</c:v>
                </c:pt>
                <c:pt idx="879">
                  <c:v>604.25</c:v>
                </c:pt>
                <c:pt idx="880">
                  <c:v>617.25</c:v>
                </c:pt>
                <c:pt idx="881">
                  <c:v>612.5</c:v>
                </c:pt>
                <c:pt idx="882">
                  <c:v>607.75</c:v>
                </c:pt>
                <c:pt idx="883">
                  <c:v>623.25</c:v>
                </c:pt>
                <c:pt idx="884">
                  <c:v>640.25</c:v>
                </c:pt>
                <c:pt idx="885">
                  <c:v>643.75</c:v>
                </c:pt>
                <c:pt idx="886">
                  <c:v>671</c:v>
                </c:pt>
                <c:pt idx="887">
                  <c:v>660.5</c:v>
                </c:pt>
                <c:pt idx="888">
                  <c:v>630.75</c:v>
                </c:pt>
                <c:pt idx="889">
                  <c:v>637.25</c:v>
                </c:pt>
                <c:pt idx="890">
                  <c:v>623</c:v>
                </c:pt>
                <c:pt idx="891">
                  <c:v>590</c:v>
                </c:pt>
                <c:pt idx="892">
                  <c:v>581</c:v>
                </c:pt>
                <c:pt idx="893">
                  <c:v>554.5</c:v>
                </c:pt>
                <c:pt idx="894">
                  <c:v>557.25</c:v>
                </c:pt>
                <c:pt idx="895">
                  <c:v>548.25</c:v>
                </c:pt>
                <c:pt idx="896">
                  <c:v>566.75</c:v>
                </c:pt>
                <c:pt idx="897">
                  <c:v>560.5</c:v>
                </c:pt>
                <c:pt idx="898">
                  <c:v>570.75</c:v>
                </c:pt>
                <c:pt idx="899">
                  <c:v>571.75</c:v>
                </c:pt>
                <c:pt idx="900">
                  <c:v>549.75</c:v>
                </c:pt>
                <c:pt idx="901">
                  <c:v>593.5</c:v>
                </c:pt>
                <c:pt idx="902">
                  <c:v>599.75</c:v>
                </c:pt>
                <c:pt idx="903">
                  <c:v>499.25</c:v>
                </c:pt>
                <c:pt idx="904">
                  <c:v>528.75</c:v>
                </c:pt>
                <c:pt idx="905">
                  <c:v>545.5</c:v>
                </c:pt>
                <c:pt idx="906">
                  <c:v>537.25</c:v>
                </c:pt>
                <c:pt idx="907">
                  <c:v>527</c:v>
                </c:pt>
                <c:pt idx="908">
                  <c:v>560.5</c:v>
                </c:pt>
                <c:pt idx="909">
                  <c:v>557.5</c:v>
                </c:pt>
                <c:pt idx="910">
                  <c:v>540.25</c:v>
                </c:pt>
                <c:pt idx="911">
                  <c:v>540.25</c:v>
                </c:pt>
                <c:pt idx="912">
                  <c:v>533</c:v>
                </c:pt>
                <c:pt idx="913">
                  <c:v>516.25</c:v>
                </c:pt>
                <c:pt idx="914">
                  <c:v>504</c:v>
                </c:pt>
                <c:pt idx="915">
                  <c:v>497.25</c:v>
                </c:pt>
                <c:pt idx="916">
                  <c:v>498.88</c:v>
                </c:pt>
              </c:numCache>
            </c:numRef>
          </c:val>
          <c:smooth val="0"/>
          <c:extLst>
            <c:ext xmlns:c16="http://schemas.microsoft.com/office/drawing/2014/chart" uri="{C3380CC4-5D6E-409C-BE32-E72D297353CC}">
              <c16:uniqueId val="{00000001-708F-4E76-BEEA-FF35DAF768ED}"/>
            </c:ext>
          </c:extLst>
        </c:ser>
        <c:ser>
          <c:idx val="1"/>
          <c:order val="1"/>
          <c:tx>
            <c:strRef>
              <c:f>Hoja2!$B$1</c:f>
              <c:strCache>
                <c:ptCount val="1"/>
                <c:pt idx="0">
                  <c:v>Trigo</c:v>
                </c:pt>
              </c:strCache>
            </c:strRef>
          </c:tx>
          <c:spPr>
            <a:ln w="15875" cap="rnd">
              <a:solidFill>
                <a:schemeClr val="tx2">
                  <a:lumMod val="50000"/>
                </a:schemeClr>
              </a:solidFill>
              <a:round/>
            </a:ln>
            <a:effectLst/>
          </c:spPr>
          <c:marker>
            <c:symbol val="none"/>
          </c:marker>
          <c:dLbls>
            <c:dLbl>
              <c:idx val="893"/>
              <c:layout>
                <c:manualLayout>
                  <c:x val="1.0185067526415994E-16"/>
                  <c:y val="-0.12500000000000008"/>
                </c:manualLayout>
              </c:layout>
              <c:spPr>
                <a:noFill/>
                <a:ln>
                  <a:noFill/>
                </a:ln>
                <a:effectLst/>
              </c:spPr>
              <c:txPr>
                <a:bodyPr rot="0" spcFirstLastPara="1" vertOverflow="ellipsis" vert="horz" wrap="square" anchor="ctr" anchorCtr="1"/>
                <a:lstStyle/>
                <a:p>
                  <a:pPr>
                    <a:defRPr sz="9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8F-4E76-BEEA-FF35DAF768ED}"/>
                </c:ext>
              </c:extLst>
            </c:dLbl>
            <c:spPr>
              <a:noFill/>
              <a:ln>
                <a:noFill/>
              </a:ln>
              <a:effectLst/>
            </c:spPr>
            <c:txPr>
              <a:bodyPr rot="0" spcFirstLastPara="1" vertOverflow="ellipsis" vert="horz" wrap="square" anchor="ctr" anchorCtr="1"/>
              <a:lstStyle/>
              <a:p>
                <a:pPr>
                  <a:defRPr sz="900" b="0"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Hoja3!$A$259:$A$1152</c:f>
              <c:numCache>
                <c:formatCode>m/d/yyyy</c:formatCode>
                <c:ptCount val="89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43851</c:v>
                </c:pt>
                <c:pt idx="14">
                  <c:v>43852</c:v>
                </c:pt>
                <c:pt idx="15">
                  <c:v>43853</c:v>
                </c:pt>
                <c:pt idx="16">
                  <c:v>43854</c:v>
                </c:pt>
                <c:pt idx="17">
                  <c:v>43857</c:v>
                </c:pt>
                <c:pt idx="18">
                  <c:v>43858</c:v>
                </c:pt>
                <c:pt idx="19">
                  <c:v>43859</c:v>
                </c:pt>
                <c:pt idx="20">
                  <c:v>43860</c:v>
                </c:pt>
                <c:pt idx="21">
                  <c:v>43861</c:v>
                </c:pt>
                <c:pt idx="22">
                  <c:v>43864</c:v>
                </c:pt>
                <c:pt idx="23">
                  <c:v>43865</c:v>
                </c:pt>
                <c:pt idx="24">
                  <c:v>43866</c:v>
                </c:pt>
                <c:pt idx="25">
                  <c:v>43867</c:v>
                </c:pt>
                <c:pt idx="26">
                  <c:v>43868</c:v>
                </c:pt>
                <c:pt idx="27">
                  <c:v>43871</c:v>
                </c:pt>
                <c:pt idx="28">
                  <c:v>43872</c:v>
                </c:pt>
                <c:pt idx="29">
                  <c:v>43873</c:v>
                </c:pt>
                <c:pt idx="30">
                  <c:v>43874</c:v>
                </c:pt>
                <c:pt idx="31">
                  <c:v>43875</c:v>
                </c:pt>
                <c:pt idx="32">
                  <c:v>43879</c:v>
                </c:pt>
                <c:pt idx="33">
                  <c:v>43880</c:v>
                </c:pt>
                <c:pt idx="34">
                  <c:v>43881</c:v>
                </c:pt>
                <c:pt idx="35">
                  <c:v>43882</c:v>
                </c:pt>
                <c:pt idx="36">
                  <c:v>43885</c:v>
                </c:pt>
                <c:pt idx="37">
                  <c:v>43886</c:v>
                </c:pt>
                <c:pt idx="38">
                  <c:v>43887</c:v>
                </c:pt>
                <c:pt idx="39">
                  <c:v>43888</c:v>
                </c:pt>
                <c:pt idx="40">
                  <c:v>43889</c:v>
                </c:pt>
                <c:pt idx="41">
                  <c:v>43892</c:v>
                </c:pt>
                <c:pt idx="42">
                  <c:v>43893</c:v>
                </c:pt>
                <c:pt idx="43">
                  <c:v>43894</c:v>
                </c:pt>
                <c:pt idx="44">
                  <c:v>43895</c:v>
                </c:pt>
                <c:pt idx="45">
                  <c:v>43896</c:v>
                </c:pt>
                <c:pt idx="46">
                  <c:v>43899</c:v>
                </c:pt>
                <c:pt idx="47">
                  <c:v>43900</c:v>
                </c:pt>
                <c:pt idx="48">
                  <c:v>43901</c:v>
                </c:pt>
                <c:pt idx="49">
                  <c:v>43902</c:v>
                </c:pt>
                <c:pt idx="50">
                  <c:v>43903</c:v>
                </c:pt>
                <c:pt idx="51">
                  <c:v>43906</c:v>
                </c:pt>
                <c:pt idx="52">
                  <c:v>43907</c:v>
                </c:pt>
                <c:pt idx="53">
                  <c:v>43908</c:v>
                </c:pt>
                <c:pt idx="54">
                  <c:v>43909</c:v>
                </c:pt>
                <c:pt idx="55">
                  <c:v>43910</c:v>
                </c:pt>
                <c:pt idx="56">
                  <c:v>43913</c:v>
                </c:pt>
                <c:pt idx="57">
                  <c:v>43914</c:v>
                </c:pt>
                <c:pt idx="58">
                  <c:v>43915</c:v>
                </c:pt>
                <c:pt idx="59">
                  <c:v>43916</c:v>
                </c:pt>
                <c:pt idx="60">
                  <c:v>43917</c:v>
                </c:pt>
                <c:pt idx="61">
                  <c:v>43920</c:v>
                </c:pt>
                <c:pt idx="62">
                  <c:v>43921</c:v>
                </c:pt>
                <c:pt idx="63">
                  <c:v>43922</c:v>
                </c:pt>
                <c:pt idx="64">
                  <c:v>43923</c:v>
                </c:pt>
                <c:pt idx="65">
                  <c:v>43924</c:v>
                </c:pt>
                <c:pt idx="66">
                  <c:v>43927</c:v>
                </c:pt>
                <c:pt idx="67">
                  <c:v>43928</c:v>
                </c:pt>
                <c:pt idx="68">
                  <c:v>43929</c:v>
                </c:pt>
                <c:pt idx="69">
                  <c:v>43930</c:v>
                </c:pt>
                <c:pt idx="70">
                  <c:v>43931</c:v>
                </c:pt>
                <c:pt idx="71">
                  <c:v>43934</c:v>
                </c:pt>
                <c:pt idx="72">
                  <c:v>43935</c:v>
                </c:pt>
                <c:pt idx="73">
                  <c:v>43936</c:v>
                </c:pt>
                <c:pt idx="74">
                  <c:v>43937</c:v>
                </c:pt>
                <c:pt idx="75">
                  <c:v>43938</c:v>
                </c:pt>
                <c:pt idx="76">
                  <c:v>43941</c:v>
                </c:pt>
                <c:pt idx="77">
                  <c:v>43942</c:v>
                </c:pt>
                <c:pt idx="78">
                  <c:v>43943</c:v>
                </c:pt>
                <c:pt idx="79">
                  <c:v>43944</c:v>
                </c:pt>
                <c:pt idx="80">
                  <c:v>43945</c:v>
                </c:pt>
                <c:pt idx="81">
                  <c:v>43948</c:v>
                </c:pt>
                <c:pt idx="82">
                  <c:v>43949</c:v>
                </c:pt>
                <c:pt idx="83">
                  <c:v>43950</c:v>
                </c:pt>
                <c:pt idx="84">
                  <c:v>43951</c:v>
                </c:pt>
                <c:pt idx="85">
                  <c:v>43952</c:v>
                </c:pt>
                <c:pt idx="86">
                  <c:v>43955</c:v>
                </c:pt>
                <c:pt idx="87">
                  <c:v>43956</c:v>
                </c:pt>
                <c:pt idx="88">
                  <c:v>43957</c:v>
                </c:pt>
                <c:pt idx="89">
                  <c:v>43958</c:v>
                </c:pt>
                <c:pt idx="90">
                  <c:v>43959</c:v>
                </c:pt>
                <c:pt idx="91">
                  <c:v>43962</c:v>
                </c:pt>
                <c:pt idx="92">
                  <c:v>43963</c:v>
                </c:pt>
                <c:pt idx="93">
                  <c:v>43964</c:v>
                </c:pt>
                <c:pt idx="94">
                  <c:v>43965</c:v>
                </c:pt>
                <c:pt idx="95">
                  <c:v>43966</c:v>
                </c:pt>
                <c:pt idx="96">
                  <c:v>43969</c:v>
                </c:pt>
                <c:pt idx="97">
                  <c:v>43970</c:v>
                </c:pt>
                <c:pt idx="98">
                  <c:v>43971</c:v>
                </c:pt>
                <c:pt idx="99">
                  <c:v>43972</c:v>
                </c:pt>
                <c:pt idx="100">
                  <c:v>43973</c:v>
                </c:pt>
                <c:pt idx="101">
                  <c:v>43976</c:v>
                </c:pt>
                <c:pt idx="102">
                  <c:v>43977</c:v>
                </c:pt>
                <c:pt idx="103">
                  <c:v>43978</c:v>
                </c:pt>
                <c:pt idx="104">
                  <c:v>43979</c:v>
                </c:pt>
                <c:pt idx="105">
                  <c:v>43980</c:v>
                </c:pt>
                <c:pt idx="106">
                  <c:v>43983</c:v>
                </c:pt>
                <c:pt idx="107">
                  <c:v>43984</c:v>
                </c:pt>
                <c:pt idx="108">
                  <c:v>43985</c:v>
                </c:pt>
                <c:pt idx="109">
                  <c:v>43986</c:v>
                </c:pt>
                <c:pt idx="110">
                  <c:v>43987</c:v>
                </c:pt>
                <c:pt idx="111">
                  <c:v>43990</c:v>
                </c:pt>
                <c:pt idx="112">
                  <c:v>43991</c:v>
                </c:pt>
                <c:pt idx="113">
                  <c:v>43992</c:v>
                </c:pt>
                <c:pt idx="114">
                  <c:v>43993</c:v>
                </c:pt>
                <c:pt idx="115">
                  <c:v>43994</c:v>
                </c:pt>
                <c:pt idx="116">
                  <c:v>43997</c:v>
                </c:pt>
                <c:pt idx="117">
                  <c:v>43998</c:v>
                </c:pt>
                <c:pt idx="118">
                  <c:v>43999</c:v>
                </c:pt>
                <c:pt idx="119">
                  <c:v>44000</c:v>
                </c:pt>
                <c:pt idx="120">
                  <c:v>44001</c:v>
                </c:pt>
                <c:pt idx="121">
                  <c:v>44004</c:v>
                </c:pt>
                <c:pt idx="122">
                  <c:v>44005</c:v>
                </c:pt>
                <c:pt idx="123">
                  <c:v>44006</c:v>
                </c:pt>
                <c:pt idx="124">
                  <c:v>44007</c:v>
                </c:pt>
                <c:pt idx="125">
                  <c:v>44008</c:v>
                </c:pt>
                <c:pt idx="126">
                  <c:v>44011</c:v>
                </c:pt>
                <c:pt idx="127">
                  <c:v>44012</c:v>
                </c:pt>
                <c:pt idx="128">
                  <c:v>44013</c:v>
                </c:pt>
                <c:pt idx="129">
                  <c:v>44014</c:v>
                </c:pt>
                <c:pt idx="130">
                  <c:v>44018</c:v>
                </c:pt>
                <c:pt idx="131">
                  <c:v>44019</c:v>
                </c:pt>
                <c:pt idx="132">
                  <c:v>44020</c:v>
                </c:pt>
                <c:pt idx="133">
                  <c:v>44021</c:v>
                </c:pt>
                <c:pt idx="134">
                  <c:v>44022</c:v>
                </c:pt>
                <c:pt idx="135">
                  <c:v>44025</c:v>
                </c:pt>
                <c:pt idx="136">
                  <c:v>44026</c:v>
                </c:pt>
                <c:pt idx="137">
                  <c:v>44027</c:v>
                </c:pt>
                <c:pt idx="138">
                  <c:v>44028</c:v>
                </c:pt>
                <c:pt idx="139">
                  <c:v>44029</c:v>
                </c:pt>
                <c:pt idx="140">
                  <c:v>44032</c:v>
                </c:pt>
                <c:pt idx="141">
                  <c:v>44033</c:v>
                </c:pt>
                <c:pt idx="142">
                  <c:v>44034</c:v>
                </c:pt>
                <c:pt idx="143">
                  <c:v>44035</c:v>
                </c:pt>
                <c:pt idx="144">
                  <c:v>44036</c:v>
                </c:pt>
                <c:pt idx="145">
                  <c:v>44039</c:v>
                </c:pt>
                <c:pt idx="146">
                  <c:v>44040</c:v>
                </c:pt>
                <c:pt idx="147">
                  <c:v>44041</c:v>
                </c:pt>
                <c:pt idx="148">
                  <c:v>44042</c:v>
                </c:pt>
                <c:pt idx="149">
                  <c:v>44043</c:v>
                </c:pt>
                <c:pt idx="150">
                  <c:v>44046</c:v>
                </c:pt>
                <c:pt idx="151">
                  <c:v>44047</c:v>
                </c:pt>
                <c:pt idx="152">
                  <c:v>44048</c:v>
                </c:pt>
                <c:pt idx="153">
                  <c:v>44049</c:v>
                </c:pt>
                <c:pt idx="154">
                  <c:v>44050</c:v>
                </c:pt>
                <c:pt idx="155">
                  <c:v>44053</c:v>
                </c:pt>
                <c:pt idx="156">
                  <c:v>44054</c:v>
                </c:pt>
                <c:pt idx="157">
                  <c:v>44055</c:v>
                </c:pt>
                <c:pt idx="158">
                  <c:v>44056</c:v>
                </c:pt>
                <c:pt idx="159">
                  <c:v>44057</c:v>
                </c:pt>
                <c:pt idx="160">
                  <c:v>44060</c:v>
                </c:pt>
                <c:pt idx="161">
                  <c:v>44061</c:v>
                </c:pt>
                <c:pt idx="162">
                  <c:v>44062</c:v>
                </c:pt>
                <c:pt idx="163">
                  <c:v>44063</c:v>
                </c:pt>
                <c:pt idx="164">
                  <c:v>44064</c:v>
                </c:pt>
                <c:pt idx="165">
                  <c:v>44067</c:v>
                </c:pt>
                <c:pt idx="166">
                  <c:v>44068</c:v>
                </c:pt>
                <c:pt idx="167">
                  <c:v>44069</c:v>
                </c:pt>
                <c:pt idx="168">
                  <c:v>44070</c:v>
                </c:pt>
                <c:pt idx="169">
                  <c:v>44071</c:v>
                </c:pt>
                <c:pt idx="170">
                  <c:v>44074</c:v>
                </c:pt>
                <c:pt idx="171">
                  <c:v>44075</c:v>
                </c:pt>
                <c:pt idx="172">
                  <c:v>44076</c:v>
                </c:pt>
                <c:pt idx="173">
                  <c:v>44077</c:v>
                </c:pt>
                <c:pt idx="174">
                  <c:v>44078</c:v>
                </c:pt>
                <c:pt idx="175">
                  <c:v>44081</c:v>
                </c:pt>
                <c:pt idx="176">
                  <c:v>44082</c:v>
                </c:pt>
                <c:pt idx="177">
                  <c:v>44083</c:v>
                </c:pt>
                <c:pt idx="178">
                  <c:v>44084</c:v>
                </c:pt>
                <c:pt idx="179">
                  <c:v>44085</c:v>
                </c:pt>
                <c:pt idx="180">
                  <c:v>44088</c:v>
                </c:pt>
                <c:pt idx="181">
                  <c:v>44089</c:v>
                </c:pt>
                <c:pt idx="182">
                  <c:v>44090</c:v>
                </c:pt>
                <c:pt idx="183">
                  <c:v>44091</c:v>
                </c:pt>
                <c:pt idx="184">
                  <c:v>44092</c:v>
                </c:pt>
                <c:pt idx="185">
                  <c:v>44095</c:v>
                </c:pt>
                <c:pt idx="186">
                  <c:v>44096</c:v>
                </c:pt>
                <c:pt idx="187">
                  <c:v>44097</c:v>
                </c:pt>
                <c:pt idx="188">
                  <c:v>44098</c:v>
                </c:pt>
                <c:pt idx="189">
                  <c:v>44099</c:v>
                </c:pt>
                <c:pt idx="190">
                  <c:v>44102</c:v>
                </c:pt>
                <c:pt idx="191">
                  <c:v>44103</c:v>
                </c:pt>
                <c:pt idx="192">
                  <c:v>44104</c:v>
                </c:pt>
                <c:pt idx="193">
                  <c:v>44105</c:v>
                </c:pt>
                <c:pt idx="194">
                  <c:v>44106</c:v>
                </c:pt>
                <c:pt idx="195">
                  <c:v>44109</c:v>
                </c:pt>
                <c:pt idx="196">
                  <c:v>44110</c:v>
                </c:pt>
                <c:pt idx="197">
                  <c:v>44111</c:v>
                </c:pt>
                <c:pt idx="198">
                  <c:v>44112</c:v>
                </c:pt>
                <c:pt idx="199">
                  <c:v>44113</c:v>
                </c:pt>
                <c:pt idx="200">
                  <c:v>44116</c:v>
                </c:pt>
                <c:pt idx="201">
                  <c:v>44117</c:v>
                </c:pt>
                <c:pt idx="202">
                  <c:v>44118</c:v>
                </c:pt>
                <c:pt idx="203">
                  <c:v>44119</c:v>
                </c:pt>
                <c:pt idx="204">
                  <c:v>44120</c:v>
                </c:pt>
                <c:pt idx="205">
                  <c:v>44123</c:v>
                </c:pt>
                <c:pt idx="206">
                  <c:v>44124</c:v>
                </c:pt>
                <c:pt idx="207">
                  <c:v>44125</c:v>
                </c:pt>
                <c:pt idx="208">
                  <c:v>44126</c:v>
                </c:pt>
                <c:pt idx="209">
                  <c:v>44127</c:v>
                </c:pt>
                <c:pt idx="210">
                  <c:v>44130</c:v>
                </c:pt>
                <c:pt idx="211">
                  <c:v>44131</c:v>
                </c:pt>
                <c:pt idx="212">
                  <c:v>44132</c:v>
                </c:pt>
                <c:pt idx="213">
                  <c:v>44133</c:v>
                </c:pt>
                <c:pt idx="214">
                  <c:v>44134</c:v>
                </c:pt>
                <c:pt idx="215">
                  <c:v>44137</c:v>
                </c:pt>
                <c:pt idx="216">
                  <c:v>44138</c:v>
                </c:pt>
                <c:pt idx="217">
                  <c:v>44139</c:v>
                </c:pt>
                <c:pt idx="218">
                  <c:v>44140</c:v>
                </c:pt>
                <c:pt idx="219">
                  <c:v>44141</c:v>
                </c:pt>
                <c:pt idx="220">
                  <c:v>44144</c:v>
                </c:pt>
                <c:pt idx="221">
                  <c:v>44145</c:v>
                </c:pt>
                <c:pt idx="222">
                  <c:v>44146</c:v>
                </c:pt>
                <c:pt idx="223">
                  <c:v>44147</c:v>
                </c:pt>
                <c:pt idx="224">
                  <c:v>44148</c:v>
                </c:pt>
                <c:pt idx="225">
                  <c:v>44151</c:v>
                </c:pt>
                <c:pt idx="226">
                  <c:v>44152</c:v>
                </c:pt>
                <c:pt idx="227">
                  <c:v>44153</c:v>
                </c:pt>
                <c:pt idx="228">
                  <c:v>44154</c:v>
                </c:pt>
                <c:pt idx="229">
                  <c:v>44155</c:v>
                </c:pt>
                <c:pt idx="230">
                  <c:v>44158</c:v>
                </c:pt>
                <c:pt idx="231">
                  <c:v>44159</c:v>
                </c:pt>
                <c:pt idx="232">
                  <c:v>44160</c:v>
                </c:pt>
                <c:pt idx="233">
                  <c:v>44162</c:v>
                </c:pt>
                <c:pt idx="234">
                  <c:v>44165</c:v>
                </c:pt>
                <c:pt idx="235">
                  <c:v>44166</c:v>
                </c:pt>
                <c:pt idx="236">
                  <c:v>44167</c:v>
                </c:pt>
                <c:pt idx="237">
                  <c:v>44168</c:v>
                </c:pt>
                <c:pt idx="238">
                  <c:v>44169</c:v>
                </c:pt>
                <c:pt idx="239">
                  <c:v>44172</c:v>
                </c:pt>
                <c:pt idx="240">
                  <c:v>44173</c:v>
                </c:pt>
                <c:pt idx="241">
                  <c:v>44174</c:v>
                </c:pt>
                <c:pt idx="242">
                  <c:v>44175</c:v>
                </c:pt>
                <c:pt idx="243">
                  <c:v>44176</c:v>
                </c:pt>
                <c:pt idx="244">
                  <c:v>44179</c:v>
                </c:pt>
                <c:pt idx="245">
                  <c:v>44180</c:v>
                </c:pt>
                <c:pt idx="246">
                  <c:v>44181</c:v>
                </c:pt>
                <c:pt idx="247">
                  <c:v>44182</c:v>
                </c:pt>
                <c:pt idx="248">
                  <c:v>44183</c:v>
                </c:pt>
                <c:pt idx="249">
                  <c:v>44186</c:v>
                </c:pt>
                <c:pt idx="250">
                  <c:v>44187</c:v>
                </c:pt>
                <c:pt idx="251">
                  <c:v>44188</c:v>
                </c:pt>
                <c:pt idx="252">
                  <c:v>44189</c:v>
                </c:pt>
                <c:pt idx="253">
                  <c:v>44193</c:v>
                </c:pt>
                <c:pt idx="254">
                  <c:v>44194</c:v>
                </c:pt>
                <c:pt idx="255">
                  <c:v>44195</c:v>
                </c:pt>
                <c:pt idx="256">
                  <c:v>44196</c:v>
                </c:pt>
                <c:pt idx="257">
                  <c:v>44197</c:v>
                </c:pt>
                <c:pt idx="258">
                  <c:v>44200</c:v>
                </c:pt>
                <c:pt idx="259">
                  <c:v>44201</c:v>
                </c:pt>
                <c:pt idx="260">
                  <c:v>44202</c:v>
                </c:pt>
                <c:pt idx="261">
                  <c:v>44203</c:v>
                </c:pt>
                <c:pt idx="262">
                  <c:v>44204</c:v>
                </c:pt>
                <c:pt idx="263">
                  <c:v>44207</c:v>
                </c:pt>
                <c:pt idx="264">
                  <c:v>44208</c:v>
                </c:pt>
                <c:pt idx="265">
                  <c:v>44209</c:v>
                </c:pt>
                <c:pt idx="266">
                  <c:v>44210</c:v>
                </c:pt>
                <c:pt idx="267">
                  <c:v>44211</c:v>
                </c:pt>
                <c:pt idx="268">
                  <c:v>44215</c:v>
                </c:pt>
                <c:pt idx="269">
                  <c:v>44216</c:v>
                </c:pt>
                <c:pt idx="270">
                  <c:v>44217</c:v>
                </c:pt>
                <c:pt idx="271">
                  <c:v>44218</c:v>
                </c:pt>
                <c:pt idx="272">
                  <c:v>44221</c:v>
                </c:pt>
                <c:pt idx="273">
                  <c:v>44222</c:v>
                </c:pt>
                <c:pt idx="274">
                  <c:v>44223</c:v>
                </c:pt>
                <c:pt idx="275">
                  <c:v>44224</c:v>
                </c:pt>
                <c:pt idx="276">
                  <c:v>44225</c:v>
                </c:pt>
                <c:pt idx="277">
                  <c:v>44228</c:v>
                </c:pt>
                <c:pt idx="278">
                  <c:v>44229</c:v>
                </c:pt>
                <c:pt idx="279">
                  <c:v>44230</c:v>
                </c:pt>
                <c:pt idx="280">
                  <c:v>44231</c:v>
                </c:pt>
                <c:pt idx="281">
                  <c:v>44232</c:v>
                </c:pt>
                <c:pt idx="282">
                  <c:v>44235</c:v>
                </c:pt>
                <c:pt idx="283">
                  <c:v>44236</c:v>
                </c:pt>
                <c:pt idx="284">
                  <c:v>44237</c:v>
                </c:pt>
                <c:pt idx="285">
                  <c:v>44238</c:v>
                </c:pt>
                <c:pt idx="286">
                  <c:v>44239</c:v>
                </c:pt>
                <c:pt idx="287">
                  <c:v>44241</c:v>
                </c:pt>
                <c:pt idx="288">
                  <c:v>44242</c:v>
                </c:pt>
                <c:pt idx="289">
                  <c:v>44243</c:v>
                </c:pt>
                <c:pt idx="290">
                  <c:v>44244</c:v>
                </c:pt>
                <c:pt idx="291">
                  <c:v>44245</c:v>
                </c:pt>
                <c:pt idx="292">
                  <c:v>44246</c:v>
                </c:pt>
                <c:pt idx="293">
                  <c:v>44249</c:v>
                </c:pt>
                <c:pt idx="294">
                  <c:v>44250</c:v>
                </c:pt>
                <c:pt idx="295">
                  <c:v>44251</c:v>
                </c:pt>
                <c:pt idx="296">
                  <c:v>44252</c:v>
                </c:pt>
                <c:pt idx="297">
                  <c:v>44253</c:v>
                </c:pt>
                <c:pt idx="298">
                  <c:v>44256</c:v>
                </c:pt>
                <c:pt idx="299">
                  <c:v>44257</c:v>
                </c:pt>
                <c:pt idx="300">
                  <c:v>44258</c:v>
                </c:pt>
                <c:pt idx="301">
                  <c:v>44259</c:v>
                </c:pt>
                <c:pt idx="302">
                  <c:v>44260</c:v>
                </c:pt>
                <c:pt idx="303">
                  <c:v>44263</c:v>
                </c:pt>
                <c:pt idx="304">
                  <c:v>44264</c:v>
                </c:pt>
                <c:pt idx="305">
                  <c:v>44265</c:v>
                </c:pt>
                <c:pt idx="306">
                  <c:v>44266</c:v>
                </c:pt>
                <c:pt idx="307">
                  <c:v>44267</c:v>
                </c:pt>
                <c:pt idx="308">
                  <c:v>44270</c:v>
                </c:pt>
                <c:pt idx="309">
                  <c:v>44271</c:v>
                </c:pt>
                <c:pt idx="310">
                  <c:v>44272</c:v>
                </c:pt>
                <c:pt idx="311">
                  <c:v>44273</c:v>
                </c:pt>
                <c:pt idx="312">
                  <c:v>44274</c:v>
                </c:pt>
                <c:pt idx="313">
                  <c:v>44277</c:v>
                </c:pt>
                <c:pt idx="314">
                  <c:v>44278</c:v>
                </c:pt>
                <c:pt idx="315">
                  <c:v>44279</c:v>
                </c:pt>
                <c:pt idx="316">
                  <c:v>44280</c:v>
                </c:pt>
                <c:pt idx="317">
                  <c:v>44281</c:v>
                </c:pt>
                <c:pt idx="318">
                  <c:v>44284</c:v>
                </c:pt>
                <c:pt idx="319">
                  <c:v>44285</c:v>
                </c:pt>
                <c:pt idx="320">
                  <c:v>44286</c:v>
                </c:pt>
                <c:pt idx="321">
                  <c:v>44287</c:v>
                </c:pt>
                <c:pt idx="322">
                  <c:v>44291</c:v>
                </c:pt>
                <c:pt idx="323">
                  <c:v>44292</c:v>
                </c:pt>
                <c:pt idx="324">
                  <c:v>44293</c:v>
                </c:pt>
                <c:pt idx="325">
                  <c:v>44294</c:v>
                </c:pt>
                <c:pt idx="326">
                  <c:v>44295</c:v>
                </c:pt>
                <c:pt idx="327">
                  <c:v>44298</c:v>
                </c:pt>
                <c:pt idx="328">
                  <c:v>44299</c:v>
                </c:pt>
                <c:pt idx="329">
                  <c:v>44300</c:v>
                </c:pt>
                <c:pt idx="330">
                  <c:v>44301</c:v>
                </c:pt>
                <c:pt idx="331">
                  <c:v>44302</c:v>
                </c:pt>
                <c:pt idx="332">
                  <c:v>44305</c:v>
                </c:pt>
                <c:pt idx="333">
                  <c:v>44306</c:v>
                </c:pt>
                <c:pt idx="334">
                  <c:v>44307</c:v>
                </c:pt>
                <c:pt idx="335">
                  <c:v>44308</c:v>
                </c:pt>
                <c:pt idx="336">
                  <c:v>44309</c:v>
                </c:pt>
                <c:pt idx="337">
                  <c:v>44312</c:v>
                </c:pt>
                <c:pt idx="338">
                  <c:v>44313</c:v>
                </c:pt>
                <c:pt idx="339">
                  <c:v>44314</c:v>
                </c:pt>
                <c:pt idx="340">
                  <c:v>44315</c:v>
                </c:pt>
                <c:pt idx="341">
                  <c:v>44316</c:v>
                </c:pt>
                <c:pt idx="342">
                  <c:v>44319</c:v>
                </c:pt>
                <c:pt idx="343">
                  <c:v>44320</c:v>
                </c:pt>
                <c:pt idx="344">
                  <c:v>44321</c:v>
                </c:pt>
                <c:pt idx="345">
                  <c:v>44322</c:v>
                </c:pt>
                <c:pt idx="346">
                  <c:v>44323</c:v>
                </c:pt>
                <c:pt idx="347">
                  <c:v>44326</c:v>
                </c:pt>
                <c:pt idx="348">
                  <c:v>44327</c:v>
                </c:pt>
                <c:pt idx="349">
                  <c:v>44328</c:v>
                </c:pt>
                <c:pt idx="350">
                  <c:v>44329</c:v>
                </c:pt>
                <c:pt idx="351">
                  <c:v>44330</c:v>
                </c:pt>
                <c:pt idx="352">
                  <c:v>44333</c:v>
                </c:pt>
                <c:pt idx="353">
                  <c:v>44334</c:v>
                </c:pt>
                <c:pt idx="354">
                  <c:v>44335</c:v>
                </c:pt>
                <c:pt idx="355">
                  <c:v>44336</c:v>
                </c:pt>
                <c:pt idx="356">
                  <c:v>44337</c:v>
                </c:pt>
                <c:pt idx="357">
                  <c:v>44340</c:v>
                </c:pt>
                <c:pt idx="358">
                  <c:v>44341</c:v>
                </c:pt>
                <c:pt idx="359">
                  <c:v>44342</c:v>
                </c:pt>
                <c:pt idx="360">
                  <c:v>44343</c:v>
                </c:pt>
                <c:pt idx="361">
                  <c:v>44344</c:v>
                </c:pt>
                <c:pt idx="362">
                  <c:v>44347</c:v>
                </c:pt>
                <c:pt idx="363">
                  <c:v>44348</c:v>
                </c:pt>
                <c:pt idx="364">
                  <c:v>44349</c:v>
                </c:pt>
                <c:pt idx="365">
                  <c:v>44350</c:v>
                </c:pt>
                <c:pt idx="366">
                  <c:v>44351</c:v>
                </c:pt>
                <c:pt idx="367">
                  <c:v>44354</c:v>
                </c:pt>
                <c:pt idx="368">
                  <c:v>44355</c:v>
                </c:pt>
                <c:pt idx="369">
                  <c:v>44356</c:v>
                </c:pt>
                <c:pt idx="370">
                  <c:v>44357</c:v>
                </c:pt>
                <c:pt idx="371">
                  <c:v>44358</c:v>
                </c:pt>
                <c:pt idx="372">
                  <c:v>44361</c:v>
                </c:pt>
                <c:pt idx="373">
                  <c:v>44362</c:v>
                </c:pt>
                <c:pt idx="374">
                  <c:v>44363</c:v>
                </c:pt>
                <c:pt idx="375">
                  <c:v>44364</c:v>
                </c:pt>
                <c:pt idx="376">
                  <c:v>44365</c:v>
                </c:pt>
                <c:pt idx="377">
                  <c:v>44368</c:v>
                </c:pt>
                <c:pt idx="378">
                  <c:v>44369</c:v>
                </c:pt>
                <c:pt idx="379">
                  <c:v>44370</c:v>
                </c:pt>
                <c:pt idx="380">
                  <c:v>44371</c:v>
                </c:pt>
                <c:pt idx="381">
                  <c:v>44372</c:v>
                </c:pt>
                <c:pt idx="382">
                  <c:v>44375</c:v>
                </c:pt>
                <c:pt idx="383">
                  <c:v>44376</c:v>
                </c:pt>
                <c:pt idx="384">
                  <c:v>44377</c:v>
                </c:pt>
                <c:pt idx="385">
                  <c:v>44378</c:v>
                </c:pt>
                <c:pt idx="386">
                  <c:v>44379</c:v>
                </c:pt>
                <c:pt idx="387">
                  <c:v>44383</c:v>
                </c:pt>
                <c:pt idx="388">
                  <c:v>44384</c:v>
                </c:pt>
                <c:pt idx="389">
                  <c:v>44385</c:v>
                </c:pt>
                <c:pt idx="390">
                  <c:v>44386</c:v>
                </c:pt>
                <c:pt idx="391">
                  <c:v>44389</c:v>
                </c:pt>
                <c:pt idx="392">
                  <c:v>44390</c:v>
                </c:pt>
                <c:pt idx="393">
                  <c:v>44391</c:v>
                </c:pt>
                <c:pt idx="394">
                  <c:v>44392</c:v>
                </c:pt>
                <c:pt idx="395">
                  <c:v>44393</c:v>
                </c:pt>
                <c:pt idx="396">
                  <c:v>44396</c:v>
                </c:pt>
                <c:pt idx="397">
                  <c:v>44397</c:v>
                </c:pt>
                <c:pt idx="398">
                  <c:v>44398</c:v>
                </c:pt>
                <c:pt idx="399">
                  <c:v>44399</c:v>
                </c:pt>
                <c:pt idx="400">
                  <c:v>44400</c:v>
                </c:pt>
                <c:pt idx="401">
                  <c:v>44403</c:v>
                </c:pt>
                <c:pt idx="402">
                  <c:v>44404</c:v>
                </c:pt>
                <c:pt idx="403">
                  <c:v>44405</c:v>
                </c:pt>
                <c:pt idx="404">
                  <c:v>44406</c:v>
                </c:pt>
                <c:pt idx="405">
                  <c:v>44407</c:v>
                </c:pt>
                <c:pt idx="406">
                  <c:v>44410</c:v>
                </c:pt>
                <c:pt idx="407">
                  <c:v>44411</c:v>
                </c:pt>
                <c:pt idx="408">
                  <c:v>44412</c:v>
                </c:pt>
                <c:pt idx="409">
                  <c:v>44413</c:v>
                </c:pt>
                <c:pt idx="410">
                  <c:v>44414</c:v>
                </c:pt>
                <c:pt idx="411">
                  <c:v>44417</c:v>
                </c:pt>
                <c:pt idx="412">
                  <c:v>44418</c:v>
                </c:pt>
                <c:pt idx="413">
                  <c:v>44419</c:v>
                </c:pt>
                <c:pt idx="414">
                  <c:v>44420</c:v>
                </c:pt>
                <c:pt idx="415">
                  <c:v>44421</c:v>
                </c:pt>
                <c:pt idx="416">
                  <c:v>44424</c:v>
                </c:pt>
                <c:pt idx="417">
                  <c:v>44425</c:v>
                </c:pt>
                <c:pt idx="418">
                  <c:v>44426</c:v>
                </c:pt>
                <c:pt idx="419">
                  <c:v>44427</c:v>
                </c:pt>
                <c:pt idx="420">
                  <c:v>44428</c:v>
                </c:pt>
                <c:pt idx="421">
                  <c:v>44431</c:v>
                </c:pt>
                <c:pt idx="422">
                  <c:v>44432</c:v>
                </c:pt>
                <c:pt idx="423">
                  <c:v>44433</c:v>
                </c:pt>
                <c:pt idx="424">
                  <c:v>44434</c:v>
                </c:pt>
                <c:pt idx="425">
                  <c:v>44435</c:v>
                </c:pt>
                <c:pt idx="426">
                  <c:v>44438</c:v>
                </c:pt>
                <c:pt idx="427">
                  <c:v>44439</c:v>
                </c:pt>
                <c:pt idx="428">
                  <c:v>44440</c:v>
                </c:pt>
                <c:pt idx="429">
                  <c:v>44441</c:v>
                </c:pt>
                <c:pt idx="430">
                  <c:v>44442</c:v>
                </c:pt>
                <c:pt idx="431">
                  <c:v>44445</c:v>
                </c:pt>
                <c:pt idx="432">
                  <c:v>44446</c:v>
                </c:pt>
                <c:pt idx="433">
                  <c:v>44447</c:v>
                </c:pt>
                <c:pt idx="434">
                  <c:v>44448</c:v>
                </c:pt>
                <c:pt idx="435">
                  <c:v>44449</c:v>
                </c:pt>
                <c:pt idx="436">
                  <c:v>44452</c:v>
                </c:pt>
                <c:pt idx="437">
                  <c:v>44453</c:v>
                </c:pt>
                <c:pt idx="438">
                  <c:v>44454</c:v>
                </c:pt>
                <c:pt idx="439">
                  <c:v>44455</c:v>
                </c:pt>
                <c:pt idx="440">
                  <c:v>44456</c:v>
                </c:pt>
                <c:pt idx="441">
                  <c:v>44459</c:v>
                </c:pt>
                <c:pt idx="442">
                  <c:v>44460</c:v>
                </c:pt>
                <c:pt idx="443">
                  <c:v>44461</c:v>
                </c:pt>
                <c:pt idx="444">
                  <c:v>44462</c:v>
                </c:pt>
                <c:pt idx="445">
                  <c:v>44463</c:v>
                </c:pt>
                <c:pt idx="446">
                  <c:v>44466</c:v>
                </c:pt>
                <c:pt idx="447">
                  <c:v>44467</c:v>
                </c:pt>
                <c:pt idx="448">
                  <c:v>44468</c:v>
                </c:pt>
                <c:pt idx="449">
                  <c:v>44469</c:v>
                </c:pt>
                <c:pt idx="450">
                  <c:v>44470</c:v>
                </c:pt>
                <c:pt idx="451">
                  <c:v>44473</c:v>
                </c:pt>
                <c:pt idx="452">
                  <c:v>44474</c:v>
                </c:pt>
                <c:pt idx="453">
                  <c:v>44475</c:v>
                </c:pt>
                <c:pt idx="454">
                  <c:v>44476</c:v>
                </c:pt>
                <c:pt idx="455">
                  <c:v>44477</c:v>
                </c:pt>
                <c:pt idx="456">
                  <c:v>44480</c:v>
                </c:pt>
                <c:pt idx="457">
                  <c:v>44481</c:v>
                </c:pt>
                <c:pt idx="458">
                  <c:v>44482</c:v>
                </c:pt>
                <c:pt idx="459">
                  <c:v>44483</c:v>
                </c:pt>
                <c:pt idx="460">
                  <c:v>44484</c:v>
                </c:pt>
                <c:pt idx="461">
                  <c:v>44487</c:v>
                </c:pt>
                <c:pt idx="462">
                  <c:v>44488</c:v>
                </c:pt>
                <c:pt idx="463">
                  <c:v>44489</c:v>
                </c:pt>
                <c:pt idx="464">
                  <c:v>44490</c:v>
                </c:pt>
                <c:pt idx="465">
                  <c:v>44491</c:v>
                </c:pt>
                <c:pt idx="466">
                  <c:v>44494</c:v>
                </c:pt>
                <c:pt idx="467">
                  <c:v>44495</c:v>
                </c:pt>
                <c:pt idx="468">
                  <c:v>44496</c:v>
                </c:pt>
                <c:pt idx="469">
                  <c:v>44497</c:v>
                </c:pt>
                <c:pt idx="470">
                  <c:v>44498</c:v>
                </c:pt>
                <c:pt idx="471">
                  <c:v>44501</c:v>
                </c:pt>
                <c:pt idx="472">
                  <c:v>44502</c:v>
                </c:pt>
                <c:pt idx="473">
                  <c:v>44503</c:v>
                </c:pt>
                <c:pt idx="474">
                  <c:v>44504</c:v>
                </c:pt>
                <c:pt idx="475">
                  <c:v>44505</c:v>
                </c:pt>
                <c:pt idx="476">
                  <c:v>44508</c:v>
                </c:pt>
                <c:pt idx="477">
                  <c:v>44509</c:v>
                </c:pt>
                <c:pt idx="478">
                  <c:v>44510</c:v>
                </c:pt>
                <c:pt idx="479">
                  <c:v>44511</c:v>
                </c:pt>
                <c:pt idx="480">
                  <c:v>44512</c:v>
                </c:pt>
                <c:pt idx="481">
                  <c:v>44515</c:v>
                </c:pt>
                <c:pt idx="482">
                  <c:v>44516</c:v>
                </c:pt>
                <c:pt idx="483">
                  <c:v>44517</c:v>
                </c:pt>
                <c:pt idx="484">
                  <c:v>44518</c:v>
                </c:pt>
                <c:pt idx="485">
                  <c:v>44519</c:v>
                </c:pt>
                <c:pt idx="486">
                  <c:v>44522</c:v>
                </c:pt>
                <c:pt idx="487">
                  <c:v>44523</c:v>
                </c:pt>
                <c:pt idx="488">
                  <c:v>44524</c:v>
                </c:pt>
                <c:pt idx="489">
                  <c:v>44526</c:v>
                </c:pt>
                <c:pt idx="490">
                  <c:v>44529</c:v>
                </c:pt>
                <c:pt idx="491">
                  <c:v>44530</c:v>
                </c:pt>
                <c:pt idx="492">
                  <c:v>44531</c:v>
                </c:pt>
                <c:pt idx="493">
                  <c:v>44532</c:v>
                </c:pt>
                <c:pt idx="494">
                  <c:v>44533</c:v>
                </c:pt>
                <c:pt idx="495">
                  <c:v>44536</c:v>
                </c:pt>
                <c:pt idx="496">
                  <c:v>44537</c:v>
                </c:pt>
                <c:pt idx="497">
                  <c:v>44538</c:v>
                </c:pt>
                <c:pt idx="498">
                  <c:v>44539</c:v>
                </c:pt>
                <c:pt idx="499">
                  <c:v>44540</c:v>
                </c:pt>
                <c:pt idx="500">
                  <c:v>44543</c:v>
                </c:pt>
                <c:pt idx="501">
                  <c:v>44544</c:v>
                </c:pt>
                <c:pt idx="502">
                  <c:v>44545</c:v>
                </c:pt>
                <c:pt idx="503">
                  <c:v>44546</c:v>
                </c:pt>
                <c:pt idx="504">
                  <c:v>44547</c:v>
                </c:pt>
                <c:pt idx="505">
                  <c:v>44550</c:v>
                </c:pt>
                <c:pt idx="506">
                  <c:v>44551</c:v>
                </c:pt>
                <c:pt idx="507">
                  <c:v>44552</c:v>
                </c:pt>
                <c:pt idx="508">
                  <c:v>44553</c:v>
                </c:pt>
                <c:pt idx="509">
                  <c:v>44554</c:v>
                </c:pt>
                <c:pt idx="510">
                  <c:v>44557</c:v>
                </c:pt>
                <c:pt idx="511">
                  <c:v>44558</c:v>
                </c:pt>
                <c:pt idx="512">
                  <c:v>44559</c:v>
                </c:pt>
                <c:pt idx="513">
                  <c:v>44560</c:v>
                </c:pt>
                <c:pt idx="514">
                  <c:v>44561</c:v>
                </c:pt>
                <c:pt idx="515">
                  <c:v>44564</c:v>
                </c:pt>
                <c:pt idx="516">
                  <c:v>44565</c:v>
                </c:pt>
                <c:pt idx="517">
                  <c:v>44566</c:v>
                </c:pt>
                <c:pt idx="518">
                  <c:v>44567</c:v>
                </c:pt>
                <c:pt idx="519">
                  <c:v>44568</c:v>
                </c:pt>
                <c:pt idx="520">
                  <c:v>44571</c:v>
                </c:pt>
                <c:pt idx="521">
                  <c:v>44572</c:v>
                </c:pt>
                <c:pt idx="522">
                  <c:v>44573</c:v>
                </c:pt>
                <c:pt idx="523">
                  <c:v>44574</c:v>
                </c:pt>
                <c:pt idx="524">
                  <c:v>44575</c:v>
                </c:pt>
                <c:pt idx="525">
                  <c:v>44579</c:v>
                </c:pt>
                <c:pt idx="526">
                  <c:v>44580</c:v>
                </c:pt>
                <c:pt idx="527">
                  <c:v>44581</c:v>
                </c:pt>
                <c:pt idx="528">
                  <c:v>44582</c:v>
                </c:pt>
                <c:pt idx="529">
                  <c:v>44585</c:v>
                </c:pt>
                <c:pt idx="530">
                  <c:v>44586</c:v>
                </c:pt>
                <c:pt idx="531">
                  <c:v>44587</c:v>
                </c:pt>
                <c:pt idx="532">
                  <c:v>44588</c:v>
                </c:pt>
                <c:pt idx="533">
                  <c:v>44589</c:v>
                </c:pt>
                <c:pt idx="534">
                  <c:v>44592</c:v>
                </c:pt>
                <c:pt idx="535">
                  <c:v>44593</c:v>
                </c:pt>
                <c:pt idx="536">
                  <c:v>44594</c:v>
                </c:pt>
                <c:pt idx="537">
                  <c:v>44595</c:v>
                </c:pt>
                <c:pt idx="538">
                  <c:v>44596</c:v>
                </c:pt>
                <c:pt idx="539">
                  <c:v>44599</c:v>
                </c:pt>
                <c:pt idx="540">
                  <c:v>44600</c:v>
                </c:pt>
                <c:pt idx="541">
                  <c:v>44601</c:v>
                </c:pt>
                <c:pt idx="542">
                  <c:v>44602</c:v>
                </c:pt>
                <c:pt idx="543">
                  <c:v>44603</c:v>
                </c:pt>
                <c:pt idx="544">
                  <c:v>44606</c:v>
                </c:pt>
                <c:pt idx="545">
                  <c:v>44607</c:v>
                </c:pt>
                <c:pt idx="546">
                  <c:v>44608</c:v>
                </c:pt>
                <c:pt idx="547">
                  <c:v>44609</c:v>
                </c:pt>
                <c:pt idx="548">
                  <c:v>44610</c:v>
                </c:pt>
                <c:pt idx="549">
                  <c:v>44614</c:v>
                </c:pt>
                <c:pt idx="550">
                  <c:v>44615</c:v>
                </c:pt>
                <c:pt idx="551">
                  <c:v>44616</c:v>
                </c:pt>
                <c:pt idx="552">
                  <c:v>44617</c:v>
                </c:pt>
                <c:pt idx="553">
                  <c:v>44620</c:v>
                </c:pt>
                <c:pt idx="554">
                  <c:v>44621</c:v>
                </c:pt>
                <c:pt idx="555">
                  <c:v>44622</c:v>
                </c:pt>
                <c:pt idx="556">
                  <c:v>44623</c:v>
                </c:pt>
                <c:pt idx="557">
                  <c:v>44624</c:v>
                </c:pt>
                <c:pt idx="558">
                  <c:v>44627</c:v>
                </c:pt>
                <c:pt idx="559">
                  <c:v>44628</c:v>
                </c:pt>
                <c:pt idx="560">
                  <c:v>44629</c:v>
                </c:pt>
                <c:pt idx="561">
                  <c:v>44630</c:v>
                </c:pt>
                <c:pt idx="562">
                  <c:v>44631</c:v>
                </c:pt>
                <c:pt idx="563">
                  <c:v>44634</c:v>
                </c:pt>
                <c:pt idx="564">
                  <c:v>44635</c:v>
                </c:pt>
                <c:pt idx="565">
                  <c:v>44636</c:v>
                </c:pt>
                <c:pt idx="566">
                  <c:v>44637</c:v>
                </c:pt>
                <c:pt idx="567">
                  <c:v>44638</c:v>
                </c:pt>
                <c:pt idx="568">
                  <c:v>44641</c:v>
                </c:pt>
                <c:pt idx="569">
                  <c:v>44642</c:v>
                </c:pt>
                <c:pt idx="570">
                  <c:v>44643</c:v>
                </c:pt>
                <c:pt idx="571">
                  <c:v>44644</c:v>
                </c:pt>
                <c:pt idx="572">
                  <c:v>44645</c:v>
                </c:pt>
                <c:pt idx="573">
                  <c:v>44648</c:v>
                </c:pt>
                <c:pt idx="574">
                  <c:v>44649</c:v>
                </c:pt>
                <c:pt idx="575">
                  <c:v>44650</c:v>
                </c:pt>
                <c:pt idx="576">
                  <c:v>44651</c:v>
                </c:pt>
                <c:pt idx="577">
                  <c:v>44652</c:v>
                </c:pt>
                <c:pt idx="578">
                  <c:v>44655</c:v>
                </c:pt>
                <c:pt idx="579">
                  <c:v>44656</c:v>
                </c:pt>
                <c:pt idx="580">
                  <c:v>44657</c:v>
                </c:pt>
                <c:pt idx="581">
                  <c:v>44658</c:v>
                </c:pt>
                <c:pt idx="582">
                  <c:v>44659</c:v>
                </c:pt>
                <c:pt idx="583">
                  <c:v>44662</c:v>
                </c:pt>
                <c:pt idx="584">
                  <c:v>44663</c:v>
                </c:pt>
                <c:pt idx="585">
                  <c:v>44664</c:v>
                </c:pt>
                <c:pt idx="586">
                  <c:v>44665</c:v>
                </c:pt>
                <c:pt idx="587">
                  <c:v>44666</c:v>
                </c:pt>
                <c:pt idx="588">
                  <c:v>44669</c:v>
                </c:pt>
                <c:pt idx="589">
                  <c:v>44670</c:v>
                </c:pt>
                <c:pt idx="590">
                  <c:v>44671</c:v>
                </c:pt>
                <c:pt idx="591">
                  <c:v>44672</c:v>
                </c:pt>
                <c:pt idx="592">
                  <c:v>44673</c:v>
                </c:pt>
                <c:pt idx="593">
                  <c:v>44676</c:v>
                </c:pt>
                <c:pt idx="594">
                  <c:v>44677</c:v>
                </c:pt>
                <c:pt idx="595">
                  <c:v>44678</c:v>
                </c:pt>
                <c:pt idx="596">
                  <c:v>44679</c:v>
                </c:pt>
                <c:pt idx="597">
                  <c:v>44680</c:v>
                </c:pt>
                <c:pt idx="598">
                  <c:v>44683</c:v>
                </c:pt>
                <c:pt idx="599">
                  <c:v>44684</c:v>
                </c:pt>
                <c:pt idx="600">
                  <c:v>44685</c:v>
                </c:pt>
                <c:pt idx="601">
                  <c:v>44686</c:v>
                </c:pt>
                <c:pt idx="602">
                  <c:v>44687</c:v>
                </c:pt>
                <c:pt idx="603">
                  <c:v>44690</c:v>
                </c:pt>
                <c:pt idx="604">
                  <c:v>44691</c:v>
                </c:pt>
                <c:pt idx="605">
                  <c:v>44692</c:v>
                </c:pt>
                <c:pt idx="606">
                  <c:v>44693</c:v>
                </c:pt>
                <c:pt idx="607">
                  <c:v>44694</c:v>
                </c:pt>
                <c:pt idx="608">
                  <c:v>44697</c:v>
                </c:pt>
                <c:pt idx="609">
                  <c:v>44698</c:v>
                </c:pt>
                <c:pt idx="610">
                  <c:v>44699</c:v>
                </c:pt>
                <c:pt idx="611">
                  <c:v>44700</c:v>
                </c:pt>
                <c:pt idx="612">
                  <c:v>44701</c:v>
                </c:pt>
                <c:pt idx="613">
                  <c:v>44704</c:v>
                </c:pt>
                <c:pt idx="614">
                  <c:v>44705</c:v>
                </c:pt>
                <c:pt idx="615">
                  <c:v>44706</c:v>
                </c:pt>
                <c:pt idx="616">
                  <c:v>44707</c:v>
                </c:pt>
                <c:pt idx="617">
                  <c:v>44708</c:v>
                </c:pt>
                <c:pt idx="618">
                  <c:v>44711</c:v>
                </c:pt>
                <c:pt idx="619">
                  <c:v>44712</c:v>
                </c:pt>
                <c:pt idx="620">
                  <c:v>44713</c:v>
                </c:pt>
                <c:pt idx="621">
                  <c:v>44714</c:v>
                </c:pt>
                <c:pt idx="622">
                  <c:v>44715</c:v>
                </c:pt>
                <c:pt idx="623">
                  <c:v>44718</c:v>
                </c:pt>
                <c:pt idx="624">
                  <c:v>44719</c:v>
                </c:pt>
                <c:pt idx="625">
                  <c:v>44720</c:v>
                </c:pt>
                <c:pt idx="626">
                  <c:v>44721</c:v>
                </c:pt>
                <c:pt idx="627">
                  <c:v>44722</c:v>
                </c:pt>
                <c:pt idx="628">
                  <c:v>44725</c:v>
                </c:pt>
                <c:pt idx="629">
                  <c:v>44726</c:v>
                </c:pt>
                <c:pt idx="630">
                  <c:v>44727</c:v>
                </c:pt>
                <c:pt idx="631">
                  <c:v>44728</c:v>
                </c:pt>
                <c:pt idx="632">
                  <c:v>44729</c:v>
                </c:pt>
                <c:pt idx="633">
                  <c:v>44733</c:v>
                </c:pt>
                <c:pt idx="634">
                  <c:v>44734</c:v>
                </c:pt>
                <c:pt idx="635">
                  <c:v>44735</c:v>
                </c:pt>
                <c:pt idx="636">
                  <c:v>44736</c:v>
                </c:pt>
                <c:pt idx="637">
                  <c:v>44739</c:v>
                </c:pt>
                <c:pt idx="638">
                  <c:v>44740</c:v>
                </c:pt>
                <c:pt idx="639">
                  <c:v>44741</c:v>
                </c:pt>
                <c:pt idx="640">
                  <c:v>44742</c:v>
                </c:pt>
                <c:pt idx="641">
                  <c:v>44743</c:v>
                </c:pt>
                <c:pt idx="642">
                  <c:v>44747</c:v>
                </c:pt>
                <c:pt idx="643">
                  <c:v>44748</c:v>
                </c:pt>
                <c:pt idx="644">
                  <c:v>44749</c:v>
                </c:pt>
                <c:pt idx="645">
                  <c:v>44750</c:v>
                </c:pt>
                <c:pt idx="646">
                  <c:v>44753</c:v>
                </c:pt>
                <c:pt idx="647">
                  <c:v>44754</c:v>
                </c:pt>
                <c:pt idx="648">
                  <c:v>44755</c:v>
                </c:pt>
                <c:pt idx="649">
                  <c:v>44756</c:v>
                </c:pt>
                <c:pt idx="650">
                  <c:v>44757</c:v>
                </c:pt>
                <c:pt idx="651">
                  <c:v>44760</c:v>
                </c:pt>
                <c:pt idx="652">
                  <c:v>44761</c:v>
                </c:pt>
                <c:pt idx="653">
                  <c:v>44762</c:v>
                </c:pt>
                <c:pt idx="654">
                  <c:v>44763</c:v>
                </c:pt>
                <c:pt idx="655">
                  <c:v>44764</c:v>
                </c:pt>
                <c:pt idx="656">
                  <c:v>44767</c:v>
                </c:pt>
                <c:pt idx="657">
                  <c:v>44768</c:v>
                </c:pt>
                <c:pt idx="658">
                  <c:v>44769</c:v>
                </c:pt>
                <c:pt idx="659">
                  <c:v>44770</c:v>
                </c:pt>
                <c:pt idx="660">
                  <c:v>44771</c:v>
                </c:pt>
                <c:pt idx="661">
                  <c:v>44774</c:v>
                </c:pt>
                <c:pt idx="662">
                  <c:v>44775</c:v>
                </c:pt>
                <c:pt idx="663">
                  <c:v>44776</c:v>
                </c:pt>
                <c:pt idx="664">
                  <c:v>44777</c:v>
                </c:pt>
                <c:pt idx="665">
                  <c:v>44778</c:v>
                </c:pt>
                <c:pt idx="666">
                  <c:v>44781</c:v>
                </c:pt>
                <c:pt idx="667">
                  <c:v>44782</c:v>
                </c:pt>
                <c:pt idx="668">
                  <c:v>44783</c:v>
                </c:pt>
                <c:pt idx="669">
                  <c:v>44784</c:v>
                </c:pt>
                <c:pt idx="670">
                  <c:v>44785</c:v>
                </c:pt>
                <c:pt idx="671">
                  <c:v>44788</c:v>
                </c:pt>
                <c:pt idx="672">
                  <c:v>44789</c:v>
                </c:pt>
                <c:pt idx="673">
                  <c:v>44790</c:v>
                </c:pt>
                <c:pt idx="674">
                  <c:v>44791</c:v>
                </c:pt>
                <c:pt idx="675">
                  <c:v>44792</c:v>
                </c:pt>
                <c:pt idx="676">
                  <c:v>44795</c:v>
                </c:pt>
                <c:pt idx="677">
                  <c:v>44796</c:v>
                </c:pt>
                <c:pt idx="678">
                  <c:v>44797</c:v>
                </c:pt>
                <c:pt idx="679">
                  <c:v>44798</c:v>
                </c:pt>
                <c:pt idx="680">
                  <c:v>44799</c:v>
                </c:pt>
                <c:pt idx="681">
                  <c:v>44802</c:v>
                </c:pt>
                <c:pt idx="682">
                  <c:v>44803</c:v>
                </c:pt>
                <c:pt idx="683">
                  <c:v>44804</c:v>
                </c:pt>
                <c:pt idx="684">
                  <c:v>44805</c:v>
                </c:pt>
                <c:pt idx="685">
                  <c:v>44806</c:v>
                </c:pt>
                <c:pt idx="686">
                  <c:v>44809</c:v>
                </c:pt>
                <c:pt idx="687">
                  <c:v>44810</c:v>
                </c:pt>
                <c:pt idx="688">
                  <c:v>44811</c:v>
                </c:pt>
                <c:pt idx="689">
                  <c:v>44812</c:v>
                </c:pt>
                <c:pt idx="690">
                  <c:v>44813</c:v>
                </c:pt>
                <c:pt idx="691">
                  <c:v>44816</c:v>
                </c:pt>
                <c:pt idx="692">
                  <c:v>44817</c:v>
                </c:pt>
                <c:pt idx="693">
                  <c:v>44818</c:v>
                </c:pt>
                <c:pt idx="694">
                  <c:v>44819</c:v>
                </c:pt>
                <c:pt idx="695">
                  <c:v>44820</c:v>
                </c:pt>
                <c:pt idx="696">
                  <c:v>44823</c:v>
                </c:pt>
                <c:pt idx="697">
                  <c:v>44824</c:v>
                </c:pt>
                <c:pt idx="698">
                  <c:v>44825</c:v>
                </c:pt>
                <c:pt idx="699">
                  <c:v>44826</c:v>
                </c:pt>
                <c:pt idx="700">
                  <c:v>44827</c:v>
                </c:pt>
                <c:pt idx="701">
                  <c:v>44830</c:v>
                </c:pt>
                <c:pt idx="702">
                  <c:v>44831</c:v>
                </c:pt>
                <c:pt idx="703">
                  <c:v>44832</c:v>
                </c:pt>
                <c:pt idx="704">
                  <c:v>44833</c:v>
                </c:pt>
                <c:pt idx="705">
                  <c:v>44834</c:v>
                </c:pt>
                <c:pt idx="706">
                  <c:v>44837</c:v>
                </c:pt>
                <c:pt idx="707">
                  <c:v>44838</c:v>
                </c:pt>
                <c:pt idx="708">
                  <c:v>44839</c:v>
                </c:pt>
                <c:pt idx="709">
                  <c:v>44840</c:v>
                </c:pt>
                <c:pt idx="710">
                  <c:v>44841</c:v>
                </c:pt>
                <c:pt idx="711">
                  <c:v>44844</c:v>
                </c:pt>
                <c:pt idx="712">
                  <c:v>44845</c:v>
                </c:pt>
                <c:pt idx="713">
                  <c:v>44846</c:v>
                </c:pt>
                <c:pt idx="714">
                  <c:v>44847</c:v>
                </c:pt>
                <c:pt idx="715">
                  <c:v>44848</c:v>
                </c:pt>
                <c:pt idx="716">
                  <c:v>44851</c:v>
                </c:pt>
                <c:pt idx="717">
                  <c:v>44852</c:v>
                </c:pt>
                <c:pt idx="718">
                  <c:v>44853</c:v>
                </c:pt>
                <c:pt idx="719">
                  <c:v>44854</c:v>
                </c:pt>
                <c:pt idx="720">
                  <c:v>44855</c:v>
                </c:pt>
                <c:pt idx="721">
                  <c:v>44858</c:v>
                </c:pt>
                <c:pt idx="722">
                  <c:v>44859</c:v>
                </c:pt>
                <c:pt idx="723">
                  <c:v>44860</c:v>
                </c:pt>
                <c:pt idx="724">
                  <c:v>44861</c:v>
                </c:pt>
                <c:pt idx="725">
                  <c:v>44862</c:v>
                </c:pt>
                <c:pt idx="726">
                  <c:v>44865</c:v>
                </c:pt>
                <c:pt idx="727">
                  <c:v>44866</c:v>
                </c:pt>
                <c:pt idx="728">
                  <c:v>44867</c:v>
                </c:pt>
                <c:pt idx="729">
                  <c:v>44868</c:v>
                </c:pt>
                <c:pt idx="730">
                  <c:v>44869</c:v>
                </c:pt>
                <c:pt idx="731">
                  <c:v>44872</c:v>
                </c:pt>
                <c:pt idx="732">
                  <c:v>44873</c:v>
                </c:pt>
                <c:pt idx="733">
                  <c:v>44874</c:v>
                </c:pt>
                <c:pt idx="734">
                  <c:v>44875</c:v>
                </c:pt>
                <c:pt idx="735">
                  <c:v>44876</c:v>
                </c:pt>
                <c:pt idx="736">
                  <c:v>44879</c:v>
                </c:pt>
                <c:pt idx="737">
                  <c:v>44880</c:v>
                </c:pt>
                <c:pt idx="738">
                  <c:v>44881</c:v>
                </c:pt>
                <c:pt idx="739">
                  <c:v>44882</c:v>
                </c:pt>
                <c:pt idx="740">
                  <c:v>44883</c:v>
                </c:pt>
                <c:pt idx="741">
                  <c:v>44886</c:v>
                </c:pt>
                <c:pt idx="742">
                  <c:v>44887</c:v>
                </c:pt>
                <c:pt idx="743">
                  <c:v>44888</c:v>
                </c:pt>
                <c:pt idx="744">
                  <c:v>44890</c:v>
                </c:pt>
                <c:pt idx="745">
                  <c:v>44893</c:v>
                </c:pt>
                <c:pt idx="746">
                  <c:v>44894</c:v>
                </c:pt>
                <c:pt idx="747">
                  <c:v>44895</c:v>
                </c:pt>
                <c:pt idx="748">
                  <c:v>44896</c:v>
                </c:pt>
                <c:pt idx="749">
                  <c:v>44897</c:v>
                </c:pt>
                <c:pt idx="750">
                  <c:v>44900</c:v>
                </c:pt>
                <c:pt idx="751">
                  <c:v>44901</c:v>
                </c:pt>
                <c:pt idx="752">
                  <c:v>44902</c:v>
                </c:pt>
                <c:pt idx="753">
                  <c:v>44903</c:v>
                </c:pt>
                <c:pt idx="754">
                  <c:v>44904</c:v>
                </c:pt>
                <c:pt idx="755">
                  <c:v>44907</c:v>
                </c:pt>
                <c:pt idx="756">
                  <c:v>44908</c:v>
                </c:pt>
                <c:pt idx="757">
                  <c:v>44909</c:v>
                </c:pt>
                <c:pt idx="758">
                  <c:v>44910</c:v>
                </c:pt>
                <c:pt idx="759">
                  <c:v>44911</c:v>
                </c:pt>
                <c:pt idx="760">
                  <c:v>44914</c:v>
                </c:pt>
                <c:pt idx="761">
                  <c:v>44915</c:v>
                </c:pt>
                <c:pt idx="762">
                  <c:v>44916</c:v>
                </c:pt>
                <c:pt idx="763">
                  <c:v>44917</c:v>
                </c:pt>
                <c:pt idx="764">
                  <c:v>44918</c:v>
                </c:pt>
                <c:pt idx="765">
                  <c:v>44922</c:v>
                </c:pt>
                <c:pt idx="766">
                  <c:v>44923</c:v>
                </c:pt>
                <c:pt idx="767">
                  <c:v>44924</c:v>
                </c:pt>
                <c:pt idx="768">
                  <c:v>44925</c:v>
                </c:pt>
                <c:pt idx="769">
                  <c:v>44929</c:v>
                </c:pt>
                <c:pt idx="770">
                  <c:v>44930</c:v>
                </c:pt>
                <c:pt idx="771">
                  <c:v>44931</c:v>
                </c:pt>
                <c:pt idx="772">
                  <c:v>44932</c:v>
                </c:pt>
                <c:pt idx="773">
                  <c:v>44935</c:v>
                </c:pt>
                <c:pt idx="774">
                  <c:v>44936</c:v>
                </c:pt>
                <c:pt idx="775">
                  <c:v>44937</c:v>
                </c:pt>
                <c:pt idx="776">
                  <c:v>44938</c:v>
                </c:pt>
                <c:pt idx="777">
                  <c:v>44939</c:v>
                </c:pt>
                <c:pt idx="778">
                  <c:v>44943</c:v>
                </c:pt>
                <c:pt idx="779">
                  <c:v>44944</c:v>
                </c:pt>
                <c:pt idx="780">
                  <c:v>44945</c:v>
                </c:pt>
                <c:pt idx="781">
                  <c:v>44946</c:v>
                </c:pt>
                <c:pt idx="782">
                  <c:v>44949</c:v>
                </c:pt>
                <c:pt idx="783">
                  <c:v>44950</c:v>
                </c:pt>
                <c:pt idx="784">
                  <c:v>44951</c:v>
                </c:pt>
                <c:pt idx="785">
                  <c:v>44952</c:v>
                </c:pt>
                <c:pt idx="786">
                  <c:v>44953</c:v>
                </c:pt>
                <c:pt idx="787">
                  <c:v>44956</c:v>
                </c:pt>
                <c:pt idx="788">
                  <c:v>44957</c:v>
                </c:pt>
                <c:pt idx="789">
                  <c:v>44958</c:v>
                </c:pt>
                <c:pt idx="790">
                  <c:v>44959</c:v>
                </c:pt>
                <c:pt idx="791">
                  <c:v>44960</c:v>
                </c:pt>
                <c:pt idx="792">
                  <c:v>44963</c:v>
                </c:pt>
                <c:pt idx="793">
                  <c:v>44964</c:v>
                </c:pt>
                <c:pt idx="794">
                  <c:v>44965</c:v>
                </c:pt>
                <c:pt idx="795">
                  <c:v>44966</c:v>
                </c:pt>
                <c:pt idx="796">
                  <c:v>44967</c:v>
                </c:pt>
                <c:pt idx="797">
                  <c:v>44970</c:v>
                </c:pt>
                <c:pt idx="798">
                  <c:v>44971</c:v>
                </c:pt>
                <c:pt idx="799">
                  <c:v>44972</c:v>
                </c:pt>
                <c:pt idx="800">
                  <c:v>44973</c:v>
                </c:pt>
                <c:pt idx="801">
                  <c:v>44974</c:v>
                </c:pt>
                <c:pt idx="802">
                  <c:v>44978</c:v>
                </c:pt>
                <c:pt idx="803">
                  <c:v>44979</c:v>
                </c:pt>
                <c:pt idx="804">
                  <c:v>44980</c:v>
                </c:pt>
                <c:pt idx="805">
                  <c:v>44981</c:v>
                </c:pt>
                <c:pt idx="806">
                  <c:v>44984</c:v>
                </c:pt>
                <c:pt idx="807">
                  <c:v>44985</c:v>
                </c:pt>
                <c:pt idx="808">
                  <c:v>44986</c:v>
                </c:pt>
                <c:pt idx="809">
                  <c:v>44987</c:v>
                </c:pt>
                <c:pt idx="810">
                  <c:v>44988</c:v>
                </c:pt>
                <c:pt idx="811">
                  <c:v>44991</c:v>
                </c:pt>
                <c:pt idx="812">
                  <c:v>44992</c:v>
                </c:pt>
                <c:pt idx="813">
                  <c:v>44993</c:v>
                </c:pt>
                <c:pt idx="814">
                  <c:v>44994</c:v>
                </c:pt>
                <c:pt idx="815">
                  <c:v>44995</c:v>
                </c:pt>
                <c:pt idx="816">
                  <c:v>44998</c:v>
                </c:pt>
                <c:pt idx="817">
                  <c:v>44999</c:v>
                </c:pt>
                <c:pt idx="818">
                  <c:v>45000</c:v>
                </c:pt>
                <c:pt idx="819">
                  <c:v>45001</c:v>
                </c:pt>
                <c:pt idx="820">
                  <c:v>45002</c:v>
                </c:pt>
                <c:pt idx="821">
                  <c:v>45005</c:v>
                </c:pt>
                <c:pt idx="822">
                  <c:v>45006</c:v>
                </c:pt>
                <c:pt idx="823">
                  <c:v>45007</c:v>
                </c:pt>
                <c:pt idx="824">
                  <c:v>45008</c:v>
                </c:pt>
                <c:pt idx="825">
                  <c:v>45009</c:v>
                </c:pt>
                <c:pt idx="826">
                  <c:v>45012</c:v>
                </c:pt>
                <c:pt idx="827">
                  <c:v>45013</c:v>
                </c:pt>
                <c:pt idx="828">
                  <c:v>45014</c:v>
                </c:pt>
                <c:pt idx="829">
                  <c:v>45015</c:v>
                </c:pt>
                <c:pt idx="830">
                  <c:v>45016</c:v>
                </c:pt>
                <c:pt idx="831">
                  <c:v>45019</c:v>
                </c:pt>
                <c:pt idx="832">
                  <c:v>45020</c:v>
                </c:pt>
                <c:pt idx="833">
                  <c:v>45021</c:v>
                </c:pt>
                <c:pt idx="834">
                  <c:v>45022</c:v>
                </c:pt>
                <c:pt idx="835">
                  <c:v>45023</c:v>
                </c:pt>
                <c:pt idx="836">
                  <c:v>45026</c:v>
                </c:pt>
                <c:pt idx="837">
                  <c:v>45027</c:v>
                </c:pt>
                <c:pt idx="838">
                  <c:v>45028</c:v>
                </c:pt>
                <c:pt idx="839">
                  <c:v>45029</c:v>
                </c:pt>
                <c:pt idx="840">
                  <c:v>45030</c:v>
                </c:pt>
                <c:pt idx="841">
                  <c:v>45033</c:v>
                </c:pt>
                <c:pt idx="842">
                  <c:v>45034</c:v>
                </c:pt>
                <c:pt idx="843">
                  <c:v>45035</c:v>
                </c:pt>
                <c:pt idx="844">
                  <c:v>45036</c:v>
                </c:pt>
                <c:pt idx="845">
                  <c:v>45037</c:v>
                </c:pt>
                <c:pt idx="846">
                  <c:v>45040</c:v>
                </c:pt>
                <c:pt idx="847">
                  <c:v>45041</c:v>
                </c:pt>
                <c:pt idx="848">
                  <c:v>45042</c:v>
                </c:pt>
                <c:pt idx="849">
                  <c:v>45043</c:v>
                </c:pt>
                <c:pt idx="850">
                  <c:v>45044</c:v>
                </c:pt>
                <c:pt idx="851">
                  <c:v>45047</c:v>
                </c:pt>
                <c:pt idx="852">
                  <c:v>45048</c:v>
                </c:pt>
                <c:pt idx="853">
                  <c:v>45049</c:v>
                </c:pt>
                <c:pt idx="854">
                  <c:v>45050</c:v>
                </c:pt>
                <c:pt idx="855">
                  <c:v>45051</c:v>
                </c:pt>
                <c:pt idx="856">
                  <c:v>45054</c:v>
                </c:pt>
                <c:pt idx="857">
                  <c:v>45055</c:v>
                </c:pt>
                <c:pt idx="858">
                  <c:v>45056</c:v>
                </c:pt>
                <c:pt idx="859">
                  <c:v>45057</c:v>
                </c:pt>
                <c:pt idx="860">
                  <c:v>45058</c:v>
                </c:pt>
                <c:pt idx="861">
                  <c:v>45061</c:v>
                </c:pt>
                <c:pt idx="862">
                  <c:v>45062</c:v>
                </c:pt>
                <c:pt idx="863">
                  <c:v>45063</c:v>
                </c:pt>
                <c:pt idx="864">
                  <c:v>45064</c:v>
                </c:pt>
                <c:pt idx="865">
                  <c:v>45065</c:v>
                </c:pt>
                <c:pt idx="866">
                  <c:v>45068</c:v>
                </c:pt>
                <c:pt idx="867">
                  <c:v>45069</c:v>
                </c:pt>
                <c:pt idx="868">
                  <c:v>45070</c:v>
                </c:pt>
                <c:pt idx="869">
                  <c:v>45071</c:v>
                </c:pt>
                <c:pt idx="870">
                  <c:v>45072</c:v>
                </c:pt>
                <c:pt idx="871">
                  <c:v>45076</c:v>
                </c:pt>
                <c:pt idx="872">
                  <c:v>45077</c:v>
                </c:pt>
                <c:pt idx="873">
                  <c:v>45078</c:v>
                </c:pt>
                <c:pt idx="874">
                  <c:v>45079</c:v>
                </c:pt>
                <c:pt idx="875">
                  <c:v>45082</c:v>
                </c:pt>
                <c:pt idx="876">
                  <c:v>45083</c:v>
                </c:pt>
                <c:pt idx="877">
                  <c:v>45084</c:v>
                </c:pt>
                <c:pt idx="878">
                  <c:v>45085</c:v>
                </c:pt>
                <c:pt idx="879">
                  <c:v>45086</c:v>
                </c:pt>
                <c:pt idx="880">
                  <c:v>45089</c:v>
                </c:pt>
                <c:pt idx="881">
                  <c:v>45090</c:v>
                </c:pt>
                <c:pt idx="882">
                  <c:v>45091</c:v>
                </c:pt>
                <c:pt idx="883">
                  <c:v>45092</c:v>
                </c:pt>
                <c:pt idx="884">
                  <c:v>45093</c:v>
                </c:pt>
                <c:pt idx="885">
                  <c:v>45097</c:v>
                </c:pt>
                <c:pt idx="886">
                  <c:v>45098</c:v>
                </c:pt>
                <c:pt idx="887">
                  <c:v>45099</c:v>
                </c:pt>
                <c:pt idx="888">
                  <c:v>45100</c:v>
                </c:pt>
                <c:pt idx="889">
                  <c:v>45103</c:v>
                </c:pt>
                <c:pt idx="890">
                  <c:v>45104</c:v>
                </c:pt>
                <c:pt idx="891">
                  <c:v>45105</c:v>
                </c:pt>
                <c:pt idx="892">
                  <c:v>45106</c:v>
                </c:pt>
                <c:pt idx="893">
                  <c:v>45107</c:v>
                </c:pt>
              </c:numCache>
            </c:numRef>
          </c:cat>
          <c:val>
            <c:numRef>
              <c:f>Hoja2!$B$261:$B$1190</c:f>
              <c:numCache>
                <c:formatCode>General</c:formatCode>
                <c:ptCount val="930"/>
                <c:pt idx="0">
                  <c:v>559.5</c:v>
                </c:pt>
                <c:pt idx="1">
                  <c:v>559.5</c:v>
                </c:pt>
                <c:pt idx="2">
                  <c:v>560.75</c:v>
                </c:pt>
                <c:pt idx="3">
                  <c:v>552.5</c:v>
                </c:pt>
                <c:pt idx="4">
                  <c:v>549.5</c:v>
                </c:pt>
                <c:pt idx="5">
                  <c:v>549.5</c:v>
                </c:pt>
                <c:pt idx="6">
                  <c:v>553.75</c:v>
                </c:pt>
                <c:pt idx="7">
                  <c:v>562.75</c:v>
                </c:pt>
                <c:pt idx="8">
                  <c:v>565.25</c:v>
                </c:pt>
                <c:pt idx="9">
                  <c:v>562.25</c:v>
                </c:pt>
                <c:pt idx="10">
                  <c:v>569</c:v>
                </c:pt>
                <c:pt idx="11">
                  <c:v>573.5</c:v>
                </c:pt>
                <c:pt idx="12">
                  <c:v>565.5</c:v>
                </c:pt>
                <c:pt idx="13">
                  <c:v>571.12</c:v>
                </c:pt>
                <c:pt idx="14">
                  <c:v>569.5</c:v>
                </c:pt>
                <c:pt idx="15">
                  <c:v>572.5</c:v>
                </c:pt>
                <c:pt idx="16">
                  <c:v>581.5</c:v>
                </c:pt>
                <c:pt idx="17">
                  <c:v>577.75</c:v>
                </c:pt>
                <c:pt idx="18">
                  <c:v>581.75</c:v>
                </c:pt>
                <c:pt idx="19">
                  <c:v>567.75</c:v>
                </c:pt>
                <c:pt idx="20">
                  <c:v>573</c:v>
                </c:pt>
                <c:pt idx="21">
                  <c:v>571</c:v>
                </c:pt>
                <c:pt idx="22">
                  <c:v>562.5</c:v>
                </c:pt>
                <c:pt idx="23">
                  <c:v>562.5</c:v>
                </c:pt>
                <c:pt idx="24">
                  <c:v>551.25</c:v>
                </c:pt>
                <c:pt idx="25">
                  <c:v>554.25</c:v>
                </c:pt>
                <c:pt idx="26">
                  <c:v>559.25</c:v>
                </c:pt>
                <c:pt idx="27">
                  <c:v>563.75</c:v>
                </c:pt>
                <c:pt idx="28">
                  <c:v>557</c:v>
                </c:pt>
                <c:pt idx="29">
                  <c:v>558.75</c:v>
                </c:pt>
                <c:pt idx="30">
                  <c:v>551.5</c:v>
                </c:pt>
                <c:pt idx="31">
                  <c:v>541</c:v>
                </c:pt>
                <c:pt idx="32">
                  <c:v>548.5</c:v>
                </c:pt>
                <c:pt idx="33">
                  <c:v>544.75</c:v>
                </c:pt>
                <c:pt idx="34">
                  <c:v>544.38</c:v>
                </c:pt>
                <c:pt idx="35">
                  <c:v>549.25</c:v>
                </c:pt>
                <c:pt idx="36">
                  <c:v>563</c:v>
                </c:pt>
                <c:pt idx="37">
                  <c:v>565.25</c:v>
                </c:pt>
                <c:pt idx="38">
                  <c:v>559.75</c:v>
                </c:pt>
                <c:pt idx="39">
                  <c:v>550.25</c:v>
                </c:pt>
                <c:pt idx="40">
                  <c:v>539</c:v>
                </c:pt>
                <c:pt idx="41">
                  <c:v>539.25</c:v>
                </c:pt>
                <c:pt idx="42">
                  <c:v>538.75</c:v>
                </c:pt>
                <c:pt idx="43">
                  <c:v>531</c:v>
                </c:pt>
                <c:pt idx="44">
                  <c:v>523.5</c:v>
                </c:pt>
                <c:pt idx="45">
                  <c:v>523</c:v>
                </c:pt>
                <c:pt idx="46">
                  <c:v>528</c:v>
                </c:pt>
                <c:pt idx="47">
                  <c:v>521.25</c:v>
                </c:pt>
                <c:pt idx="48">
                  <c:v>520</c:v>
                </c:pt>
                <c:pt idx="49">
                  <c:v>516</c:v>
                </c:pt>
                <c:pt idx="50">
                  <c:v>524.25</c:v>
                </c:pt>
                <c:pt idx="51">
                  <c:v>527.25</c:v>
                </c:pt>
                <c:pt idx="52">
                  <c:v>506.75</c:v>
                </c:pt>
                <c:pt idx="53">
                  <c:v>509.75</c:v>
                </c:pt>
                <c:pt idx="54">
                  <c:v>503</c:v>
                </c:pt>
                <c:pt idx="55">
                  <c:v>496.25</c:v>
                </c:pt>
                <c:pt idx="56">
                  <c:v>500.75</c:v>
                </c:pt>
                <c:pt idx="57">
                  <c:v>508.5</c:v>
                </c:pt>
                <c:pt idx="58">
                  <c:v>534.5</c:v>
                </c:pt>
                <c:pt idx="59">
                  <c:v>539.5</c:v>
                </c:pt>
                <c:pt idx="60">
                  <c:v>560.5</c:v>
                </c:pt>
                <c:pt idx="61">
                  <c:v>560</c:v>
                </c:pt>
                <c:pt idx="62">
                  <c:v>579.5</c:v>
                </c:pt>
                <c:pt idx="63">
                  <c:v>569.5</c:v>
                </c:pt>
                <c:pt idx="64">
                  <c:v>572.25</c:v>
                </c:pt>
                <c:pt idx="65">
                  <c:v>569.75</c:v>
                </c:pt>
                <c:pt idx="66">
                  <c:v>567.25</c:v>
                </c:pt>
                <c:pt idx="67">
                  <c:v>550.25</c:v>
                </c:pt>
                <c:pt idx="68">
                  <c:v>541.75</c:v>
                </c:pt>
                <c:pt idx="69">
                  <c:v>550</c:v>
                </c:pt>
                <c:pt idx="70">
                  <c:v>555.25</c:v>
                </c:pt>
                <c:pt idx="71">
                  <c:v>551</c:v>
                </c:pt>
                <c:pt idx="72">
                  <c:v>549.25</c:v>
                </c:pt>
                <c:pt idx="73">
                  <c:v>558.25</c:v>
                </c:pt>
                <c:pt idx="74">
                  <c:v>560.75</c:v>
                </c:pt>
                <c:pt idx="75">
                  <c:v>555.75</c:v>
                </c:pt>
                <c:pt idx="76">
                  <c:v>546.5</c:v>
                </c:pt>
                <c:pt idx="77">
                  <c:v>538.75</c:v>
                </c:pt>
                <c:pt idx="78">
                  <c:v>528.5</c:v>
                </c:pt>
                <c:pt idx="79">
                  <c:v>536</c:v>
                </c:pt>
                <c:pt idx="80">
                  <c:v>551.5</c:v>
                </c:pt>
                <c:pt idx="81">
                  <c:v>547.75</c:v>
                </c:pt>
                <c:pt idx="82">
                  <c:v>542</c:v>
                </c:pt>
                <c:pt idx="83">
                  <c:v>549.25</c:v>
                </c:pt>
                <c:pt idx="84">
                  <c:v>529.5</c:v>
                </c:pt>
                <c:pt idx="85">
                  <c:v>523</c:v>
                </c:pt>
                <c:pt idx="86">
                  <c:v>525</c:v>
                </c:pt>
                <c:pt idx="87">
                  <c:v>517</c:v>
                </c:pt>
                <c:pt idx="88">
                  <c:v>528.75</c:v>
                </c:pt>
                <c:pt idx="89">
                  <c:v>516</c:v>
                </c:pt>
                <c:pt idx="90">
                  <c:v>519</c:v>
                </c:pt>
                <c:pt idx="91">
                  <c:v>521.25</c:v>
                </c:pt>
                <c:pt idx="92">
                  <c:v>531</c:v>
                </c:pt>
                <c:pt idx="93">
                  <c:v>533</c:v>
                </c:pt>
                <c:pt idx="94">
                  <c:v>537.75</c:v>
                </c:pt>
                <c:pt idx="95">
                  <c:v>517.62</c:v>
                </c:pt>
                <c:pt idx="96">
                  <c:v>513.38</c:v>
                </c:pt>
                <c:pt idx="97">
                  <c:v>500.12</c:v>
                </c:pt>
                <c:pt idx="98">
                  <c:v>502.5</c:v>
                </c:pt>
                <c:pt idx="99">
                  <c:v>501.5</c:v>
                </c:pt>
                <c:pt idx="100">
                  <c:v>496.75</c:v>
                </c:pt>
                <c:pt idx="101">
                  <c:v>499.5</c:v>
                </c:pt>
                <c:pt idx="102">
                  <c:v>515</c:v>
                </c:pt>
                <c:pt idx="103">
                  <c:v>515</c:v>
                </c:pt>
                <c:pt idx="104">
                  <c:v>508.25</c:v>
                </c:pt>
                <c:pt idx="105">
                  <c:v>504.88</c:v>
                </c:pt>
                <c:pt idx="106">
                  <c:v>504.25</c:v>
                </c:pt>
                <c:pt idx="107">
                  <c:v>507.75</c:v>
                </c:pt>
                <c:pt idx="108">
                  <c:v>505.25</c:v>
                </c:pt>
                <c:pt idx="109">
                  <c:v>513.5</c:v>
                </c:pt>
                <c:pt idx="110">
                  <c:v>520</c:v>
                </c:pt>
                <c:pt idx="111">
                  <c:v>517</c:v>
                </c:pt>
                <c:pt idx="112">
                  <c:v>509.75</c:v>
                </c:pt>
                <c:pt idx="113">
                  <c:v>512.25</c:v>
                </c:pt>
                <c:pt idx="114">
                  <c:v>526.75</c:v>
                </c:pt>
                <c:pt idx="115">
                  <c:v>517</c:v>
                </c:pt>
                <c:pt idx="116">
                  <c:v>512</c:v>
                </c:pt>
                <c:pt idx="117">
                  <c:v>505</c:v>
                </c:pt>
                <c:pt idx="118">
                  <c:v>508.75</c:v>
                </c:pt>
                <c:pt idx="119">
                  <c:v>499</c:v>
                </c:pt>
                <c:pt idx="120">
                  <c:v>499.75</c:v>
                </c:pt>
                <c:pt idx="121">
                  <c:v>506.5</c:v>
                </c:pt>
                <c:pt idx="122">
                  <c:v>494.5</c:v>
                </c:pt>
                <c:pt idx="123">
                  <c:v>488.5</c:v>
                </c:pt>
                <c:pt idx="124">
                  <c:v>482.75</c:v>
                </c:pt>
                <c:pt idx="125">
                  <c:v>480.5</c:v>
                </c:pt>
                <c:pt idx="126">
                  <c:v>485.25</c:v>
                </c:pt>
                <c:pt idx="127">
                  <c:v>486.75</c:v>
                </c:pt>
                <c:pt idx="128">
                  <c:v>480</c:v>
                </c:pt>
                <c:pt idx="129">
                  <c:v>486.5</c:v>
                </c:pt>
                <c:pt idx="130">
                  <c:v>473.5</c:v>
                </c:pt>
                <c:pt idx="131">
                  <c:v>483.75</c:v>
                </c:pt>
                <c:pt idx="132">
                  <c:v>489.75</c:v>
                </c:pt>
                <c:pt idx="133">
                  <c:v>498.25</c:v>
                </c:pt>
                <c:pt idx="134">
                  <c:v>489</c:v>
                </c:pt>
                <c:pt idx="135">
                  <c:v>492.75</c:v>
                </c:pt>
                <c:pt idx="136">
                  <c:v>495.25</c:v>
                </c:pt>
                <c:pt idx="137">
                  <c:v>530</c:v>
                </c:pt>
                <c:pt idx="138">
                  <c:v>536.75</c:v>
                </c:pt>
                <c:pt idx="139">
                  <c:v>536</c:v>
                </c:pt>
                <c:pt idx="140">
                  <c:v>524</c:v>
                </c:pt>
                <c:pt idx="141">
                  <c:v>527</c:v>
                </c:pt>
                <c:pt idx="142">
                  <c:v>550</c:v>
                </c:pt>
                <c:pt idx="143">
                  <c:v>535.75</c:v>
                </c:pt>
                <c:pt idx="144">
                  <c:v>535</c:v>
                </c:pt>
                <c:pt idx="145">
                  <c:v>520.5</c:v>
                </c:pt>
                <c:pt idx="146">
                  <c:v>525.75</c:v>
                </c:pt>
                <c:pt idx="147">
                  <c:v>534.75</c:v>
                </c:pt>
                <c:pt idx="148">
                  <c:v>530.75</c:v>
                </c:pt>
                <c:pt idx="149">
                  <c:v>538.75</c:v>
                </c:pt>
                <c:pt idx="150">
                  <c:v>526.5</c:v>
                </c:pt>
                <c:pt idx="151">
                  <c:v>523.5</c:v>
                </c:pt>
                <c:pt idx="152">
                  <c:v>531.75</c:v>
                </c:pt>
                <c:pt idx="153">
                  <c:v>528.5</c:v>
                </c:pt>
                <c:pt idx="154">
                  <c:v>527</c:v>
                </c:pt>
                <c:pt idx="155">
                  <c:v>521</c:v>
                </c:pt>
                <c:pt idx="156">
                  <c:v>508.25</c:v>
                </c:pt>
                <c:pt idx="157">
                  <c:v>510.75</c:v>
                </c:pt>
                <c:pt idx="158">
                  <c:v>501.25</c:v>
                </c:pt>
                <c:pt idx="159">
                  <c:v>495.25</c:v>
                </c:pt>
                <c:pt idx="160">
                  <c:v>491</c:v>
                </c:pt>
                <c:pt idx="161">
                  <c:v>495.75</c:v>
                </c:pt>
                <c:pt idx="162">
                  <c:v>490</c:v>
                </c:pt>
                <c:pt idx="163">
                  <c:v>495.5</c:v>
                </c:pt>
                <c:pt idx="164">
                  <c:v>500.5</c:v>
                </c:pt>
                <c:pt idx="165">
                  <c:v>516.25</c:v>
                </c:pt>
                <c:pt idx="166">
                  <c:v>507.25</c:v>
                </c:pt>
                <c:pt idx="167">
                  <c:v>511.75</c:v>
                </c:pt>
                <c:pt idx="168">
                  <c:v>520</c:v>
                </c:pt>
                <c:pt idx="169">
                  <c:v>527.75</c:v>
                </c:pt>
                <c:pt idx="170">
                  <c:v>521.25</c:v>
                </c:pt>
                <c:pt idx="171">
                  <c:v>527</c:v>
                </c:pt>
                <c:pt idx="172">
                  <c:v>531.75</c:v>
                </c:pt>
                <c:pt idx="173">
                  <c:v>543</c:v>
                </c:pt>
                <c:pt idx="174">
                  <c:v>544.25</c:v>
                </c:pt>
                <c:pt idx="175">
                  <c:v>555.75</c:v>
                </c:pt>
                <c:pt idx="176">
                  <c:v>547.75</c:v>
                </c:pt>
                <c:pt idx="177">
                  <c:v>543.25</c:v>
                </c:pt>
                <c:pt idx="178">
                  <c:v>539.75</c:v>
                </c:pt>
                <c:pt idx="179">
                  <c:v>533.25</c:v>
                </c:pt>
                <c:pt idx="180">
                  <c:v>534</c:v>
                </c:pt>
                <c:pt idx="181">
                  <c:v>540</c:v>
                </c:pt>
                <c:pt idx="182">
                  <c:v>533.75</c:v>
                </c:pt>
                <c:pt idx="183">
                  <c:v>548.5</c:v>
                </c:pt>
                <c:pt idx="184">
                  <c:v>538.25</c:v>
                </c:pt>
                <c:pt idx="185">
                  <c:v>542</c:v>
                </c:pt>
                <c:pt idx="186">
                  <c:v>556.25</c:v>
                </c:pt>
                <c:pt idx="187">
                  <c:v>575</c:v>
                </c:pt>
                <c:pt idx="188">
                  <c:v>554.75</c:v>
                </c:pt>
                <c:pt idx="189">
                  <c:v>558</c:v>
                </c:pt>
                <c:pt idx="190">
                  <c:v>549</c:v>
                </c:pt>
                <c:pt idx="191">
                  <c:v>549.75</c:v>
                </c:pt>
                <c:pt idx="192">
                  <c:v>544.25</c:v>
                </c:pt>
                <c:pt idx="193">
                  <c:v>550.25</c:v>
                </c:pt>
                <c:pt idx="194">
                  <c:v>549.5</c:v>
                </c:pt>
                <c:pt idx="195">
                  <c:v>578</c:v>
                </c:pt>
                <c:pt idx="196">
                  <c:v>570.25</c:v>
                </c:pt>
                <c:pt idx="197">
                  <c:v>573.25</c:v>
                </c:pt>
                <c:pt idx="198">
                  <c:v>584.25</c:v>
                </c:pt>
                <c:pt idx="199">
                  <c:v>592.75</c:v>
                </c:pt>
                <c:pt idx="200">
                  <c:v>607.5</c:v>
                </c:pt>
                <c:pt idx="201">
                  <c:v>595.25</c:v>
                </c:pt>
                <c:pt idx="202">
                  <c:v>593.75</c:v>
                </c:pt>
                <c:pt idx="203">
                  <c:v>594.25</c:v>
                </c:pt>
                <c:pt idx="204">
                  <c:v>594</c:v>
                </c:pt>
                <c:pt idx="205">
                  <c:v>596.75</c:v>
                </c:pt>
                <c:pt idx="206">
                  <c:v>618.25</c:v>
                </c:pt>
                <c:pt idx="207">
                  <c:v>625.25</c:v>
                </c:pt>
                <c:pt idx="208">
                  <c:v>627</c:v>
                </c:pt>
                <c:pt idx="209">
                  <c:v>632</c:v>
                </c:pt>
                <c:pt idx="210">
                  <c:v>629.75</c:v>
                </c:pt>
                <c:pt idx="211">
                  <c:v>622.75</c:v>
                </c:pt>
                <c:pt idx="212">
                  <c:v>632.75</c:v>
                </c:pt>
                <c:pt idx="213">
                  <c:v>620</c:v>
                </c:pt>
                <c:pt idx="214">
                  <c:v>615.75</c:v>
                </c:pt>
                <c:pt idx="215">
                  <c:v>608.75</c:v>
                </c:pt>
                <c:pt idx="216">
                  <c:v>603.75</c:v>
                </c:pt>
                <c:pt idx="217">
                  <c:v>598.5</c:v>
                </c:pt>
                <c:pt idx="218">
                  <c:v>607.5</c:v>
                </c:pt>
                <c:pt idx="219">
                  <c:v>608</c:v>
                </c:pt>
                <c:pt idx="220">
                  <c:v>606</c:v>
                </c:pt>
                <c:pt idx="221">
                  <c:v>609.25</c:v>
                </c:pt>
                <c:pt idx="222">
                  <c:v>602</c:v>
                </c:pt>
                <c:pt idx="223">
                  <c:v>597.5</c:v>
                </c:pt>
                <c:pt idx="224">
                  <c:v>608.5</c:v>
                </c:pt>
                <c:pt idx="225">
                  <c:v>598</c:v>
                </c:pt>
                <c:pt idx="226">
                  <c:v>588.25</c:v>
                </c:pt>
                <c:pt idx="227">
                  <c:v>593.5</c:v>
                </c:pt>
                <c:pt idx="228">
                  <c:v>598</c:v>
                </c:pt>
                <c:pt idx="229">
                  <c:v>595.25</c:v>
                </c:pt>
                <c:pt idx="230">
                  <c:v>597.75</c:v>
                </c:pt>
                <c:pt idx="231">
                  <c:v>591.75</c:v>
                </c:pt>
                <c:pt idx="232">
                  <c:v>593.25</c:v>
                </c:pt>
                <c:pt idx="233">
                  <c:v>598.75</c:v>
                </c:pt>
                <c:pt idx="234">
                  <c:v>611.25</c:v>
                </c:pt>
                <c:pt idx="235">
                  <c:v>588.25</c:v>
                </c:pt>
                <c:pt idx="236">
                  <c:v>587.88</c:v>
                </c:pt>
                <c:pt idx="237">
                  <c:v>596.5</c:v>
                </c:pt>
                <c:pt idx="238">
                  <c:v>580.25</c:v>
                </c:pt>
                <c:pt idx="239">
                  <c:v>565.5</c:v>
                </c:pt>
                <c:pt idx="240">
                  <c:v>578</c:v>
                </c:pt>
                <c:pt idx="241">
                  <c:v>571.75</c:v>
                </c:pt>
                <c:pt idx="242">
                  <c:v>566.5</c:v>
                </c:pt>
                <c:pt idx="243">
                  <c:v>571.25</c:v>
                </c:pt>
                <c:pt idx="244">
                  <c:v>563.75</c:v>
                </c:pt>
                <c:pt idx="245">
                  <c:v>577</c:v>
                </c:pt>
                <c:pt idx="246">
                  <c:v>590.25</c:v>
                </c:pt>
                <c:pt idx="247">
                  <c:v>608.25</c:v>
                </c:pt>
                <c:pt idx="248">
                  <c:v>593.5</c:v>
                </c:pt>
                <c:pt idx="249">
                  <c:v>599.75</c:v>
                </c:pt>
                <c:pt idx="250">
                  <c:v>598.5</c:v>
                </c:pt>
                <c:pt idx="251">
                  <c:v>608.75</c:v>
                </c:pt>
                <c:pt idx="252">
                  <c:v>608.25</c:v>
                </c:pt>
                <c:pt idx="253">
                  <c:v>611.25</c:v>
                </c:pt>
                <c:pt idx="254">
                  <c:v>617</c:v>
                </c:pt>
                <c:pt idx="255">
                  <c:v>629.75</c:v>
                </c:pt>
                <c:pt idx="256">
                  <c:v>627</c:v>
                </c:pt>
                <c:pt idx="257">
                  <c:v>627.1</c:v>
                </c:pt>
                <c:pt idx="258">
                  <c:v>614.25</c:v>
                </c:pt>
                <c:pt idx="259">
                  <c:v>618.5</c:v>
                </c:pt>
                <c:pt idx="260">
                  <c:v>640.75</c:v>
                </c:pt>
                <c:pt idx="261">
                  <c:v>640.5</c:v>
                </c:pt>
                <c:pt idx="262">
                  <c:v>641.75</c:v>
                </c:pt>
                <c:pt idx="263">
                  <c:v>642</c:v>
                </c:pt>
                <c:pt idx="264">
                  <c:v>654</c:v>
                </c:pt>
                <c:pt idx="265">
                  <c:v>647.5</c:v>
                </c:pt>
                <c:pt idx="266">
                  <c:v>642.25</c:v>
                </c:pt>
                <c:pt idx="267">
                  <c:v>638.75</c:v>
                </c:pt>
                <c:pt idx="268">
                  <c:v>634.75</c:v>
                </c:pt>
                <c:pt idx="269">
                  <c:v>665</c:v>
                </c:pt>
                <c:pt idx="270">
                  <c:v>660.5</c:v>
                </c:pt>
                <c:pt idx="271">
                  <c:v>670</c:v>
                </c:pt>
                <c:pt idx="272">
                  <c:v>675.5</c:v>
                </c:pt>
                <c:pt idx="273">
                  <c:v>672.25</c:v>
                </c:pt>
                <c:pt idx="274">
                  <c:v>667.75</c:v>
                </c:pt>
                <c:pt idx="275">
                  <c:v>660.75</c:v>
                </c:pt>
                <c:pt idx="276">
                  <c:v>634.5</c:v>
                </c:pt>
                <c:pt idx="277">
                  <c:v>648.5</c:v>
                </c:pt>
                <c:pt idx="278">
                  <c:v>665.25</c:v>
                </c:pt>
                <c:pt idx="279">
                  <c:v>658.25</c:v>
                </c:pt>
                <c:pt idx="280">
                  <c:v>647</c:v>
                </c:pt>
                <c:pt idx="281">
                  <c:v>663</c:v>
                </c:pt>
                <c:pt idx="282">
                  <c:v>651</c:v>
                </c:pt>
                <c:pt idx="283">
                  <c:v>644.75</c:v>
                </c:pt>
                <c:pt idx="284">
                  <c:v>648.25</c:v>
                </c:pt>
                <c:pt idx="285">
                  <c:v>637.5</c:v>
                </c:pt>
                <c:pt idx="286">
                  <c:v>641.25</c:v>
                </c:pt>
                <c:pt idx="287">
                  <c:v>655.75</c:v>
                </c:pt>
                <c:pt idx="288">
                  <c:v>649.5</c:v>
                </c:pt>
                <c:pt idx="289">
                  <c:v>635.5</c:v>
                </c:pt>
                <c:pt idx="290">
                  <c:v>633.5</c:v>
                </c:pt>
                <c:pt idx="291">
                  <c:v>636.75</c:v>
                </c:pt>
                <c:pt idx="292">
                  <c:v>637.25</c:v>
                </c:pt>
                <c:pt idx="293">
                  <c:v>637.75</c:v>
                </c:pt>
                <c:pt idx="294">
                  <c:v>657.5</c:v>
                </c:pt>
                <c:pt idx="295">
                  <c:v>644</c:v>
                </c:pt>
                <c:pt idx="296">
                  <c:v>662.5</c:v>
                </c:pt>
                <c:pt idx="297">
                  <c:v>650.75</c:v>
                </c:pt>
                <c:pt idx="298">
                  <c:v>664</c:v>
                </c:pt>
                <c:pt idx="299">
                  <c:v>665.75</c:v>
                </c:pt>
                <c:pt idx="300">
                  <c:v>680.25</c:v>
                </c:pt>
                <c:pt idx="301">
                  <c:v>671.75</c:v>
                </c:pt>
                <c:pt idx="302">
                  <c:v>655</c:v>
                </c:pt>
                <c:pt idx="303">
                  <c:v>643.75</c:v>
                </c:pt>
                <c:pt idx="304">
                  <c:v>663.25</c:v>
                </c:pt>
                <c:pt idx="305">
                  <c:v>652</c:v>
                </c:pt>
                <c:pt idx="306">
                  <c:v>649.75</c:v>
                </c:pt>
                <c:pt idx="307">
                  <c:v>654</c:v>
                </c:pt>
                <c:pt idx="308">
                  <c:v>646.5</c:v>
                </c:pt>
                <c:pt idx="309">
                  <c:v>656.5</c:v>
                </c:pt>
                <c:pt idx="310">
                  <c:v>650.75</c:v>
                </c:pt>
                <c:pt idx="311">
                  <c:v>636.25</c:v>
                </c:pt>
                <c:pt idx="312">
                  <c:v>631.75</c:v>
                </c:pt>
                <c:pt idx="313">
                  <c:v>645</c:v>
                </c:pt>
                <c:pt idx="314">
                  <c:v>647</c:v>
                </c:pt>
                <c:pt idx="315">
                  <c:v>640</c:v>
                </c:pt>
                <c:pt idx="316">
                  <c:v>630.5</c:v>
                </c:pt>
                <c:pt idx="317">
                  <c:v>627</c:v>
                </c:pt>
                <c:pt idx="318">
                  <c:v>627.25</c:v>
                </c:pt>
                <c:pt idx="319">
                  <c:v>634.75</c:v>
                </c:pt>
                <c:pt idx="320">
                  <c:v>624.75</c:v>
                </c:pt>
                <c:pt idx="321">
                  <c:v>612.5</c:v>
                </c:pt>
                <c:pt idx="322">
                  <c:v>613.25</c:v>
                </c:pt>
                <c:pt idx="323">
                  <c:v>616.75</c:v>
                </c:pt>
                <c:pt idx="324">
                  <c:v>601.75</c:v>
                </c:pt>
                <c:pt idx="325">
                  <c:v>618</c:v>
                </c:pt>
                <c:pt idx="326">
                  <c:v>611</c:v>
                </c:pt>
                <c:pt idx="327">
                  <c:v>618</c:v>
                </c:pt>
                <c:pt idx="328">
                  <c:v>615.5</c:v>
                </c:pt>
                <c:pt idx="329">
                  <c:v>616.25</c:v>
                </c:pt>
                <c:pt idx="330">
                  <c:v>628.75</c:v>
                </c:pt>
                <c:pt idx="331">
                  <c:v>638.75</c:v>
                </c:pt>
                <c:pt idx="332">
                  <c:v>628</c:v>
                </c:pt>
                <c:pt idx="333">
                  <c:v>629.75</c:v>
                </c:pt>
                <c:pt idx="334">
                  <c:v>648</c:v>
                </c:pt>
                <c:pt idx="335">
                  <c:v>653.75</c:v>
                </c:pt>
                <c:pt idx="336">
                  <c:v>652.5</c:v>
                </c:pt>
                <c:pt idx="337">
                  <c:v>652.25</c:v>
                </c:pt>
                <c:pt idx="338">
                  <c:v>659.75</c:v>
                </c:pt>
                <c:pt idx="339">
                  <c:v>673.25</c:v>
                </c:pt>
                <c:pt idx="340">
                  <c:v>710.25</c:v>
                </c:pt>
                <c:pt idx="341">
                  <c:v>710.25</c:v>
                </c:pt>
                <c:pt idx="342">
                  <c:v>739.5</c:v>
                </c:pt>
                <c:pt idx="343">
                  <c:v>733.75</c:v>
                </c:pt>
                <c:pt idx="344">
                  <c:v>725.25</c:v>
                </c:pt>
                <c:pt idx="345">
                  <c:v>737.5</c:v>
                </c:pt>
                <c:pt idx="346">
                  <c:v>742.5</c:v>
                </c:pt>
                <c:pt idx="347">
                  <c:v>725.5</c:v>
                </c:pt>
                <c:pt idx="348">
                  <c:v>737</c:v>
                </c:pt>
                <c:pt idx="349">
                  <c:v>755.75</c:v>
                </c:pt>
                <c:pt idx="350">
                  <c:v>764.25</c:v>
                </c:pt>
                <c:pt idx="351">
                  <c:v>773.5</c:v>
                </c:pt>
                <c:pt idx="352">
                  <c:v>742.5</c:v>
                </c:pt>
                <c:pt idx="353">
                  <c:v>759.75</c:v>
                </c:pt>
                <c:pt idx="354">
                  <c:v>754.75</c:v>
                </c:pt>
                <c:pt idx="355">
                  <c:v>726.5</c:v>
                </c:pt>
                <c:pt idx="356">
                  <c:v>727.25</c:v>
                </c:pt>
                <c:pt idx="357">
                  <c:v>699.75</c:v>
                </c:pt>
                <c:pt idx="358">
                  <c:v>698</c:v>
                </c:pt>
                <c:pt idx="359">
                  <c:v>679.25</c:v>
                </c:pt>
                <c:pt idx="360">
                  <c:v>675.25</c:v>
                </c:pt>
                <c:pt idx="361">
                  <c:v>674.25</c:v>
                </c:pt>
                <c:pt idx="362">
                  <c:v>662.25</c:v>
                </c:pt>
                <c:pt idx="363">
                  <c:v>656.5</c:v>
                </c:pt>
                <c:pt idx="364">
                  <c:v>648.5</c:v>
                </c:pt>
                <c:pt idx="365">
                  <c:v>676.25</c:v>
                </c:pt>
                <c:pt idx="366">
                  <c:v>663.5</c:v>
                </c:pt>
                <c:pt idx="367">
                  <c:v>664.12</c:v>
                </c:pt>
                <c:pt idx="368">
                  <c:v>673.62</c:v>
                </c:pt>
                <c:pt idx="369">
                  <c:v>693.5</c:v>
                </c:pt>
                <c:pt idx="370">
                  <c:v>687.5</c:v>
                </c:pt>
                <c:pt idx="371">
                  <c:v>676.25</c:v>
                </c:pt>
                <c:pt idx="372">
                  <c:v>687.75</c:v>
                </c:pt>
                <c:pt idx="373">
                  <c:v>680</c:v>
                </c:pt>
                <c:pt idx="374">
                  <c:v>685</c:v>
                </c:pt>
                <c:pt idx="375">
                  <c:v>682.25</c:v>
                </c:pt>
                <c:pt idx="376">
                  <c:v>683.75</c:v>
                </c:pt>
                <c:pt idx="377">
                  <c:v>680.75</c:v>
                </c:pt>
                <c:pt idx="378">
                  <c:v>674.5</c:v>
                </c:pt>
                <c:pt idx="379">
                  <c:v>661.5</c:v>
                </c:pt>
                <c:pt idx="380">
                  <c:v>662.75</c:v>
                </c:pt>
                <c:pt idx="381">
                  <c:v>639</c:v>
                </c:pt>
                <c:pt idx="382">
                  <c:v>662.75</c:v>
                </c:pt>
                <c:pt idx="383">
                  <c:v>661.5</c:v>
                </c:pt>
                <c:pt idx="384">
                  <c:v>651</c:v>
                </c:pt>
                <c:pt idx="385">
                  <c:v>661.25</c:v>
                </c:pt>
                <c:pt idx="386">
                  <c:v>651.25</c:v>
                </c:pt>
                <c:pt idx="387">
                  <c:v>637</c:v>
                </c:pt>
                <c:pt idx="388">
                  <c:v>646</c:v>
                </c:pt>
                <c:pt idx="389">
                  <c:v>639.75</c:v>
                </c:pt>
                <c:pt idx="390">
                  <c:v>671.5</c:v>
                </c:pt>
                <c:pt idx="391">
                  <c:v>658.5</c:v>
                </c:pt>
                <c:pt idx="392">
                  <c:v>645.75</c:v>
                </c:pt>
                <c:pt idx="393">
                  <c:v>620</c:v>
                </c:pt>
                <c:pt idx="394">
                  <c:v>614.75</c:v>
                </c:pt>
                <c:pt idx="395">
                  <c:v>612.25</c:v>
                </c:pt>
                <c:pt idx="396">
                  <c:v>608.5</c:v>
                </c:pt>
                <c:pt idx="397">
                  <c:v>635</c:v>
                </c:pt>
                <c:pt idx="398">
                  <c:v>628.75</c:v>
                </c:pt>
                <c:pt idx="399">
                  <c:v>645</c:v>
                </c:pt>
                <c:pt idx="400">
                  <c:v>672</c:v>
                </c:pt>
                <c:pt idx="401">
                  <c:v>692.5</c:v>
                </c:pt>
                <c:pt idx="402">
                  <c:v>697.75</c:v>
                </c:pt>
                <c:pt idx="403">
                  <c:v>700.5</c:v>
                </c:pt>
                <c:pt idx="404">
                  <c:v>710.75</c:v>
                </c:pt>
                <c:pt idx="405">
                  <c:v>692.25</c:v>
                </c:pt>
                <c:pt idx="406">
                  <c:v>684</c:v>
                </c:pt>
                <c:pt idx="407">
                  <c:v>677</c:v>
                </c:pt>
                <c:pt idx="408">
                  <c:v>674.5</c:v>
                </c:pt>
                <c:pt idx="409">
                  <c:v>688.75</c:v>
                </c:pt>
                <c:pt idx="410">
                  <c:v>705.25</c:v>
                </c:pt>
                <c:pt idx="411">
                  <c:v>703.75</c:v>
                </c:pt>
                <c:pt idx="412">
                  <c:v>729.5</c:v>
                </c:pt>
                <c:pt idx="413">
                  <c:v>724.5</c:v>
                </c:pt>
                <c:pt idx="414">
                  <c:v>717.25</c:v>
                </c:pt>
                <c:pt idx="415">
                  <c:v>712.75</c:v>
                </c:pt>
                <c:pt idx="416">
                  <c:v>719</c:v>
                </c:pt>
                <c:pt idx="417">
                  <c:v>711.25</c:v>
                </c:pt>
                <c:pt idx="418">
                  <c:v>727</c:v>
                </c:pt>
                <c:pt idx="419">
                  <c:v>727</c:v>
                </c:pt>
                <c:pt idx="420">
                  <c:v>753.5</c:v>
                </c:pt>
                <c:pt idx="421">
                  <c:v>762.25</c:v>
                </c:pt>
                <c:pt idx="422">
                  <c:v>760.5</c:v>
                </c:pt>
                <c:pt idx="423">
                  <c:v>734.5</c:v>
                </c:pt>
                <c:pt idx="424">
                  <c:v>737.25</c:v>
                </c:pt>
                <c:pt idx="425">
                  <c:v>727.5</c:v>
                </c:pt>
                <c:pt idx="426">
                  <c:v>714.25</c:v>
                </c:pt>
                <c:pt idx="427">
                  <c:v>719.75</c:v>
                </c:pt>
                <c:pt idx="428">
                  <c:v>718</c:v>
                </c:pt>
                <c:pt idx="429">
                  <c:v>711.25</c:v>
                </c:pt>
                <c:pt idx="430">
                  <c:v>725.25</c:v>
                </c:pt>
                <c:pt idx="431">
                  <c:v>718.5</c:v>
                </c:pt>
                <c:pt idx="432">
                  <c:v>708.75</c:v>
                </c:pt>
                <c:pt idx="433">
                  <c:v>706.75</c:v>
                </c:pt>
                <c:pt idx="434">
                  <c:v>701</c:v>
                </c:pt>
                <c:pt idx="435">
                  <c:v>704</c:v>
                </c:pt>
                <c:pt idx="436">
                  <c:v>714.5</c:v>
                </c:pt>
                <c:pt idx="437">
                  <c:v>724</c:v>
                </c:pt>
                <c:pt idx="438">
                  <c:v>708.75</c:v>
                </c:pt>
                <c:pt idx="439">
                  <c:v>698.25</c:v>
                </c:pt>
                <c:pt idx="440">
                  <c:v>681.5</c:v>
                </c:pt>
                <c:pt idx="441">
                  <c:v>675</c:v>
                </c:pt>
                <c:pt idx="442">
                  <c:v>674.5</c:v>
                </c:pt>
                <c:pt idx="443">
                  <c:v>685</c:v>
                </c:pt>
                <c:pt idx="444">
                  <c:v>712.25</c:v>
                </c:pt>
                <c:pt idx="445">
                  <c:v>713</c:v>
                </c:pt>
                <c:pt idx="446">
                  <c:v>708.75</c:v>
                </c:pt>
                <c:pt idx="447">
                  <c:v>700.75</c:v>
                </c:pt>
                <c:pt idx="448">
                  <c:v>690.25</c:v>
                </c:pt>
                <c:pt idx="449">
                  <c:v>705.75</c:v>
                </c:pt>
                <c:pt idx="450">
                  <c:v>717.75</c:v>
                </c:pt>
                <c:pt idx="451">
                  <c:v>723.75</c:v>
                </c:pt>
                <c:pt idx="452">
                  <c:v>722.25</c:v>
                </c:pt>
                <c:pt idx="453">
                  <c:v>706.5</c:v>
                </c:pt>
                <c:pt idx="454">
                  <c:v>710.25</c:v>
                </c:pt>
                <c:pt idx="455">
                  <c:v>725.5</c:v>
                </c:pt>
                <c:pt idx="456">
                  <c:v>755.25</c:v>
                </c:pt>
                <c:pt idx="457">
                  <c:v>756.5</c:v>
                </c:pt>
                <c:pt idx="458">
                  <c:v>744.75</c:v>
                </c:pt>
                <c:pt idx="459">
                  <c:v>746</c:v>
                </c:pt>
                <c:pt idx="460">
                  <c:v>741.25</c:v>
                </c:pt>
                <c:pt idx="461">
                  <c:v>734</c:v>
                </c:pt>
                <c:pt idx="462">
                  <c:v>731.75</c:v>
                </c:pt>
                <c:pt idx="463">
                  <c:v>734</c:v>
                </c:pt>
                <c:pt idx="464">
                  <c:v>718.75</c:v>
                </c:pt>
                <c:pt idx="465">
                  <c:v>724.75</c:v>
                </c:pt>
                <c:pt idx="466">
                  <c:v>734</c:v>
                </c:pt>
                <c:pt idx="467">
                  <c:v>736.25</c:v>
                </c:pt>
                <c:pt idx="468">
                  <c:v>736</c:v>
                </c:pt>
                <c:pt idx="469">
                  <c:v>749.25</c:v>
                </c:pt>
                <c:pt idx="470">
                  <c:v>741.25</c:v>
                </c:pt>
                <c:pt idx="471">
                  <c:v>756</c:v>
                </c:pt>
                <c:pt idx="472">
                  <c:v>759.5</c:v>
                </c:pt>
                <c:pt idx="473">
                  <c:v>752.25</c:v>
                </c:pt>
                <c:pt idx="474">
                  <c:v>759.75</c:v>
                </c:pt>
                <c:pt idx="475">
                  <c:v>772.5</c:v>
                </c:pt>
                <c:pt idx="476">
                  <c:v>772.75</c:v>
                </c:pt>
                <c:pt idx="477">
                  <c:v>797.25</c:v>
                </c:pt>
                <c:pt idx="478">
                  <c:v>791.5</c:v>
                </c:pt>
                <c:pt idx="479">
                  <c:v>781</c:v>
                </c:pt>
                <c:pt idx="480">
                  <c:v>773.75</c:v>
                </c:pt>
                <c:pt idx="481">
                  <c:v>766.5</c:v>
                </c:pt>
                <c:pt idx="482">
                  <c:v>768</c:v>
                </c:pt>
                <c:pt idx="483">
                  <c:v>778.5</c:v>
                </c:pt>
                <c:pt idx="484">
                  <c:v>803</c:v>
                </c:pt>
                <c:pt idx="485">
                  <c:v>812.5</c:v>
                </c:pt>
                <c:pt idx="486">
                  <c:v>817</c:v>
                </c:pt>
                <c:pt idx="487">
                  <c:v>826.25</c:v>
                </c:pt>
                <c:pt idx="488">
                  <c:v>810.25</c:v>
                </c:pt>
                <c:pt idx="489">
                  <c:v>822.25</c:v>
                </c:pt>
                <c:pt idx="490">
                  <c:v>823</c:v>
                </c:pt>
                <c:pt idx="491">
                  <c:v>823</c:v>
                </c:pt>
                <c:pt idx="492">
                  <c:v>845.75</c:v>
                </c:pt>
                <c:pt idx="493">
                  <c:v>856</c:v>
                </c:pt>
                <c:pt idx="494">
                  <c:v>836.75</c:v>
                </c:pt>
                <c:pt idx="495">
                  <c:v>825.5</c:v>
                </c:pt>
                <c:pt idx="496">
                  <c:v>807.5</c:v>
                </c:pt>
                <c:pt idx="497">
                  <c:v>773.75</c:v>
                </c:pt>
                <c:pt idx="498">
                  <c:v>778.5</c:v>
                </c:pt>
                <c:pt idx="499">
                  <c:v>806.5</c:v>
                </c:pt>
                <c:pt idx="500">
                  <c:v>794.5</c:v>
                </c:pt>
                <c:pt idx="501">
                  <c:v>797</c:v>
                </c:pt>
                <c:pt idx="502">
                  <c:v>799.25</c:v>
                </c:pt>
                <c:pt idx="503">
                  <c:v>791.25</c:v>
                </c:pt>
                <c:pt idx="504">
                  <c:v>773.5</c:v>
                </c:pt>
                <c:pt idx="505">
                  <c:v>782</c:v>
                </c:pt>
                <c:pt idx="506">
                  <c:v>785.5</c:v>
                </c:pt>
                <c:pt idx="507">
                  <c:v>786.25</c:v>
                </c:pt>
                <c:pt idx="508">
                  <c:v>756</c:v>
                </c:pt>
                <c:pt idx="509">
                  <c:v>770.5</c:v>
                </c:pt>
                <c:pt idx="510">
                  <c:v>775</c:v>
                </c:pt>
                <c:pt idx="511">
                  <c:v>777.75</c:v>
                </c:pt>
                <c:pt idx="512">
                  <c:v>799</c:v>
                </c:pt>
                <c:pt idx="513">
                  <c:v>814</c:v>
                </c:pt>
                <c:pt idx="514">
                  <c:v>814.75</c:v>
                </c:pt>
                <c:pt idx="515">
                  <c:v>815.8</c:v>
                </c:pt>
                <c:pt idx="516">
                  <c:v>804</c:v>
                </c:pt>
                <c:pt idx="517">
                  <c:v>783.5</c:v>
                </c:pt>
                <c:pt idx="518">
                  <c:v>787.75</c:v>
                </c:pt>
                <c:pt idx="519">
                  <c:v>779.75</c:v>
                </c:pt>
                <c:pt idx="520">
                  <c:v>770.75</c:v>
                </c:pt>
                <c:pt idx="521">
                  <c:v>758</c:v>
                </c:pt>
                <c:pt idx="522">
                  <c:v>770</c:v>
                </c:pt>
                <c:pt idx="523">
                  <c:v>760.75</c:v>
                </c:pt>
                <c:pt idx="524">
                  <c:v>746</c:v>
                </c:pt>
                <c:pt idx="525">
                  <c:v>758.5</c:v>
                </c:pt>
                <c:pt idx="526">
                  <c:v>762</c:v>
                </c:pt>
                <c:pt idx="527">
                  <c:v>770.25</c:v>
                </c:pt>
                <c:pt idx="528">
                  <c:v>757.75</c:v>
                </c:pt>
                <c:pt idx="529">
                  <c:v>746.75</c:v>
                </c:pt>
                <c:pt idx="530">
                  <c:v>741.5</c:v>
                </c:pt>
                <c:pt idx="531">
                  <c:v>769</c:v>
                </c:pt>
                <c:pt idx="532">
                  <c:v>796.5</c:v>
                </c:pt>
                <c:pt idx="533">
                  <c:v>790.25</c:v>
                </c:pt>
                <c:pt idx="534">
                  <c:v>780</c:v>
                </c:pt>
                <c:pt idx="535">
                  <c:v>800.5</c:v>
                </c:pt>
                <c:pt idx="536">
                  <c:v>818</c:v>
                </c:pt>
                <c:pt idx="537">
                  <c:v>795</c:v>
                </c:pt>
                <c:pt idx="538">
                  <c:v>777</c:v>
                </c:pt>
                <c:pt idx="539">
                  <c:v>786.25</c:v>
                </c:pt>
                <c:pt idx="540">
                  <c:v>761.25</c:v>
                </c:pt>
                <c:pt idx="541">
                  <c:v>769</c:v>
                </c:pt>
                <c:pt idx="542">
                  <c:v>755</c:v>
                </c:pt>
                <c:pt idx="543">
                  <c:v>751.75</c:v>
                </c:pt>
                <c:pt idx="544">
                  <c:v>763.25</c:v>
                </c:pt>
                <c:pt idx="545">
                  <c:v>768.75</c:v>
                </c:pt>
                <c:pt idx="546">
                  <c:v>778.75</c:v>
                </c:pt>
                <c:pt idx="547">
                  <c:v>785</c:v>
                </c:pt>
                <c:pt idx="548">
                  <c:v>771.5</c:v>
                </c:pt>
                <c:pt idx="549">
                  <c:v>797.75</c:v>
                </c:pt>
                <c:pt idx="550">
                  <c:v>799.25</c:v>
                </c:pt>
                <c:pt idx="551">
                  <c:v>779.75</c:v>
                </c:pt>
                <c:pt idx="552">
                  <c:v>780.5</c:v>
                </c:pt>
                <c:pt idx="553">
                  <c:v>798</c:v>
                </c:pt>
                <c:pt idx="554">
                  <c:v>797</c:v>
                </c:pt>
                <c:pt idx="555">
                  <c:v>844.25</c:v>
                </c:pt>
                <c:pt idx="556">
                  <c:v>876</c:v>
                </c:pt>
                <c:pt idx="557">
                  <c:v>926</c:v>
                </c:pt>
                <c:pt idx="558">
                  <c:v>843</c:v>
                </c:pt>
                <c:pt idx="559">
                  <c:v>928</c:v>
                </c:pt>
                <c:pt idx="560">
                  <c:v>1001.75</c:v>
                </c:pt>
                <c:pt idx="561">
                  <c:v>1058.5</c:v>
                </c:pt>
                <c:pt idx="562">
                  <c:v>1289</c:v>
                </c:pt>
                <c:pt idx="563">
                  <c:v>1348</c:v>
                </c:pt>
                <c:pt idx="564">
                  <c:v>1425.25</c:v>
                </c:pt>
                <c:pt idx="565">
                  <c:v>1273</c:v>
                </c:pt>
                <c:pt idx="566">
                  <c:v>1199.5</c:v>
                </c:pt>
                <c:pt idx="567">
                  <c:v>1073.75</c:v>
                </c:pt>
                <c:pt idx="568">
                  <c:v>1090</c:v>
                </c:pt>
                <c:pt idx="569">
                  <c:v>1126.6199999999999</c:v>
                </c:pt>
                <c:pt idx="570">
                  <c:v>1099.75</c:v>
                </c:pt>
                <c:pt idx="571">
                  <c:v>1154.25</c:v>
                </c:pt>
                <c:pt idx="572">
                  <c:v>1069.25</c:v>
                </c:pt>
                <c:pt idx="573">
                  <c:v>1098</c:v>
                </c:pt>
                <c:pt idx="574">
                  <c:v>1063.75</c:v>
                </c:pt>
                <c:pt idx="575">
                  <c:v>1119.25</c:v>
                </c:pt>
                <c:pt idx="576">
                  <c:v>1118.25</c:v>
                </c:pt>
                <c:pt idx="577">
                  <c:v>1105.75</c:v>
                </c:pt>
                <c:pt idx="578">
                  <c:v>1085.75</c:v>
                </c:pt>
                <c:pt idx="579">
                  <c:v>1102.25</c:v>
                </c:pt>
                <c:pt idx="580">
                  <c:v>1057</c:v>
                </c:pt>
                <c:pt idx="581">
                  <c:v>1014.25</c:v>
                </c:pt>
                <c:pt idx="582">
                  <c:v>1027.25</c:v>
                </c:pt>
                <c:pt idx="583">
                  <c:v>1006</c:v>
                </c:pt>
                <c:pt idx="584">
                  <c:v>984.5</c:v>
                </c:pt>
                <c:pt idx="585">
                  <c:v>1010.25</c:v>
                </c:pt>
                <c:pt idx="586">
                  <c:v>1045.25</c:v>
                </c:pt>
                <c:pt idx="587">
                  <c:v>1041.1199999999999</c:v>
                </c:pt>
                <c:pt idx="588">
                  <c:v>1020</c:v>
                </c:pt>
                <c:pt idx="589">
                  <c:v>1051.5</c:v>
                </c:pt>
                <c:pt idx="590">
                  <c:v>1081.25</c:v>
                </c:pt>
                <c:pt idx="591">
                  <c:v>1103.75</c:v>
                </c:pt>
                <c:pt idx="592">
                  <c:v>1113.5</c:v>
                </c:pt>
                <c:pt idx="593">
                  <c:v>1096.5</c:v>
                </c:pt>
                <c:pt idx="594">
                  <c:v>1095.75</c:v>
                </c:pt>
                <c:pt idx="595">
                  <c:v>1120.5</c:v>
                </c:pt>
                <c:pt idx="596">
                  <c:v>1099</c:v>
                </c:pt>
                <c:pt idx="597">
                  <c:v>1088</c:v>
                </c:pt>
                <c:pt idx="598">
                  <c:v>1068</c:v>
                </c:pt>
                <c:pt idx="599">
                  <c:v>1065.5</c:v>
                </c:pt>
                <c:pt idx="600">
                  <c:v>1082.5</c:v>
                </c:pt>
                <c:pt idx="601">
                  <c:v>1082.1199999999999</c:v>
                </c:pt>
                <c:pt idx="602">
                  <c:v>1095</c:v>
                </c:pt>
                <c:pt idx="603">
                  <c:v>1091.25</c:v>
                </c:pt>
                <c:pt idx="604">
                  <c:v>1085.75</c:v>
                </c:pt>
                <c:pt idx="605">
                  <c:v>1055.75</c:v>
                </c:pt>
                <c:pt idx="606">
                  <c:v>1054.3800000000001</c:v>
                </c:pt>
                <c:pt idx="607">
                  <c:v>1047</c:v>
                </c:pt>
                <c:pt idx="608">
                  <c:v>1076.5</c:v>
                </c:pt>
                <c:pt idx="609">
                  <c:v>1106.5</c:v>
                </c:pt>
                <c:pt idx="610">
                  <c:v>1108.5</c:v>
                </c:pt>
                <c:pt idx="611">
                  <c:v>1092.75</c:v>
                </c:pt>
                <c:pt idx="612">
                  <c:v>1083.25</c:v>
                </c:pt>
                <c:pt idx="613">
                  <c:v>1108.75</c:v>
                </c:pt>
                <c:pt idx="614">
                  <c:v>1174.5</c:v>
                </c:pt>
                <c:pt idx="615">
                  <c:v>1167.25</c:v>
                </c:pt>
                <c:pt idx="616">
                  <c:v>1247.5</c:v>
                </c:pt>
                <c:pt idx="617">
                  <c:v>1277.5</c:v>
                </c:pt>
                <c:pt idx="618">
                  <c:v>1230.75</c:v>
                </c:pt>
                <c:pt idx="619">
                  <c:v>1200.5</c:v>
                </c:pt>
                <c:pt idx="620">
                  <c:v>1168.75</c:v>
                </c:pt>
                <c:pt idx="621">
                  <c:v>1190</c:v>
                </c:pt>
                <c:pt idx="622">
                  <c:v>1154.75</c:v>
                </c:pt>
                <c:pt idx="623">
                  <c:v>1148.25</c:v>
                </c:pt>
                <c:pt idx="624">
                  <c:v>1143.25</c:v>
                </c:pt>
                <c:pt idx="625">
                  <c:v>1157.5</c:v>
                </c:pt>
                <c:pt idx="626">
                  <c:v>1155.3800000000001</c:v>
                </c:pt>
                <c:pt idx="627">
                  <c:v>1087.5</c:v>
                </c:pt>
                <c:pt idx="628">
                  <c:v>1041.25</c:v>
                </c:pt>
                <c:pt idx="629">
                  <c:v>1058.25</c:v>
                </c:pt>
                <c:pt idx="630">
                  <c:v>1040</c:v>
                </c:pt>
                <c:pt idx="631">
                  <c:v>1093</c:v>
                </c:pt>
                <c:pt idx="632">
                  <c:v>1071.75</c:v>
                </c:pt>
                <c:pt idx="633">
                  <c:v>1074.75</c:v>
                </c:pt>
                <c:pt idx="634">
                  <c:v>1071.25</c:v>
                </c:pt>
                <c:pt idx="635">
                  <c:v>1070.75</c:v>
                </c:pt>
                <c:pt idx="636">
                  <c:v>1071</c:v>
                </c:pt>
                <c:pt idx="637">
                  <c:v>1050.25</c:v>
                </c:pt>
                <c:pt idx="638">
                  <c:v>1050</c:v>
                </c:pt>
                <c:pt idx="639">
                  <c:v>1078.25</c:v>
                </c:pt>
                <c:pt idx="640">
                  <c:v>1034.25</c:v>
                </c:pt>
                <c:pt idx="641">
                  <c:v>975.25</c:v>
                </c:pt>
                <c:pt idx="642">
                  <c:v>976.5</c:v>
                </c:pt>
                <c:pt idx="643">
                  <c:v>937.25</c:v>
                </c:pt>
                <c:pt idx="644">
                  <c:v>923.75</c:v>
                </c:pt>
                <c:pt idx="645">
                  <c:v>917.5</c:v>
                </c:pt>
                <c:pt idx="646">
                  <c:v>936</c:v>
                </c:pt>
                <c:pt idx="647">
                  <c:v>930</c:v>
                </c:pt>
                <c:pt idx="648">
                  <c:v>884</c:v>
                </c:pt>
                <c:pt idx="649">
                  <c:v>846</c:v>
                </c:pt>
                <c:pt idx="650">
                  <c:v>807</c:v>
                </c:pt>
                <c:pt idx="651">
                  <c:v>804.5</c:v>
                </c:pt>
                <c:pt idx="652">
                  <c:v>836.5</c:v>
                </c:pt>
                <c:pt idx="653">
                  <c:v>891.5</c:v>
                </c:pt>
                <c:pt idx="654">
                  <c:v>843.75</c:v>
                </c:pt>
                <c:pt idx="655">
                  <c:v>801.5</c:v>
                </c:pt>
                <c:pt idx="656">
                  <c:v>798.25</c:v>
                </c:pt>
                <c:pt idx="657">
                  <c:v>794.25</c:v>
                </c:pt>
                <c:pt idx="658">
                  <c:v>776.75</c:v>
                </c:pt>
                <c:pt idx="659">
                  <c:v>812.75</c:v>
                </c:pt>
                <c:pt idx="660">
                  <c:v>812.25</c:v>
                </c:pt>
                <c:pt idx="661">
                  <c:v>819.5</c:v>
                </c:pt>
                <c:pt idx="662">
                  <c:v>806.25</c:v>
                </c:pt>
                <c:pt idx="663">
                  <c:v>759</c:v>
                </c:pt>
                <c:pt idx="664">
                  <c:v>770</c:v>
                </c:pt>
                <c:pt idx="665">
                  <c:v>803.75</c:v>
                </c:pt>
                <c:pt idx="666">
                  <c:v>790.25</c:v>
                </c:pt>
                <c:pt idx="667">
                  <c:v>817</c:v>
                </c:pt>
                <c:pt idx="668">
                  <c:v>807.75</c:v>
                </c:pt>
                <c:pt idx="669">
                  <c:v>800.25</c:v>
                </c:pt>
                <c:pt idx="670">
                  <c:v>774.75</c:v>
                </c:pt>
                <c:pt idx="671">
                  <c:v>763.75</c:v>
                </c:pt>
                <c:pt idx="672">
                  <c:v>782.5</c:v>
                </c:pt>
                <c:pt idx="673">
                  <c:v>775.75</c:v>
                </c:pt>
                <c:pt idx="674">
                  <c:v>779.75</c:v>
                </c:pt>
                <c:pt idx="675">
                  <c:v>781.5</c:v>
                </c:pt>
                <c:pt idx="676">
                  <c:v>799.75</c:v>
                </c:pt>
                <c:pt idx="677">
                  <c:v>810.75</c:v>
                </c:pt>
                <c:pt idx="678">
                  <c:v>806</c:v>
                </c:pt>
                <c:pt idx="679">
                  <c:v>800.75</c:v>
                </c:pt>
                <c:pt idx="680">
                  <c:v>786</c:v>
                </c:pt>
                <c:pt idx="681">
                  <c:v>763.25</c:v>
                </c:pt>
                <c:pt idx="682">
                  <c:v>731.5</c:v>
                </c:pt>
                <c:pt idx="683">
                  <c:v>753.25</c:v>
                </c:pt>
                <c:pt idx="684">
                  <c:v>770.5</c:v>
                </c:pt>
                <c:pt idx="685">
                  <c:v>782.75</c:v>
                </c:pt>
                <c:pt idx="686">
                  <c:v>795</c:v>
                </c:pt>
                <c:pt idx="687">
                  <c:v>769.75</c:v>
                </c:pt>
                <c:pt idx="688">
                  <c:v>784.75</c:v>
                </c:pt>
                <c:pt idx="689">
                  <c:v>842.75</c:v>
                </c:pt>
                <c:pt idx="690">
                  <c:v>820.25</c:v>
                </c:pt>
                <c:pt idx="691">
                  <c:v>831.5</c:v>
                </c:pt>
                <c:pt idx="692">
                  <c:v>797.75</c:v>
                </c:pt>
                <c:pt idx="693">
                  <c:v>811</c:v>
                </c:pt>
                <c:pt idx="694">
                  <c:v>808</c:v>
                </c:pt>
                <c:pt idx="695">
                  <c:v>812.25</c:v>
                </c:pt>
                <c:pt idx="696">
                  <c:v>817</c:v>
                </c:pt>
                <c:pt idx="697">
                  <c:v>844.25</c:v>
                </c:pt>
                <c:pt idx="698">
                  <c:v>829</c:v>
                </c:pt>
                <c:pt idx="699">
                  <c:v>869.5</c:v>
                </c:pt>
                <c:pt idx="700">
                  <c:v>858.75</c:v>
                </c:pt>
                <c:pt idx="701">
                  <c:v>842.75</c:v>
                </c:pt>
                <c:pt idx="702">
                  <c:v>853.75</c:v>
                </c:pt>
                <c:pt idx="703">
                  <c:v>845</c:v>
                </c:pt>
                <c:pt idx="704">
                  <c:v>859.75</c:v>
                </c:pt>
                <c:pt idx="705">
                  <c:v>830.5</c:v>
                </c:pt>
                <c:pt idx="706">
                  <c:v>893.75</c:v>
                </c:pt>
                <c:pt idx="707">
                  <c:v>903.75</c:v>
                </c:pt>
                <c:pt idx="708">
                  <c:v>910.75</c:v>
                </c:pt>
                <c:pt idx="709">
                  <c:v>880.5</c:v>
                </c:pt>
                <c:pt idx="710">
                  <c:v>858</c:v>
                </c:pt>
                <c:pt idx="711">
                  <c:v>871.5</c:v>
                </c:pt>
                <c:pt idx="712">
                  <c:v>903.25</c:v>
                </c:pt>
                <c:pt idx="713">
                  <c:v>896.25</c:v>
                </c:pt>
                <c:pt idx="714">
                  <c:v>921.5</c:v>
                </c:pt>
                <c:pt idx="715">
                  <c:v>912</c:v>
                </c:pt>
                <c:pt idx="716">
                  <c:v>903</c:v>
                </c:pt>
                <c:pt idx="717">
                  <c:v>902</c:v>
                </c:pt>
                <c:pt idx="718">
                  <c:v>879</c:v>
                </c:pt>
                <c:pt idx="719">
                  <c:v>880.25</c:v>
                </c:pt>
                <c:pt idx="720">
                  <c:v>938</c:v>
                </c:pt>
                <c:pt idx="721">
                  <c:v>901</c:v>
                </c:pt>
                <c:pt idx="722">
                  <c:v>882.25</c:v>
                </c:pt>
                <c:pt idx="723">
                  <c:v>892.25</c:v>
                </c:pt>
                <c:pt idx="724">
                  <c:v>859.75</c:v>
                </c:pt>
                <c:pt idx="725">
                  <c:v>861</c:v>
                </c:pt>
                <c:pt idx="726">
                  <c:v>849.5</c:v>
                </c:pt>
                <c:pt idx="727">
                  <c:v>841.25</c:v>
                </c:pt>
                <c:pt idx="728">
                  <c:v>849.25</c:v>
                </c:pt>
                <c:pt idx="729">
                  <c:v>850.75</c:v>
                </c:pt>
                <c:pt idx="730">
                  <c:v>838.75</c:v>
                </c:pt>
                <c:pt idx="731">
                  <c:v>834.75</c:v>
                </c:pt>
                <c:pt idx="732">
                  <c:v>840.5</c:v>
                </c:pt>
                <c:pt idx="733">
                  <c:v>838.5</c:v>
                </c:pt>
                <c:pt idx="734">
                  <c:v>829.25</c:v>
                </c:pt>
                <c:pt idx="735">
                  <c:v>882.25</c:v>
                </c:pt>
                <c:pt idx="736">
                  <c:v>902.5</c:v>
                </c:pt>
                <c:pt idx="737">
                  <c:v>846</c:v>
                </c:pt>
                <c:pt idx="738">
                  <c:v>840.5</c:v>
                </c:pt>
                <c:pt idx="739">
                  <c:v>847.75</c:v>
                </c:pt>
                <c:pt idx="740">
                  <c:v>845.75</c:v>
                </c:pt>
                <c:pt idx="741">
                  <c:v>827.75</c:v>
                </c:pt>
                <c:pt idx="742">
                  <c:v>806.5</c:v>
                </c:pt>
                <c:pt idx="743">
                  <c:v>803.5</c:v>
                </c:pt>
                <c:pt idx="744">
                  <c:v>813.75</c:v>
                </c:pt>
                <c:pt idx="745">
                  <c:v>818.5</c:v>
                </c:pt>
                <c:pt idx="746">
                  <c:v>828.25</c:v>
                </c:pt>
                <c:pt idx="747">
                  <c:v>817.5</c:v>
                </c:pt>
                <c:pt idx="748">
                  <c:v>806.75</c:v>
                </c:pt>
                <c:pt idx="749">
                  <c:v>803.25</c:v>
                </c:pt>
                <c:pt idx="750">
                  <c:v>799.25</c:v>
                </c:pt>
                <c:pt idx="751">
                  <c:v>810.5</c:v>
                </c:pt>
                <c:pt idx="752">
                  <c:v>813.5</c:v>
                </c:pt>
                <c:pt idx="753">
                  <c:v>792.38</c:v>
                </c:pt>
                <c:pt idx="754">
                  <c:v>797</c:v>
                </c:pt>
                <c:pt idx="755">
                  <c:v>780.75</c:v>
                </c:pt>
                <c:pt idx="756">
                  <c:v>781.5</c:v>
                </c:pt>
                <c:pt idx="757">
                  <c:v>795.5</c:v>
                </c:pt>
                <c:pt idx="758">
                  <c:v>783</c:v>
                </c:pt>
                <c:pt idx="759">
                  <c:v>737.25</c:v>
                </c:pt>
                <c:pt idx="760">
                  <c:v>715.5</c:v>
                </c:pt>
                <c:pt idx="761">
                  <c:v>705.5</c:v>
                </c:pt>
                <c:pt idx="762">
                  <c:v>727</c:v>
                </c:pt>
                <c:pt idx="763">
                  <c:v>724.25</c:v>
                </c:pt>
                <c:pt idx="764">
                  <c:v>712.75</c:v>
                </c:pt>
                <c:pt idx="765">
                  <c:v>733</c:v>
                </c:pt>
                <c:pt idx="766">
                  <c:v>728.75</c:v>
                </c:pt>
                <c:pt idx="767">
                  <c:v>728.25</c:v>
                </c:pt>
                <c:pt idx="768">
                  <c:v>757.25</c:v>
                </c:pt>
                <c:pt idx="769">
                  <c:v>753.5</c:v>
                </c:pt>
                <c:pt idx="770">
                  <c:v>748.5</c:v>
                </c:pt>
                <c:pt idx="771">
                  <c:v>750.5</c:v>
                </c:pt>
                <c:pt idx="772">
                  <c:v>767.75</c:v>
                </c:pt>
                <c:pt idx="773">
                  <c:v>762.25</c:v>
                </c:pt>
                <c:pt idx="774">
                  <c:v>776</c:v>
                </c:pt>
                <c:pt idx="775">
                  <c:v>774.5</c:v>
                </c:pt>
                <c:pt idx="776">
                  <c:v>785.5</c:v>
                </c:pt>
                <c:pt idx="777">
                  <c:v>774</c:v>
                </c:pt>
                <c:pt idx="778">
                  <c:v>792</c:v>
                </c:pt>
                <c:pt idx="779">
                  <c:v>775.5</c:v>
                </c:pt>
                <c:pt idx="780">
                  <c:v>745.5</c:v>
                </c:pt>
                <c:pt idx="781">
                  <c:v>746.75</c:v>
                </c:pt>
                <c:pt idx="782">
                  <c:v>743.5</c:v>
                </c:pt>
                <c:pt idx="783">
                  <c:v>741.5</c:v>
                </c:pt>
                <c:pt idx="784">
                  <c:v>731</c:v>
                </c:pt>
                <c:pt idx="785">
                  <c:v>740</c:v>
                </c:pt>
                <c:pt idx="786">
                  <c:v>742.75</c:v>
                </c:pt>
                <c:pt idx="787">
                  <c:v>743.75</c:v>
                </c:pt>
                <c:pt idx="788">
                  <c:v>751.75</c:v>
                </c:pt>
                <c:pt idx="789">
                  <c:v>742.5</c:v>
                </c:pt>
                <c:pt idx="790">
                  <c:v>734.5</c:v>
                </c:pt>
                <c:pt idx="791">
                  <c:v>741.5</c:v>
                </c:pt>
                <c:pt idx="792">
                  <c:v>720</c:v>
                </c:pt>
                <c:pt idx="793">
                  <c:v>734.5</c:v>
                </c:pt>
                <c:pt idx="794">
                  <c:v>741.25</c:v>
                </c:pt>
                <c:pt idx="795">
                  <c:v>752.5</c:v>
                </c:pt>
                <c:pt idx="796">
                  <c:v>750</c:v>
                </c:pt>
                <c:pt idx="797">
                  <c:v>752.5</c:v>
                </c:pt>
                <c:pt idx="798">
                  <c:v>761.25</c:v>
                </c:pt>
                <c:pt idx="799">
                  <c:v>759.75</c:v>
                </c:pt>
                <c:pt idx="800">
                  <c:v>761</c:v>
                </c:pt>
                <c:pt idx="801">
                  <c:v>756.75</c:v>
                </c:pt>
                <c:pt idx="802">
                  <c:v>750.25</c:v>
                </c:pt>
                <c:pt idx="803">
                  <c:v>749.75</c:v>
                </c:pt>
                <c:pt idx="804">
                  <c:v>764.75</c:v>
                </c:pt>
                <c:pt idx="805">
                  <c:v>757.25</c:v>
                </c:pt>
                <c:pt idx="806">
                  <c:v>786</c:v>
                </c:pt>
                <c:pt idx="807">
                  <c:v>792</c:v>
                </c:pt>
                <c:pt idx="808">
                  <c:v>786</c:v>
                </c:pt>
                <c:pt idx="809">
                  <c:v>769.25</c:v>
                </c:pt>
                <c:pt idx="810">
                  <c:v>765</c:v>
                </c:pt>
                <c:pt idx="811">
                  <c:v>765.5</c:v>
                </c:pt>
                <c:pt idx="812">
                  <c:v>764.75</c:v>
                </c:pt>
                <c:pt idx="813">
                  <c:v>764.75</c:v>
                </c:pt>
                <c:pt idx="814">
                  <c:v>750.5</c:v>
                </c:pt>
                <c:pt idx="815">
                  <c:v>750</c:v>
                </c:pt>
                <c:pt idx="816">
                  <c:v>750.5</c:v>
                </c:pt>
                <c:pt idx="817">
                  <c:v>721.75</c:v>
                </c:pt>
                <c:pt idx="818">
                  <c:v>710</c:v>
                </c:pt>
                <c:pt idx="819">
                  <c:v>705.5</c:v>
                </c:pt>
                <c:pt idx="820">
                  <c:v>710</c:v>
                </c:pt>
                <c:pt idx="821">
                  <c:v>712.75</c:v>
                </c:pt>
                <c:pt idx="822">
                  <c:v>708.75</c:v>
                </c:pt>
                <c:pt idx="823">
                  <c:v>695.25</c:v>
                </c:pt>
                <c:pt idx="824">
                  <c:v>698</c:v>
                </c:pt>
                <c:pt idx="825">
                  <c:v>687.5</c:v>
                </c:pt>
                <c:pt idx="826">
                  <c:v>665.75</c:v>
                </c:pt>
                <c:pt idx="827">
                  <c:v>666.75</c:v>
                </c:pt>
                <c:pt idx="828">
                  <c:v>672.25</c:v>
                </c:pt>
                <c:pt idx="829">
                  <c:v>686.5</c:v>
                </c:pt>
                <c:pt idx="830">
                  <c:v>702.75</c:v>
                </c:pt>
                <c:pt idx="831">
                  <c:v>699</c:v>
                </c:pt>
                <c:pt idx="832">
                  <c:v>710.5</c:v>
                </c:pt>
                <c:pt idx="833">
                  <c:v>700.75</c:v>
                </c:pt>
                <c:pt idx="834">
                  <c:v>683.25</c:v>
                </c:pt>
                <c:pt idx="835">
                  <c:v>663.5</c:v>
                </c:pt>
                <c:pt idx="836">
                  <c:v>662</c:v>
                </c:pt>
                <c:pt idx="837">
                  <c:v>688.5</c:v>
                </c:pt>
                <c:pt idx="838">
                  <c:v>698</c:v>
                </c:pt>
                <c:pt idx="839">
                  <c:v>699.75</c:v>
                </c:pt>
                <c:pt idx="840">
                  <c:v>704.75</c:v>
                </c:pt>
                <c:pt idx="841">
                  <c:v>692.25</c:v>
                </c:pt>
                <c:pt idx="842">
                  <c:v>692.25</c:v>
                </c:pt>
                <c:pt idx="843">
                  <c:v>693.5</c:v>
                </c:pt>
                <c:pt idx="844">
                  <c:v>691.5</c:v>
                </c:pt>
                <c:pt idx="845">
                  <c:v>682</c:v>
                </c:pt>
                <c:pt idx="846">
                  <c:v>675.5</c:v>
                </c:pt>
                <c:pt idx="847">
                  <c:v>675.5</c:v>
                </c:pt>
                <c:pt idx="848">
                  <c:v>678.5</c:v>
                </c:pt>
                <c:pt idx="849">
                  <c:v>674</c:v>
                </c:pt>
                <c:pt idx="850">
                  <c:v>679.5</c:v>
                </c:pt>
                <c:pt idx="851">
                  <c:v>667</c:v>
                </c:pt>
                <c:pt idx="852">
                  <c:v>682.5</c:v>
                </c:pt>
                <c:pt idx="853">
                  <c:v>696.5</c:v>
                </c:pt>
                <c:pt idx="854">
                  <c:v>709.5</c:v>
                </c:pt>
                <c:pt idx="855">
                  <c:v>692.75</c:v>
                </c:pt>
                <c:pt idx="856">
                  <c:v>680</c:v>
                </c:pt>
                <c:pt idx="857">
                  <c:v>673</c:v>
                </c:pt>
                <c:pt idx="858">
                  <c:v>657</c:v>
                </c:pt>
                <c:pt idx="859">
                  <c:v>653</c:v>
                </c:pt>
                <c:pt idx="860">
                  <c:v>642</c:v>
                </c:pt>
                <c:pt idx="861">
                  <c:v>629.25</c:v>
                </c:pt>
                <c:pt idx="862">
                  <c:v>633.75</c:v>
                </c:pt>
                <c:pt idx="863">
                  <c:v>618.25</c:v>
                </c:pt>
                <c:pt idx="864">
                  <c:v>609.25</c:v>
                </c:pt>
                <c:pt idx="865">
                  <c:v>639.75</c:v>
                </c:pt>
                <c:pt idx="866">
                  <c:v>645</c:v>
                </c:pt>
                <c:pt idx="867">
                  <c:v>660.25</c:v>
                </c:pt>
                <c:pt idx="868">
                  <c:v>654</c:v>
                </c:pt>
                <c:pt idx="869">
                  <c:v>643.5</c:v>
                </c:pt>
                <c:pt idx="870">
                  <c:v>628.25</c:v>
                </c:pt>
                <c:pt idx="871">
                  <c:v>614.25</c:v>
                </c:pt>
                <c:pt idx="872">
                  <c:v>624.5</c:v>
                </c:pt>
                <c:pt idx="873">
                  <c:v>660.75</c:v>
                </c:pt>
                <c:pt idx="874">
                  <c:v>647.5</c:v>
                </c:pt>
                <c:pt idx="875">
                  <c:v>625.5</c:v>
                </c:pt>
                <c:pt idx="876">
                  <c:v>611.75</c:v>
                </c:pt>
                <c:pt idx="877">
                  <c:v>605</c:v>
                </c:pt>
                <c:pt idx="878">
                  <c:v>606.25</c:v>
                </c:pt>
                <c:pt idx="879">
                  <c:v>622.25</c:v>
                </c:pt>
                <c:pt idx="880">
                  <c:v>606.25</c:v>
                </c:pt>
                <c:pt idx="881">
                  <c:v>604.25</c:v>
                </c:pt>
                <c:pt idx="882">
                  <c:v>616</c:v>
                </c:pt>
                <c:pt idx="883">
                  <c:v>616.88</c:v>
                </c:pt>
                <c:pt idx="884">
                  <c:v>591</c:v>
                </c:pt>
                <c:pt idx="885">
                  <c:v>594.25</c:v>
                </c:pt>
                <c:pt idx="886">
                  <c:v>610.75</c:v>
                </c:pt>
                <c:pt idx="887">
                  <c:v>619</c:v>
                </c:pt>
                <c:pt idx="888">
                  <c:v>624</c:v>
                </c:pt>
                <c:pt idx="889">
                  <c:v>627.75</c:v>
                </c:pt>
                <c:pt idx="890">
                  <c:v>616.75</c:v>
                </c:pt>
                <c:pt idx="891">
                  <c:v>626.25</c:v>
                </c:pt>
                <c:pt idx="892">
                  <c:v>630.25</c:v>
                </c:pt>
                <c:pt idx="893">
                  <c:v>633.75</c:v>
                </c:pt>
                <c:pt idx="894">
                  <c:v>636.25</c:v>
                </c:pt>
                <c:pt idx="895">
                  <c:v>630.25</c:v>
                </c:pt>
                <c:pt idx="896">
                  <c:v>661.5</c:v>
                </c:pt>
                <c:pt idx="897">
                  <c:v>688</c:v>
                </c:pt>
                <c:pt idx="898">
                  <c:v>695.75</c:v>
                </c:pt>
                <c:pt idx="899">
                  <c:v>734.5</c:v>
                </c:pt>
                <c:pt idx="900">
                  <c:v>739</c:v>
                </c:pt>
                <c:pt idx="901">
                  <c:v>733.25</c:v>
                </c:pt>
                <c:pt idx="902">
                  <c:v>724.25</c:v>
                </c:pt>
                <c:pt idx="903">
                  <c:v>685</c:v>
                </c:pt>
                <c:pt idx="904">
                  <c:v>655.75</c:v>
                </c:pt>
                <c:pt idx="905">
                  <c:v>653</c:v>
                </c:pt>
                <c:pt idx="906">
                  <c:v>636.25</c:v>
                </c:pt>
                <c:pt idx="907">
                  <c:v>628.5</c:v>
                </c:pt>
                <c:pt idx="908">
                  <c:v>662</c:v>
                </c:pt>
                <c:pt idx="909">
                  <c:v>647</c:v>
                </c:pt>
                <c:pt idx="910">
                  <c:v>639.5</c:v>
                </c:pt>
                <c:pt idx="911">
                  <c:v>636.25</c:v>
                </c:pt>
                <c:pt idx="912">
                  <c:v>649.5</c:v>
                </c:pt>
                <c:pt idx="913">
                  <c:v>621.25</c:v>
                </c:pt>
                <c:pt idx="914">
                  <c:v>627.5</c:v>
                </c:pt>
                <c:pt idx="915">
                  <c:v>641.5</c:v>
                </c:pt>
                <c:pt idx="916">
                  <c:v>653.75</c:v>
                </c:pt>
                <c:pt idx="917">
                  <c:v>670.75</c:v>
                </c:pt>
                <c:pt idx="918">
                  <c:v>727.75</c:v>
                </c:pt>
                <c:pt idx="919">
                  <c:v>727</c:v>
                </c:pt>
                <c:pt idx="920">
                  <c:v>697.5</c:v>
                </c:pt>
                <c:pt idx="921">
                  <c:v>757.5</c:v>
                </c:pt>
                <c:pt idx="922">
                  <c:v>760.25</c:v>
                </c:pt>
                <c:pt idx="923">
                  <c:v>720</c:v>
                </c:pt>
                <c:pt idx="924">
                  <c:v>723.25</c:v>
                </c:pt>
                <c:pt idx="925">
                  <c:v>714.75</c:v>
                </c:pt>
                <c:pt idx="926">
                  <c:v>702.5</c:v>
                </c:pt>
                <c:pt idx="927">
                  <c:v>670</c:v>
                </c:pt>
                <c:pt idx="928">
                  <c:v>654.5</c:v>
                </c:pt>
                <c:pt idx="929">
                  <c:v>639.75</c:v>
                </c:pt>
              </c:numCache>
            </c:numRef>
          </c:val>
          <c:smooth val="0"/>
          <c:extLst>
            <c:ext xmlns:c16="http://schemas.microsoft.com/office/drawing/2014/chart" uri="{C3380CC4-5D6E-409C-BE32-E72D297353CC}">
              <c16:uniqueId val="{00000003-708F-4E76-BEEA-FF35DAF768ED}"/>
            </c:ext>
          </c:extLst>
        </c:ser>
        <c:dLbls>
          <c:showLegendKey val="0"/>
          <c:showVal val="0"/>
          <c:showCatName val="0"/>
          <c:showSerName val="0"/>
          <c:showPercent val="0"/>
          <c:showBubbleSize val="0"/>
        </c:dLbls>
        <c:smooth val="0"/>
        <c:axId val="304063472"/>
        <c:axId val="304085104"/>
      </c:lineChart>
      <c:dateAx>
        <c:axId val="304063472"/>
        <c:scaling>
          <c:orientation val="minMax"/>
          <c:min val="43862"/>
        </c:scaling>
        <c:delete val="0"/>
        <c:axPos val="b"/>
        <c:numFmt formatCode="mmm\-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085104"/>
        <c:crosses val="autoZero"/>
        <c:auto val="1"/>
        <c:lblOffset val="100"/>
        <c:baseTimeUnit val="days"/>
        <c:majorUnit val="5"/>
        <c:majorTimeUnit val="months"/>
      </c:dateAx>
      <c:valAx>
        <c:axId val="30408510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b="0" i="0" baseline="0">
                    <a:effectLst/>
                  </a:rPr>
                  <a:t>$cts/bushel</a:t>
                </a:r>
              </a:p>
            </c:rich>
          </c:tx>
          <c:layout>
            <c:manualLayout>
              <c:xMode val="edge"/>
              <c:yMode val="edge"/>
              <c:x val="4.7014574518100608E-3"/>
              <c:y val="0.3549796896965097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0634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5400" cap="flat" cmpd="sng" algn="ctr">
      <a:solidFill>
        <a:srgbClr val="DDDDDD"/>
      </a:solidFill>
      <a:round/>
    </a:ln>
    <a:effectLst/>
  </c:spPr>
  <c:txPr>
    <a:bodyPr/>
    <a:lstStyle/>
    <a:p>
      <a:pPr>
        <a:defRPr sz="9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958394242662769E-3"/>
          <c:y val="6.4191455234762329E-2"/>
          <c:w val="0.99100416057573371"/>
          <c:h val="0.85797681539807524"/>
        </c:manualLayout>
      </c:layout>
      <c:barChart>
        <c:barDir val="col"/>
        <c:grouping val="stacked"/>
        <c:varyColors val="0"/>
        <c:ser>
          <c:idx val="0"/>
          <c:order val="0"/>
          <c:tx>
            <c:strRef>
              <c:f>Hoja1!$D$1</c:f>
              <c:strCache>
                <c:ptCount val="1"/>
                <c:pt idx="0">
                  <c:v>Bajo</c:v>
                </c:pt>
              </c:strCache>
            </c:strRef>
          </c:tx>
          <c:spPr>
            <a:solidFill>
              <a:schemeClr val="accent5">
                <a:lumMod val="75000"/>
              </a:schemeClr>
            </a:solidFill>
            <a:ln>
              <a:noFill/>
            </a:ln>
            <a:effectLst/>
          </c:spPr>
          <c:invertIfNegative val="0"/>
          <c:dLbls>
            <c:dLbl>
              <c:idx val="0"/>
              <c:layout>
                <c:manualLayout>
                  <c:x val="2.4498456790123459E-3"/>
                  <c:y val="-0.185208333333333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A57-4D82-8007-4E984FB44638}"/>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Hoja1!$C$2:$C$5</c:f>
              <c:strCache>
                <c:ptCount val="4"/>
                <c:pt idx="0">
                  <c:v>Banguat</c:v>
                </c:pt>
                <c:pt idx="1">
                  <c:v>FMI</c:v>
                </c:pt>
                <c:pt idx="2">
                  <c:v>BM</c:v>
                </c:pt>
                <c:pt idx="3">
                  <c:v>CEPAL</c:v>
                </c:pt>
              </c:strCache>
            </c:strRef>
          </c:cat>
          <c:val>
            <c:numRef>
              <c:f>Hoja1!$D$2:$D$5</c:f>
              <c:numCache>
                <c:formatCode>General</c:formatCode>
                <c:ptCount val="4"/>
                <c:pt idx="0">
                  <c:v>3.5</c:v>
                </c:pt>
              </c:numCache>
            </c:numRef>
          </c:val>
          <c:extLst>
            <c:ext xmlns:c16="http://schemas.microsoft.com/office/drawing/2014/chart" uri="{C3380CC4-5D6E-409C-BE32-E72D297353CC}">
              <c16:uniqueId val="{00000001-5A57-4D82-8007-4E984FB44638}"/>
            </c:ext>
          </c:extLst>
        </c:ser>
        <c:ser>
          <c:idx val="1"/>
          <c:order val="1"/>
          <c:tx>
            <c:strRef>
              <c:f>Hoja1!$E$1</c:f>
              <c:strCache>
                <c:ptCount val="1"/>
                <c:pt idx="0">
                  <c:v>Medio</c:v>
                </c:pt>
              </c:strCache>
            </c:strRef>
          </c:tx>
          <c:spPr>
            <a:solidFill>
              <a:schemeClr val="accent1">
                <a:lumMod val="40000"/>
                <a:lumOff val="60000"/>
              </a:schemeClr>
            </a:solidFill>
            <a:ln>
              <a:noFill/>
            </a:ln>
            <a:effectLst/>
          </c:spPr>
          <c:invertIfNegative val="0"/>
          <c:dLbls>
            <c:dLbl>
              <c:idx val="0"/>
              <c:layout>
                <c:manualLayout>
                  <c:x val="0"/>
                  <c:y val="0.189618055555555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A57-4D82-8007-4E984FB44638}"/>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Hoja1!$C$2:$C$5</c:f>
              <c:strCache>
                <c:ptCount val="4"/>
                <c:pt idx="0">
                  <c:v>Banguat</c:v>
                </c:pt>
                <c:pt idx="1">
                  <c:v>FMI</c:v>
                </c:pt>
                <c:pt idx="2">
                  <c:v>BM</c:v>
                </c:pt>
                <c:pt idx="3">
                  <c:v>CEPAL</c:v>
                </c:pt>
              </c:strCache>
            </c:strRef>
          </c:cat>
          <c:val>
            <c:numRef>
              <c:f>Hoja1!$E$2:$E$5</c:f>
              <c:numCache>
                <c:formatCode>General</c:formatCode>
                <c:ptCount val="4"/>
                <c:pt idx="0">
                  <c:v>2.5</c:v>
                </c:pt>
              </c:numCache>
            </c:numRef>
          </c:val>
          <c:extLst>
            <c:ext xmlns:c16="http://schemas.microsoft.com/office/drawing/2014/chart" uri="{C3380CC4-5D6E-409C-BE32-E72D297353CC}">
              <c16:uniqueId val="{00000003-5A57-4D82-8007-4E984FB44638}"/>
            </c:ext>
          </c:extLst>
        </c:ser>
        <c:ser>
          <c:idx val="2"/>
          <c:order val="2"/>
          <c:tx>
            <c:strRef>
              <c:f>Hoja1!$F$1</c:f>
              <c:strCache>
                <c:ptCount val="1"/>
                <c:pt idx="0">
                  <c:v>Alto</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Hoja1!$C$2:$C$5</c:f>
              <c:strCache>
                <c:ptCount val="4"/>
                <c:pt idx="0">
                  <c:v>Banguat</c:v>
                </c:pt>
                <c:pt idx="1">
                  <c:v>FMI</c:v>
                </c:pt>
                <c:pt idx="2">
                  <c:v>BM</c:v>
                </c:pt>
                <c:pt idx="3">
                  <c:v>CEPAL</c:v>
                </c:pt>
              </c:strCache>
            </c:strRef>
          </c:cat>
          <c:val>
            <c:numRef>
              <c:f>Hoja1!$F$2:$F$5</c:f>
              <c:numCache>
                <c:formatCode>General</c:formatCode>
                <c:ptCount val="4"/>
                <c:pt idx="0">
                  <c:v>4.5</c:v>
                </c:pt>
                <c:pt idx="1">
                  <c:v>3.4</c:v>
                </c:pt>
                <c:pt idx="2">
                  <c:v>3.2</c:v>
                </c:pt>
                <c:pt idx="3">
                  <c:v>3.1</c:v>
                </c:pt>
              </c:numCache>
            </c:numRef>
          </c:val>
          <c:extLst>
            <c:ext xmlns:c16="http://schemas.microsoft.com/office/drawing/2014/chart" uri="{C3380CC4-5D6E-409C-BE32-E72D297353CC}">
              <c16:uniqueId val="{00000004-5A57-4D82-8007-4E984FB44638}"/>
            </c:ext>
          </c:extLst>
        </c:ser>
        <c:dLbls>
          <c:showLegendKey val="0"/>
          <c:showVal val="0"/>
          <c:showCatName val="0"/>
          <c:showSerName val="0"/>
          <c:showPercent val="0"/>
          <c:showBubbleSize val="0"/>
        </c:dLbls>
        <c:gapWidth val="150"/>
        <c:overlap val="100"/>
        <c:axId val="304083856"/>
        <c:axId val="304086352"/>
      </c:barChart>
      <c:catAx>
        <c:axId val="30408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086352"/>
        <c:crosses val="autoZero"/>
        <c:auto val="1"/>
        <c:lblAlgn val="ctr"/>
        <c:lblOffset val="100"/>
        <c:noMultiLvlLbl val="0"/>
      </c:catAx>
      <c:valAx>
        <c:axId val="304086352"/>
        <c:scaling>
          <c:orientation val="minMax"/>
        </c:scaling>
        <c:delete val="1"/>
        <c:axPos val="l"/>
        <c:numFmt formatCode="General" sourceLinked="1"/>
        <c:majorTickMark val="none"/>
        <c:minorTickMark val="none"/>
        <c:tickLblPos val="nextTo"/>
        <c:crossAx val="304083856"/>
        <c:crosses val="autoZero"/>
        <c:crossBetween val="between"/>
      </c:valAx>
      <c:spPr>
        <a:noFill/>
        <a:ln>
          <a:noFill/>
        </a:ln>
        <a:effectLst/>
      </c:spPr>
    </c:plotArea>
    <c:legend>
      <c:legendPos val="t"/>
      <c:layout>
        <c:manualLayout>
          <c:xMode val="edge"/>
          <c:yMode val="edge"/>
          <c:x val="0.39195917163902244"/>
          <c:y val="0"/>
          <c:w val="0.22507749614622136"/>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5400" cap="flat" cmpd="sng" algn="ctr">
      <a:solidFill>
        <a:srgbClr val="DDDDDD"/>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4.1198501872659173E-2"/>
          <c:w val="0.88556487878840096"/>
          <c:h val="0.91571647645167953"/>
        </c:manualLayout>
      </c:layout>
      <c:lineChart>
        <c:grouping val="standard"/>
        <c:varyColors val="0"/>
        <c:ser>
          <c:idx val="0"/>
          <c:order val="0"/>
          <c:tx>
            <c:strRef>
              <c:f>ICAE!$B$3</c:f>
              <c:strCache>
                <c:ptCount val="1"/>
              </c:strCache>
            </c:strRef>
          </c:tx>
          <c:spPr>
            <a:ln>
              <a:solidFill>
                <a:srgbClr val="44546A">
                  <a:lumMod val="50000"/>
                </a:srgbClr>
              </a:solidFill>
            </a:ln>
          </c:spPr>
          <c:marker>
            <c:symbol val="none"/>
          </c:marker>
          <c:dLbls>
            <c:dLbl>
              <c:idx val="65"/>
              <c:layout>
                <c:manualLayout>
                  <c:x val="0"/>
                  <c:y val="-2.8708133971291867E-2"/>
                </c:manualLayout>
              </c:layout>
              <c:tx>
                <c:rich>
                  <a:bodyPr/>
                  <a:lstStyle/>
                  <a:p>
                    <a:fld id="{938ECC1A-4A8E-4CF2-A842-BAD6EB2AA439}" type="VALUE">
                      <a:rPr lang="en-US"/>
                      <a:pPr/>
                      <a:t>[VALOR]</a:t>
                    </a:fld>
                    <a:r>
                      <a:rPr lang="en-US"/>
                      <a:t>.00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EC86-46D3-BB34-0F458E12F145}"/>
                </c:ext>
              </c:extLst>
            </c:dLbl>
            <c:dLbl>
              <c:idx val="77"/>
              <c:layout>
                <c:manualLayout>
                  <c:x val="-1.1810132694716623E-3"/>
                  <c:y val="-1.06148513732434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86-46D3-BB34-0F458E12F14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ICAE!$A$4:$A$81</c:f>
              <c:numCache>
                <c:formatCode>mmm\-yy</c:formatCode>
                <c:ptCount val="78"/>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pt idx="42">
                  <c:v>44013</c:v>
                </c:pt>
                <c:pt idx="43">
                  <c:v>44044</c:v>
                </c:pt>
                <c:pt idx="44">
                  <c:v>44075</c:v>
                </c:pt>
                <c:pt idx="45">
                  <c:v>44105</c:v>
                </c:pt>
                <c:pt idx="46">
                  <c:v>44136</c:v>
                </c:pt>
                <c:pt idx="47">
                  <c:v>44166</c:v>
                </c:pt>
                <c:pt idx="48">
                  <c:v>44197</c:v>
                </c:pt>
                <c:pt idx="49">
                  <c:v>44228</c:v>
                </c:pt>
                <c:pt idx="50">
                  <c:v>44256</c:v>
                </c:pt>
                <c:pt idx="51">
                  <c:v>44287</c:v>
                </c:pt>
                <c:pt idx="52">
                  <c:v>44317</c:v>
                </c:pt>
                <c:pt idx="53">
                  <c:v>44348</c:v>
                </c:pt>
                <c:pt idx="54">
                  <c:v>44378</c:v>
                </c:pt>
                <c:pt idx="55">
                  <c:v>44409</c:v>
                </c:pt>
                <c:pt idx="56">
                  <c:v>44440</c:v>
                </c:pt>
                <c:pt idx="57">
                  <c:v>44470</c:v>
                </c:pt>
                <c:pt idx="58">
                  <c:v>44501</c:v>
                </c:pt>
                <c:pt idx="59">
                  <c:v>44531</c:v>
                </c:pt>
                <c:pt idx="60">
                  <c:v>44562</c:v>
                </c:pt>
                <c:pt idx="61">
                  <c:v>44593</c:v>
                </c:pt>
                <c:pt idx="62">
                  <c:v>44621</c:v>
                </c:pt>
                <c:pt idx="63">
                  <c:v>44652</c:v>
                </c:pt>
                <c:pt idx="64">
                  <c:v>44682</c:v>
                </c:pt>
                <c:pt idx="65">
                  <c:v>44713</c:v>
                </c:pt>
                <c:pt idx="66">
                  <c:v>44743</c:v>
                </c:pt>
                <c:pt idx="67">
                  <c:v>44774</c:v>
                </c:pt>
                <c:pt idx="68">
                  <c:v>44805</c:v>
                </c:pt>
                <c:pt idx="69">
                  <c:v>44835</c:v>
                </c:pt>
                <c:pt idx="70">
                  <c:v>44866</c:v>
                </c:pt>
                <c:pt idx="71">
                  <c:v>44896</c:v>
                </c:pt>
                <c:pt idx="72">
                  <c:v>44927</c:v>
                </c:pt>
                <c:pt idx="73">
                  <c:v>44958</c:v>
                </c:pt>
                <c:pt idx="74">
                  <c:v>44986</c:v>
                </c:pt>
                <c:pt idx="75">
                  <c:v>45017</c:v>
                </c:pt>
                <c:pt idx="76">
                  <c:v>45047</c:v>
                </c:pt>
                <c:pt idx="77">
                  <c:v>45078</c:v>
                </c:pt>
              </c:numCache>
            </c:numRef>
          </c:cat>
          <c:val>
            <c:numRef>
              <c:f>ICAE!$B$4:$B$81</c:f>
              <c:numCache>
                <c:formatCode>0.0</c:formatCode>
                <c:ptCount val="78"/>
                <c:pt idx="0">
                  <c:v>58.04</c:v>
                </c:pt>
                <c:pt idx="1">
                  <c:v>55</c:v>
                </c:pt>
                <c:pt idx="2">
                  <c:v>50</c:v>
                </c:pt>
                <c:pt idx="3">
                  <c:v>54.17</c:v>
                </c:pt>
                <c:pt idx="4">
                  <c:v>53.58</c:v>
                </c:pt>
                <c:pt idx="5">
                  <c:v>50</c:v>
                </c:pt>
                <c:pt idx="6">
                  <c:v>46.67</c:v>
                </c:pt>
                <c:pt idx="7">
                  <c:v>44.45</c:v>
                </c:pt>
                <c:pt idx="8">
                  <c:v>25</c:v>
                </c:pt>
                <c:pt idx="9">
                  <c:v>20.84</c:v>
                </c:pt>
                <c:pt idx="10">
                  <c:v>30.15</c:v>
                </c:pt>
                <c:pt idx="11">
                  <c:v>33.340000000000003</c:v>
                </c:pt>
                <c:pt idx="12" formatCode="General">
                  <c:v>49.22</c:v>
                </c:pt>
                <c:pt idx="13" formatCode="General">
                  <c:v>46.83</c:v>
                </c:pt>
                <c:pt idx="14" formatCode="General">
                  <c:v>47.31</c:v>
                </c:pt>
                <c:pt idx="15" formatCode="General">
                  <c:v>42.88</c:v>
                </c:pt>
                <c:pt idx="16" formatCode="General">
                  <c:v>41.25</c:v>
                </c:pt>
                <c:pt idx="17" formatCode="General">
                  <c:v>44.28</c:v>
                </c:pt>
                <c:pt idx="18" formatCode="General">
                  <c:v>39.58</c:v>
                </c:pt>
                <c:pt idx="19" formatCode="General">
                  <c:v>44.17</c:v>
                </c:pt>
                <c:pt idx="20" formatCode="General">
                  <c:v>44</c:v>
                </c:pt>
                <c:pt idx="21" formatCode="General">
                  <c:v>44.82</c:v>
                </c:pt>
                <c:pt idx="22" formatCode="General">
                  <c:v>45.27</c:v>
                </c:pt>
                <c:pt idx="23" formatCode="General">
                  <c:v>48.81</c:v>
                </c:pt>
                <c:pt idx="24" formatCode="General">
                  <c:v>47.76</c:v>
                </c:pt>
                <c:pt idx="25" formatCode="General">
                  <c:v>43.29</c:v>
                </c:pt>
                <c:pt idx="26" formatCode="General">
                  <c:v>44.58</c:v>
                </c:pt>
                <c:pt idx="27" formatCode="General">
                  <c:v>44.61</c:v>
                </c:pt>
                <c:pt idx="28" formatCode="General">
                  <c:v>46.96</c:v>
                </c:pt>
                <c:pt idx="29" formatCode="General">
                  <c:v>37.520000000000003</c:v>
                </c:pt>
                <c:pt idx="30" formatCode="General">
                  <c:v>42.5</c:v>
                </c:pt>
                <c:pt idx="31" formatCode="General">
                  <c:v>46.7</c:v>
                </c:pt>
                <c:pt idx="32" formatCode="General">
                  <c:v>47.08</c:v>
                </c:pt>
                <c:pt idx="33" formatCode="General">
                  <c:v>52.92</c:v>
                </c:pt>
                <c:pt idx="34" formatCode="General">
                  <c:v>58.16</c:v>
                </c:pt>
                <c:pt idx="35" formatCode="General">
                  <c:v>59.27</c:v>
                </c:pt>
                <c:pt idx="36" formatCode="General">
                  <c:v>66.5</c:v>
                </c:pt>
                <c:pt idx="37" formatCode="General">
                  <c:v>71.069999999999993</c:v>
                </c:pt>
                <c:pt idx="38" formatCode="General">
                  <c:v>57.52</c:v>
                </c:pt>
                <c:pt idx="39" formatCode="General">
                  <c:v>32.64</c:v>
                </c:pt>
                <c:pt idx="40" formatCode="General">
                  <c:v>38.840000000000003</c:v>
                </c:pt>
                <c:pt idx="41" formatCode="General">
                  <c:v>36.4</c:v>
                </c:pt>
                <c:pt idx="42" formatCode="General">
                  <c:v>38.68</c:v>
                </c:pt>
                <c:pt idx="43" formatCode="General">
                  <c:v>47.88</c:v>
                </c:pt>
                <c:pt idx="44" formatCode="General">
                  <c:v>53.38</c:v>
                </c:pt>
                <c:pt idx="45" formatCode="General">
                  <c:v>52.24</c:v>
                </c:pt>
                <c:pt idx="46" formatCode="General">
                  <c:v>49.03</c:v>
                </c:pt>
                <c:pt idx="47" formatCode="General">
                  <c:v>49.84</c:v>
                </c:pt>
                <c:pt idx="48" formatCode="General">
                  <c:v>51.18</c:v>
                </c:pt>
                <c:pt idx="49" formatCode="General">
                  <c:v>57.19</c:v>
                </c:pt>
                <c:pt idx="50" formatCode="General">
                  <c:v>57.4</c:v>
                </c:pt>
                <c:pt idx="51" formatCode="General">
                  <c:v>72.760000000000005</c:v>
                </c:pt>
                <c:pt idx="52" formatCode="General">
                  <c:v>73.52</c:v>
                </c:pt>
                <c:pt idx="53" formatCode="General">
                  <c:v>76.069999999999993</c:v>
                </c:pt>
                <c:pt idx="54" formatCode="General">
                  <c:v>70.36</c:v>
                </c:pt>
                <c:pt idx="55" formatCode="General">
                  <c:v>69.349999999999994</c:v>
                </c:pt>
                <c:pt idx="56" formatCode="General">
                  <c:v>69.89</c:v>
                </c:pt>
                <c:pt idx="57" formatCode="General">
                  <c:v>69.739999999999995</c:v>
                </c:pt>
                <c:pt idx="58" formatCode="General">
                  <c:v>78.010000000000005</c:v>
                </c:pt>
                <c:pt idx="59" formatCode="General">
                  <c:v>78.75</c:v>
                </c:pt>
                <c:pt idx="60" formatCode="General">
                  <c:v>80.12</c:v>
                </c:pt>
                <c:pt idx="61" formatCode="General">
                  <c:v>74.75</c:v>
                </c:pt>
                <c:pt idx="62" formatCode="General">
                  <c:v>71.11</c:v>
                </c:pt>
                <c:pt idx="63" formatCode="General">
                  <c:v>70.63</c:v>
                </c:pt>
                <c:pt idx="64" formatCode="General">
                  <c:v>64.5</c:v>
                </c:pt>
                <c:pt idx="65" formatCode="General">
                  <c:v>54</c:v>
                </c:pt>
                <c:pt idx="66" formatCode="General">
                  <c:v>50.53</c:v>
                </c:pt>
                <c:pt idx="67" formatCode="General">
                  <c:v>46.09</c:v>
                </c:pt>
                <c:pt idx="68" formatCode="General">
                  <c:v>49.58</c:v>
                </c:pt>
                <c:pt idx="69" formatCode="General">
                  <c:v>45.33</c:v>
                </c:pt>
                <c:pt idx="70" formatCode="General">
                  <c:v>50.29</c:v>
                </c:pt>
                <c:pt idx="71" formatCode="General">
                  <c:v>50.3</c:v>
                </c:pt>
                <c:pt idx="72" formatCode="General">
                  <c:v>48.13</c:v>
                </c:pt>
                <c:pt idx="73" formatCode="General">
                  <c:v>52.15</c:v>
                </c:pt>
                <c:pt idx="74" formatCode="General">
                  <c:v>50.72</c:v>
                </c:pt>
                <c:pt idx="75" formatCode="General">
                  <c:v>50.27</c:v>
                </c:pt>
                <c:pt idx="76" formatCode="General">
                  <c:v>50</c:v>
                </c:pt>
                <c:pt idx="77" formatCode="General">
                  <c:v>53.89</c:v>
                </c:pt>
              </c:numCache>
            </c:numRef>
          </c:val>
          <c:smooth val="0"/>
          <c:extLst>
            <c:ext xmlns:c16="http://schemas.microsoft.com/office/drawing/2014/chart" uri="{C3380CC4-5D6E-409C-BE32-E72D297353CC}">
              <c16:uniqueId val="{00000002-EC86-46D3-BB34-0F458E12F145}"/>
            </c:ext>
          </c:extLst>
        </c:ser>
        <c:ser>
          <c:idx val="1"/>
          <c:order val="1"/>
          <c:tx>
            <c:strRef>
              <c:f>ICAE!$C$3</c:f>
              <c:strCache>
                <c:ptCount val="1"/>
              </c:strCache>
            </c:strRef>
          </c:tx>
          <c:marker>
            <c:symbol val="none"/>
          </c:marker>
          <c:cat>
            <c:numRef>
              <c:f>ICAE!$A$4:$A$81</c:f>
              <c:numCache>
                <c:formatCode>mmm\-yy</c:formatCode>
                <c:ptCount val="78"/>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pt idx="42">
                  <c:v>44013</c:v>
                </c:pt>
                <c:pt idx="43">
                  <c:v>44044</c:v>
                </c:pt>
                <c:pt idx="44">
                  <c:v>44075</c:v>
                </c:pt>
                <c:pt idx="45">
                  <c:v>44105</c:v>
                </c:pt>
                <c:pt idx="46">
                  <c:v>44136</c:v>
                </c:pt>
                <c:pt idx="47">
                  <c:v>44166</c:v>
                </c:pt>
                <c:pt idx="48">
                  <c:v>44197</c:v>
                </c:pt>
                <c:pt idx="49">
                  <c:v>44228</c:v>
                </c:pt>
                <c:pt idx="50">
                  <c:v>44256</c:v>
                </c:pt>
                <c:pt idx="51">
                  <c:v>44287</c:v>
                </c:pt>
                <c:pt idx="52">
                  <c:v>44317</c:v>
                </c:pt>
                <c:pt idx="53">
                  <c:v>44348</c:v>
                </c:pt>
                <c:pt idx="54">
                  <c:v>44378</c:v>
                </c:pt>
                <c:pt idx="55">
                  <c:v>44409</c:v>
                </c:pt>
                <c:pt idx="56">
                  <c:v>44440</c:v>
                </c:pt>
                <c:pt idx="57">
                  <c:v>44470</c:v>
                </c:pt>
                <c:pt idx="58">
                  <c:v>44501</c:v>
                </c:pt>
                <c:pt idx="59">
                  <c:v>44531</c:v>
                </c:pt>
                <c:pt idx="60">
                  <c:v>44562</c:v>
                </c:pt>
                <c:pt idx="61">
                  <c:v>44593</c:v>
                </c:pt>
                <c:pt idx="62">
                  <c:v>44621</c:v>
                </c:pt>
                <c:pt idx="63">
                  <c:v>44652</c:v>
                </c:pt>
                <c:pt idx="64">
                  <c:v>44682</c:v>
                </c:pt>
                <c:pt idx="65">
                  <c:v>44713</c:v>
                </c:pt>
                <c:pt idx="66">
                  <c:v>44743</c:v>
                </c:pt>
                <c:pt idx="67">
                  <c:v>44774</c:v>
                </c:pt>
                <c:pt idx="68">
                  <c:v>44805</c:v>
                </c:pt>
                <c:pt idx="69">
                  <c:v>44835</c:v>
                </c:pt>
                <c:pt idx="70">
                  <c:v>44866</c:v>
                </c:pt>
                <c:pt idx="71">
                  <c:v>44896</c:v>
                </c:pt>
                <c:pt idx="72">
                  <c:v>44927</c:v>
                </c:pt>
                <c:pt idx="73">
                  <c:v>44958</c:v>
                </c:pt>
                <c:pt idx="74">
                  <c:v>44986</c:v>
                </c:pt>
                <c:pt idx="75">
                  <c:v>45017</c:v>
                </c:pt>
                <c:pt idx="76">
                  <c:v>45047</c:v>
                </c:pt>
                <c:pt idx="77">
                  <c:v>45078</c:v>
                </c:pt>
              </c:numCache>
            </c:numRef>
          </c:cat>
          <c:val>
            <c:numRef>
              <c:f>ICAE!$C$4:$C$81</c:f>
              <c:numCache>
                <c:formatCode>General</c:formatCode>
                <c:ptCount val="78"/>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numCache>
            </c:numRef>
          </c:val>
          <c:smooth val="0"/>
          <c:extLst>
            <c:ext xmlns:c16="http://schemas.microsoft.com/office/drawing/2014/chart" uri="{C3380CC4-5D6E-409C-BE32-E72D297353CC}">
              <c16:uniqueId val="{00000003-EC86-46D3-BB34-0F458E12F145}"/>
            </c:ext>
          </c:extLst>
        </c:ser>
        <c:dLbls>
          <c:showLegendKey val="0"/>
          <c:showVal val="0"/>
          <c:showCatName val="0"/>
          <c:showSerName val="0"/>
          <c:showPercent val="0"/>
          <c:showBubbleSize val="0"/>
        </c:dLbls>
        <c:smooth val="0"/>
        <c:axId val="82113664"/>
        <c:axId val="82115200"/>
      </c:lineChart>
      <c:dateAx>
        <c:axId val="82113664"/>
        <c:scaling>
          <c:orientation val="minMax"/>
        </c:scaling>
        <c:delete val="0"/>
        <c:axPos val="b"/>
        <c:numFmt formatCode="mmm\-yy" sourceLinked="1"/>
        <c:majorTickMark val="out"/>
        <c:minorTickMark val="none"/>
        <c:tickLblPos val="nextTo"/>
        <c:txPr>
          <a:bodyPr rot="-5400000" vert="horz"/>
          <a:lstStyle/>
          <a:p>
            <a:pPr>
              <a:defRPr b="1"/>
            </a:pPr>
            <a:endParaRPr lang="es-GT"/>
          </a:p>
        </c:txPr>
        <c:crossAx val="82115200"/>
        <c:crosses val="autoZero"/>
        <c:auto val="1"/>
        <c:lblOffset val="100"/>
        <c:baseTimeUnit val="months"/>
      </c:dateAx>
      <c:valAx>
        <c:axId val="82115200"/>
        <c:scaling>
          <c:orientation val="minMax"/>
          <c:max val="80"/>
        </c:scaling>
        <c:delete val="0"/>
        <c:axPos val="l"/>
        <c:numFmt formatCode="0.0" sourceLinked="1"/>
        <c:majorTickMark val="out"/>
        <c:minorTickMark val="none"/>
        <c:tickLblPos val="nextTo"/>
        <c:txPr>
          <a:bodyPr/>
          <a:lstStyle/>
          <a:p>
            <a:pPr>
              <a:defRPr b="1"/>
            </a:pPr>
            <a:endParaRPr lang="es-GT"/>
          </a:p>
        </c:txPr>
        <c:crossAx val="82113664"/>
        <c:crosses val="autoZero"/>
        <c:crossBetween val="between"/>
        <c:majorUnit val="15"/>
      </c:valAx>
    </c:plotArea>
    <c:plotVisOnly val="1"/>
    <c:dispBlanksAs val="gap"/>
    <c:showDLblsOverMax val="0"/>
  </c:chart>
  <c:spPr>
    <a:ln>
      <a:solidFill>
        <a:sysClr val="windowText" lastClr="000000"/>
      </a:solid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26823480633327"/>
          <c:y val="0.18595996395972891"/>
          <c:w val="0.75941864812737614"/>
          <c:h val="0.60512398636737574"/>
        </c:manualLayout>
      </c:layout>
      <c:barChart>
        <c:barDir val="col"/>
        <c:grouping val="clustered"/>
        <c:varyColors val="0"/>
        <c:ser>
          <c:idx val="3"/>
          <c:order val="3"/>
          <c:tx>
            <c:strRef>
              <c:f>imae_energia!$E$2</c:f>
              <c:strCache>
                <c:ptCount val="1"/>
                <c:pt idx="0">
                  <c:v>Demanda de energia</c:v>
                </c:pt>
              </c:strCache>
            </c:strRef>
          </c:tx>
          <c:spPr>
            <a:solidFill>
              <a:schemeClr val="accent5">
                <a:lumMod val="75000"/>
              </a:schemeClr>
            </a:solidFill>
            <a:ln>
              <a:solidFill>
                <a:schemeClr val="bg1"/>
              </a:solidFill>
            </a:ln>
            <a:effectLst/>
          </c:spPr>
          <c:invertIfNegative val="0"/>
          <c:dLbls>
            <c:dLbl>
              <c:idx val="41"/>
              <c:layout>
                <c:manualLayout>
                  <c:x val="2.7777777777777779E-3"/>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55-40E6-99DD-E18BFB431935}"/>
                </c:ext>
              </c:extLst>
            </c:dLbl>
            <c:spPr>
              <a:noFill/>
              <a:ln>
                <a:noFill/>
              </a:ln>
              <a:effectLst/>
            </c:spPr>
            <c:txPr>
              <a:bodyPr rot="0" spcFirstLastPara="1" vertOverflow="ellipsis" vert="horz" wrap="square" anchor="ctr" anchorCtr="1"/>
              <a:lstStyle/>
              <a:p>
                <a:pPr>
                  <a:defRPr sz="8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imae_energia!$A$87:$A$128</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imae_energia!$E$87:$E$128</c:f>
              <c:numCache>
                <c:formatCode>_-* #,##0.0_-;\-* #,##0.0_-;_-* "-"??_-;_-@_-</c:formatCode>
                <c:ptCount val="42"/>
                <c:pt idx="0">
                  <c:v>3.9387104765082004</c:v>
                </c:pt>
                <c:pt idx="1">
                  <c:v>5.7843909574232022</c:v>
                </c:pt>
                <c:pt idx="2">
                  <c:v>-3.1024247362660073</c:v>
                </c:pt>
                <c:pt idx="3">
                  <c:v>-6.6376694246882302</c:v>
                </c:pt>
                <c:pt idx="4">
                  <c:v>-8.577311182965019</c:v>
                </c:pt>
                <c:pt idx="5">
                  <c:v>-5.8260303603506642</c:v>
                </c:pt>
                <c:pt idx="6">
                  <c:v>-3.2896708516934714</c:v>
                </c:pt>
                <c:pt idx="7">
                  <c:v>-0.6288753445557127</c:v>
                </c:pt>
                <c:pt idx="8">
                  <c:v>1.8749949370443275</c:v>
                </c:pt>
                <c:pt idx="9">
                  <c:v>2.6494122031817113</c:v>
                </c:pt>
                <c:pt idx="10">
                  <c:v>0.74879629980897366</c:v>
                </c:pt>
                <c:pt idx="11">
                  <c:v>4.0153467703698542</c:v>
                </c:pt>
                <c:pt idx="12">
                  <c:v>1.6264522895092171</c:v>
                </c:pt>
                <c:pt idx="13">
                  <c:v>3.7977630225172199E-2</c:v>
                </c:pt>
                <c:pt idx="14">
                  <c:v>9.9989280187869021</c:v>
                </c:pt>
                <c:pt idx="15">
                  <c:v>16.783544985305944</c:v>
                </c:pt>
                <c:pt idx="16">
                  <c:v>15.107494149934686</c:v>
                </c:pt>
                <c:pt idx="17">
                  <c:v>14.058376996340005</c:v>
                </c:pt>
                <c:pt idx="18">
                  <c:v>11.40243503472802</c:v>
                </c:pt>
                <c:pt idx="19">
                  <c:v>6.4118808182506815</c:v>
                </c:pt>
                <c:pt idx="20">
                  <c:v>5.4685145666252488</c:v>
                </c:pt>
                <c:pt idx="21">
                  <c:v>5.9111835837012405</c:v>
                </c:pt>
                <c:pt idx="22">
                  <c:v>6.0828040600644062</c:v>
                </c:pt>
                <c:pt idx="23">
                  <c:v>7.2029499331135005</c:v>
                </c:pt>
                <c:pt idx="24">
                  <c:v>5.1659014888148835</c:v>
                </c:pt>
                <c:pt idx="25">
                  <c:v>2.7291211070485932</c:v>
                </c:pt>
                <c:pt idx="26">
                  <c:v>4.4919112266257555</c:v>
                </c:pt>
                <c:pt idx="27">
                  <c:v>3.7872253801352951</c:v>
                </c:pt>
                <c:pt idx="28">
                  <c:v>5.6956100625612738</c:v>
                </c:pt>
                <c:pt idx="29">
                  <c:v>1.5416402737009394</c:v>
                </c:pt>
                <c:pt idx="30">
                  <c:v>1.5553241502564319</c:v>
                </c:pt>
                <c:pt idx="31">
                  <c:v>4.3057402497026054</c:v>
                </c:pt>
                <c:pt idx="32">
                  <c:v>2.7769991351872525</c:v>
                </c:pt>
                <c:pt idx="33">
                  <c:v>1.0850780392868575</c:v>
                </c:pt>
                <c:pt idx="34">
                  <c:v>5.0346621758384336</c:v>
                </c:pt>
                <c:pt idx="35">
                  <c:v>0.86501379886461116</c:v>
                </c:pt>
                <c:pt idx="36">
                  <c:v>3.1426132229567028</c:v>
                </c:pt>
                <c:pt idx="37">
                  <c:v>3.6826920095363702</c:v>
                </c:pt>
                <c:pt idx="38">
                  <c:v>4.5981535941836071</c:v>
                </c:pt>
                <c:pt idx="39">
                  <c:v>3.3237074188051885</c:v>
                </c:pt>
                <c:pt idx="40">
                  <c:v>7.2274218571193094</c:v>
                </c:pt>
                <c:pt idx="41">
                  <c:v>10.101996739603436</c:v>
                </c:pt>
              </c:numCache>
            </c:numRef>
          </c:val>
          <c:extLst>
            <c:ext xmlns:c16="http://schemas.microsoft.com/office/drawing/2014/chart" uri="{C3380CC4-5D6E-409C-BE32-E72D297353CC}">
              <c16:uniqueId val="{00000001-8255-40E6-99DD-E18BFB431935}"/>
            </c:ext>
          </c:extLst>
        </c:ser>
        <c:dLbls>
          <c:showLegendKey val="0"/>
          <c:showVal val="0"/>
          <c:showCatName val="0"/>
          <c:showSerName val="0"/>
          <c:showPercent val="0"/>
          <c:showBubbleSize val="0"/>
        </c:dLbls>
        <c:gapWidth val="0"/>
        <c:overlap val="-30"/>
        <c:axId val="304132944"/>
        <c:axId val="304133776"/>
      </c:barChar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imae_energia!$A$87:$A$128</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imae_energia!$B$87:$B$128</c:f>
            </c:numRef>
          </c:val>
          <c:smooth val="0"/>
          <c:extLst>
            <c:ext xmlns:c16="http://schemas.microsoft.com/office/drawing/2014/chart" uri="{C3380CC4-5D6E-409C-BE32-E72D297353CC}">
              <c16:uniqueId val="{00000002-8255-40E6-99DD-E18BFB431935}"/>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imae_energia!$A$87:$A$128</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imae_energia!$C$87:$C$128</c:f>
            </c:numRef>
          </c:val>
          <c:smooth val="0"/>
          <c:extLst>
            <c:ext xmlns:c16="http://schemas.microsoft.com/office/drawing/2014/chart" uri="{C3380CC4-5D6E-409C-BE32-E72D297353CC}">
              <c16:uniqueId val="{00000003-8255-40E6-99DD-E18BFB431935}"/>
            </c:ext>
          </c:extLst>
        </c:ser>
        <c:ser>
          <c:idx val="2"/>
          <c:order val="2"/>
          <c:tx>
            <c:strRef>
              <c:f>imae_energia!$D$2</c:f>
              <c:strCache>
                <c:ptCount val="1"/>
                <c:pt idx="0">
                  <c:v>IMAE</c:v>
                </c:pt>
              </c:strCache>
            </c:strRef>
          </c:tx>
          <c:spPr>
            <a:ln w="19050" cap="rnd">
              <a:solidFill>
                <a:schemeClr val="accent1">
                  <a:lumMod val="50000"/>
                </a:schemeClr>
              </a:solidFill>
              <a:round/>
            </a:ln>
            <a:effectLst/>
          </c:spPr>
          <c:marker>
            <c:symbol val="none"/>
          </c:marker>
          <c:dLbls>
            <c:dLbl>
              <c:idx val="40"/>
              <c:layout>
                <c:manualLayout>
                  <c:x val="-8.355555555555573E-2"/>
                  <c:y val="-4.62964409722222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255-40E6-99DD-E18BFB431935}"/>
                </c:ext>
              </c:extLst>
            </c:dLbl>
            <c:spPr>
              <a:noFill/>
              <a:ln>
                <a:noFill/>
              </a:ln>
              <a:effectLst/>
            </c:spPr>
            <c:txPr>
              <a:bodyPr rot="0" spcFirstLastPara="1" vertOverflow="ellipsis" vert="horz" wrap="square" anchor="ctr" anchorCtr="1"/>
              <a:lstStyle/>
              <a:p>
                <a:pPr>
                  <a:defRPr sz="8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noFill/>
                      <a:round/>
                    </a:ln>
                    <a:effectLst/>
                  </c:spPr>
                </c15:leaderLines>
              </c:ext>
            </c:extLst>
          </c:dLbls>
          <c:cat>
            <c:numRef>
              <c:f>imae_energia!$A$87:$A$128</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imae_energia!$D$87:$D$128</c:f>
              <c:numCache>
                <c:formatCode>_-* #,##0.0_-;\-* #,##0.0_-;_-* "-"??_-;_-@_-</c:formatCode>
                <c:ptCount val="42"/>
                <c:pt idx="0">
                  <c:v>4.1766833466186037</c:v>
                </c:pt>
                <c:pt idx="1">
                  <c:v>2.2567459028617787</c:v>
                </c:pt>
                <c:pt idx="2">
                  <c:v>-4.0093636815359162</c:v>
                </c:pt>
                <c:pt idx="3">
                  <c:v>-9.4113137528801243</c:v>
                </c:pt>
                <c:pt idx="4">
                  <c:v>-10.055850161651003</c:v>
                </c:pt>
                <c:pt idx="5">
                  <c:v>-7.5388369582948256</c:v>
                </c:pt>
                <c:pt idx="6">
                  <c:v>-3.7034223592313675</c:v>
                </c:pt>
                <c:pt idx="7">
                  <c:v>-1.084240572597639</c:v>
                </c:pt>
                <c:pt idx="8">
                  <c:v>0.65624307171738838</c:v>
                </c:pt>
                <c:pt idx="9">
                  <c:v>2.0366963710397812</c:v>
                </c:pt>
                <c:pt idx="10">
                  <c:v>1.0557332055229685</c:v>
                </c:pt>
                <c:pt idx="11">
                  <c:v>3.8118465521849831</c:v>
                </c:pt>
                <c:pt idx="12">
                  <c:v>1.3097064828211824</c:v>
                </c:pt>
                <c:pt idx="13">
                  <c:v>2.4140168711433097</c:v>
                </c:pt>
                <c:pt idx="14">
                  <c:v>9.9463158611176716</c:v>
                </c:pt>
                <c:pt idx="15">
                  <c:v>15.429144518093185</c:v>
                </c:pt>
                <c:pt idx="16">
                  <c:v>16.519226510626915</c:v>
                </c:pt>
                <c:pt idx="17">
                  <c:v>14.246031398092928</c:v>
                </c:pt>
                <c:pt idx="18">
                  <c:v>10.819967082867986</c:v>
                </c:pt>
                <c:pt idx="19">
                  <c:v>7.8343004215475576</c:v>
                </c:pt>
                <c:pt idx="20">
                  <c:v>5.9535406731011209</c:v>
                </c:pt>
                <c:pt idx="21">
                  <c:v>4.4073598861223529</c:v>
                </c:pt>
                <c:pt idx="22">
                  <c:v>6.0098437061752774</c:v>
                </c:pt>
                <c:pt idx="23">
                  <c:v>4.1962389242775844</c:v>
                </c:pt>
                <c:pt idx="24">
                  <c:v>4.891929541568163</c:v>
                </c:pt>
                <c:pt idx="25">
                  <c:v>4.7280183092166306</c:v>
                </c:pt>
                <c:pt idx="26">
                  <c:v>4.6782459424711709</c:v>
                </c:pt>
                <c:pt idx="27">
                  <c:v>4.5944677811736723</c:v>
                </c:pt>
                <c:pt idx="28">
                  <c:v>4.7215875377643934</c:v>
                </c:pt>
                <c:pt idx="29">
                  <c:v>4.0463350762137473</c:v>
                </c:pt>
                <c:pt idx="30">
                  <c:v>3.1213230183082752</c:v>
                </c:pt>
                <c:pt idx="31">
                  <c:v>4.3769171555365416</c:v>
                </c:pt>
                <c:pt idx="32">
                  <c:v>3.8491725701289115</c:v>
                </c:pt>
                <c:pt idx="33">
                  <c:v>3.6919566680887916</c:v>
                </c:pt>
                <c:pt idx="34">
                  <c:v>3.4917030237447522</c:v>
                </c:pt>
                <c:pt idx="35">
                  <c:v>3.3377256954726819</c:v>
                </c:pt>
                <c:pt idx="36">
                  <c:v>3.065283595310464</c:v>
                </c:pt>
                <c:pt idx="37">
                  <c:v>4.3519768914080492</c:v>
                </c:pt>
                <c:pt idx="38">
                  <c:v>3.7341611542791586</c:v>
                </c:pt>
                <c:pt idx="39">
                  <c:v>3.270750688359203</c:v>
                </c:pt>
                <c:pt idx="40">
                  <c:v>3.3889602213852843</c:v>
                </c:pt>
              </c:numCache>
            </c:numRef>
          </c:val>
          <c:smooth val="0"/>
          <c:extLst>
            <c:ext xmlns:c16="http://schemas.microsoft.com/office/drawing/2014/chart" uri="{C3380CC4-5D6E-409C-BE32-E72D297353CC}">
              <c16:uniqueId val="{00000005-8255-40E6-99DD-E18BFB431935}"/>
            </c:ext>
          </c:extLst>
        </c:ser>
        <c:dLbls>
          <c:showLegendKey val="0"/>
          <c:showVal val="0"/>
          <c:showCatName val="0"/>
          <c:showSerName val="0"/>
          <c:showPercent val="0"/>
          <c:showBubbleSize val="0"/>
        </c:dLbls>
        <c:marker val="1"/>
        <c:smooth val="0"/>
        <c:axId val="304132944"/>
        <c:axId val="304133776"/>
      </c:lineChart>
      <c:dateAx>
        <c:axId val="304132944"/>
        <c:scaling>
          <c:orientation val="minMax"/>
          <c:min val="43862"/>
        </c:scaling>
        <c:delete val="0"/>
        <c:axPos val="b"/>
        <c:numFmt formatCode="mmm\-yy"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33776"/>
        <c:crosses val="autoZero"/>
        <c:auto val="1"/>
        <c:lblOffset val="100"/>
        <c:baseTimeUnit val="months"/>
      </c:dateAx>
      <c:valAx>
        <c:axId val="30413377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Variación interanual (%)</a:t>
                </a:r>
              </a:p>
            </c:rich>
          </c:tx>
          <c:layout>
            <c:manualLayout>
              <c:xMode val="edge"/>
              <c:yMode val="edge"/>
              <c:x val="4.7014574518100608E-3"/>
              <c:y val="0.2323763304828336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329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5400" cap="flat" cmpd="sng" algn="ctr">
      <a:solidFill>
        <a:srgbClr val="DDDDDD">
          <a:lumMod val="50000"/>
        </a:srgbClr>
      </a:solid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622391524049623"/>
          <c:y val="0.19236379473636911"/>
          <c:w val="0.81026879750045344"/>
          <c:h val="0.60077841455068337"/>
        </c:manualLayout>
      </c:layout>
      <c:lineChart>
        <c:grouping val="standard"/>
        <c:varyColors val="0"/>
        <c:ser>
          <c:idx val="0"/>
          <c:order val="0"/>
          <c:tx>
            <c:strRef>
              <c:f>inflacion!$B$1</c:f>
              <c:strCache>
                <c:ptCount val="1"/>
                <c:pt idx="0">
                  <c:v>Inflación</c:v>
                </c:pt>
              </c:strCache>
            </c:strRef>
          </c:tx>
          <c:spPr>
            <a:ln w="19050" cap="rnd">
              <a:solidFill>
                <a:schemeClr val="accent1">
                  <a:lumMod val="50000"/>
                </a:schemeClr>
              </a:solidFill>
              <a:round/>
            </a:ln>
            <a:effectLst/>
          </c:spPr>
          <c:marker>
            <c:symbol val="none"/>
          </c:marker>
          <c:dLbls>
            <c:dLbl>
              <c:idx val="41"/>
              <c:layout>
                <c:manualLayout>
                  <c:x val="-1.7246714344731083E-16"/>
                  <c:y val="-0.1774644308943089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E7-409F-B48E-21570D6DC6A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inflacion!$A$2:$A$43</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inflacion!$B$2:$B$43</c:f>
              <c:numCache>
                <c:formatCode>General</c:formatCode>
                <c:ptCount val="42"/>
                <c:pt idx="0">
                  <c:v>1.78</c:v>
                </c:pt>
                <c:pt idx="1">
                  <c:v>1.24</c:v>
                </c:pt>
                <c:pt idx="2">
                  <c:v>1.77</c:v>
                </c:pt>
                <c:pt idx="3">
                  <c:v>1.88</c:v>
                </c:pt>
                <c:pt idx="4">
                  <c:v>1.8</c:v>
                </c:pt>
                <c:pt idx="5">
                  <c:v>2.39</c:v>
                </c:pt>
                <c:pt idx="6">
                  <c:v>2.88</c:v>
                </c:pt>
                <c:pt idx="7">
                  <c:v>4.1900000000000004</c:v>
                </c:pt>
                <c:pt idx="8">
                  <c:v>4.97</c:v>
                </c:pt>
                <c:pt idx="9">
                  <c:v>5.34</c:v>
                </c:pt>
                <c:pt idx="10">
                  <c:v>5.46</c:v>
                </c:pt>
                <c:pt idx="11">
                  <c:v>4.82</c:v>
                </c:pt>
                <c:pt idx="12">
                  <c:v>5.24</c:v>
                </c:pt>
                <c:pt idx="13">
                  <c:v>6</c:v>
                </c:pt>
                <c:pt idx="14">
                  <c:v>5.84</c:v>
                </c:pt>
                <c:pt idx="15">
                  <c:v>5.2</c:v>
                </c:pt>
                <c:pt idx="16">
                  <c:v>5.17</c:v>
                </c:pt>
                <c:pt idx="17">
                  <c:v>3.91</c:v>
                </c:pt>
                <c:pt idx="18">
                  <c:v>3.82</c:v>
                </c:pt>
                <c:pt idx="19">
                  <c:v>3.62</c:v>
                </c:pt>
                <c:pt idx="20">
                  <c:v>3.67</c:v>
                </c:pt>
                <c:pt idx="21">
                  <c:v>2.96</c:v>
                </c:pt>
                <c:pt idx="22">
                  <c:v>2.89</c:v>
                </c:pt>
                <c:pt idx="23">
                  <c:v>3.07</c:v>
                </c:pt>
                <c:pt idx="24">
                  <c:v>2.87</c:v>
                </c:pt>
                <c:pt idx="25">
                  <c:v>2.98</c:v>
                </c:pt>
                <c:pt idx="26">
                  <c:v>4.17</c:v>
                </c:pt>
                <c:pt idx="27">
                  <c:v>4.62</c:v>
                </c:pt>
                <c:pt idx="28">
                  <c:v>5.82</c:v>
                </c:pt>
                <c:pt idx="29">
                  <c:v>7.55</c:v>
                </c:pt>
                <c:pt idx="30">
                  <c:v>8.36</c:v>
                </c:pt>
                <c:pt idx="31">
                  <c:v>8.8699999999999992</c:v>
                </c:pt>
                <c:pt idx="32">
                  <c:v>9.0299999999999994</c:v>
                </c:pt>
                <c:pt idx="33">
                  <c:v>9.6999999999999993</c:v>
                </c:pt>
                <c:pt idx="34">
                  <c:v>9.17</c:v>
                </c:pt>
                <c:pt idx="35">
                  <c:v>9.24</c:v>
                </c:pt>
                <c:pt idx="36">
                  <c:v>9.69</c:v>
                </c:pt>
                <c:pt idx="37">
                  <c:v>9.92</c:v>
                </c:pt>
                <c:pt idx="38">
                  <c:v>8.7100000000000009</c:v>
                </c:pt>
                <c:pt idx="39">
                  <c:v>8.32</c:v>
                </c:pt>
                <c:pt idx="40">
                  <c:v>6.54</c:v>
                </c:pt>
                <c:pt idx="41">
                  <c:v>4.93</c:v>
                </c:pt>
              </c:numCache>
            </c:numRef>
          </c:val>
          <c:smooth val="0"/>
          <c:extLst>
            <c:ext xmlns:c16="http://schemas.microsoft.com/office/drawing/2014/chart" uri="{C3380CC4-5D6E-409C-BE32-E72D297353CC}">
              <c16:uniqueId val="{00000001-1DE7-409F-B48E-21570D6DC6AC}"/>
            </c:ext>
          </c:extLst>
        </c:ser>
        <c:ser>
          <c:idx val="1"/>
          <c:order val="1"/>
          <c:tx>
            <c:strRef>
              <c:f>inflacion!$C$1</c:f>
              <c:strCache>
                <c:ptCount val="1"/>
                <c:pt idx="0">
                  <c:v>Meta</c:v>
                </c:pt>
              </c:strCache>
            </c:strRef>
          </c:tx>
          <c:spPr>
            <a:ln w="15875" cap="rnd">
              <a:solidFill>
                <a:schemeClr val="accent5">
                  <a:lumMod val="60000"/>
                  <a:lumOff val="40000"/>
                </a:schemeClr>
              </a:solidFill>
              <a:prstDash val="dash"/>
              <a:round/>
            </a:ln>
            <a:effectLst/>
          </c:spPr>
          <c:marker>
            <c:symbol val="none"/>
          </c:marker>
          <c:cat>
            <c:numRef>
              <c:f>inflacion!$A$2:$A$43</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inflacion!$C$2:$C$43</c:f>
              <c:numCache>
                <c:formatCode>General</c:formatCode>
                <c:ptCount val="42"/>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pt idx="20">
                  <c:v>4</c:v>
                </c:pt>
                <c:pt idx="21">
                  <c:v>4</c:v>
                </c:pt>
                <c:pt idx="22">
                  <c:v>4</c:v>
                </c:pt>
                <c:pt idx="23">
                  <c:v>4</c:v>
                </c:pt>
                <c:pt idx="24">
                  <c:v>4</c:v>
                </c:pt>
                <c:pt idx="25">
                  <c:v>4</c:v>
                </c:pt>
                <c:pt idx="26">
                  <c:v>4</c:v>
                </c:pt>
                <c:pt idx="27">
                  <c:v>4</c:v>
                </c:pt>
                <c:pt idx="28">
                  <c:v>4</c:v>
                </c:pt>
                <c:pt idx="29">
                  <c:v>4</c:v>
                </c:pt>
                <c:pt idx="30">
                  <c:v>4</c:v>
                </c:pt>
                <c:pt idx="31">
                  <c:v>4</c:v>
                </c:pt>
                <c:pt idx="32">
                  <c:v>4</c:v>
                </c:pt>
                <c:pt idx="33">
                  <c:v>4</c:v>
                </c:pt>
                <c:pt idx="34">
                  <c:v>4</c:v>
                </c:pt>
                <c:pt idx="35">
                  <c:v>4</c:v>
                </c:pt>
                <c:pt idx="36">
                  <c:v>4</c:v>
                </c:pt>
                <c:pt idx="37">
                  <c:v>4</c:v>
                </c:pt>
                <c:pt idx="38">
                  <c:v>4</c:v>
                </c:pt>
                <c:pt idx="39">
                  <c:v>4</c:v>
                </c:pt>
                <c:pt idx="40">
                  <c:v>4</c:v>
                </c:pt>
                <c:pt idx="41">
                  <c:v>4</c:v>
                </c:pt>
              </c:numCache>
            </c:numRef>
          </c:val>
          <c:smooth val="0"/>
          <c:extLst>
            <c:ext xmlns:c16="http://schemas.microsoft.com/office/drawing/2014/chart" uri="{C3380CC4-5D6E-409C-BE32-E72D297353CC}">
              <c16:uniqueId val="{00000002-1DE7-409F-B48E-21570D6DC6AC}"/>
            </c:ext>
          </c:extLst>
        </c:ser>
        <c:ser>
          <c:idx val="2"/>
          <c:order val="2"/>
          <c:tx>
            <c:strRef>
              <c:f>inflacion!$D$1</c:f>
              <c:strCache>
                <c:ptCount val="1"/>
                <c:pt idx="0">
                  <c:v>LI</c:v>
                </c:pt>
              </c:strCache>
            </c:strRef>
          </c:tx>
          <c:spPr>
            <a:ln w="19050" cap="rnd">
              <a:solidFill>
                <a:schemeClr val="accent5">
                  <a:lumMod val="50000"/>
                </a:schemeClr>
              </a:solidFill>
              <a:prstDash val="sysDot"/>
              <a:round/>
            </a:ln>
            <a:effectLst/>
          </c:spPr>
          <c:marker>
            <c:symbol val="none"/>
          </c:marker>
          <c:cat>
            <c:numRef>
              <c:f>inflacion!$A$2:$A$43</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inflacion!$D$2:$D$43</c:f>
              <c:numCache>
                <c:formatCode>General</c:formatCode>
                <c:ptCount val="42"/>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numCache>
            </c:numRef>
          </c:val>
          <c:smooth val="0"/>
          <c:extLst>
            <c:ext xmlns:c16="http://schemas.microsoft.com/office/drawing/2014/chart" uri="{C3380CC4-5D6E-409C-BE32-E72D297353CC}">
              <c16:uniqueId val="{00000003-1DE7-409F-B48E-21570D6DC6AC}"/>
            </c:ext>
          </c:extLst>
        </c:ser>
        <c:ser>
          <c:idx val="3"/>
          <c:order val="3"/>
          <c:tx>
            <c:strRef>
              <c:f>inflacion!$E$1</c:f>
              <c:strCache>
                <c:ptCount val="1"/>
                <c:pt idx="0">
                  <c:v>LS</c:v>
                </c:pt>
              </c:strCache>
            </c:strRef>
          </c:tx>
          <c:spPr>
            <a:ln w="19050" cap="rnd">
              <a:solidFill>
                <a:schemeClr val="accent5">
                  <a:lumMod val="50000"/>
                </a:schemeClr>
              </a:solidFill>
              <a:prstDash val="sysDot"/>
              <a:round/>
            </a:ln>
            <a:effectLst/>
          </c:spPr>
          <c:marker>
            <c:symbol val="none"/>
          </c:marker>
          <c:val>
            <c:numRef>
              <c:f>inflacion!$E$2:$E$43</c:f>
              <c:numCache>
                <c:formatCode>General</c:formatCode>
                <c:ptCount val="42"/>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numCache>
            </c:numRef>
          </c:val>
          <c:smooth val="0"/>
          <c:extLst>
            <c:ext xmlns:c16="http://schemas.microsoft.com/office/drawing/2014/chart" uri="{C3380CC4-5D6E-409C-BE32-E72D297353CC}">
              <c16:uniqueId val="{00000004-1DE7-409F-B48E-21570D6DC6AC}"/>
            </c:ext>
          </c:extLst>
        </c:ser>
        <c:dLbls>
          <c:showLegendKey val="0"/>
          <c:showVal val="0"/>
          <c:showCatName val="0"/>
          <c:showSerName val="0"/>
          <c:showPercent val="0"/>
          <c:showBubbleSize val="0"/>
        </c:dLbls>
        <c:smooth val="0"/>
        <c:axId val="304161232"/>
        <c:axId val="304190352"/>
      </c:lineChart>
      <c:dateAx>
        <c:axId val="304161232"/>
        <c:scaling>
          <c:orientation val="minMax"/>
          <c:min val="43862"/>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90352"/>
        <c:crosses val="autoZero"/>
        <c:auto val="1"/>
        <c:lblOffset val="100"/>
        <c:baseTimeUnit val="months"/>
      </c:dateAx>
      <c:valAx>
        <c:axId val="30419035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800"/>
                  <a:t>Porcentaje (%)</a:t>
                </a:r>
              </a:p>
            </c:rich>
          </c:tx>
          <c:layout>
            <c:manualLayout>
              <c:xMode val="edge"/>
              <c:yMode val="edge"/>
              <c:x val="4.7014574518100608E-3"/>
              <c:y val="0.3295689224097207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61232"/>
        <c:crosses val="autoZero"/>
        <c:crossBetween val="between"/>
      </c:valAx>
      <c:spPr>
        <a:noFill/>
        <a:ln>
          <a:noFill/>
        </a:ln>
        <a:effectLst/>
      </c:spPr>
    </c:plotArea>
    <c:legend>
      <c:legendPos val="t"/>
      <c:legendEntry>
        <c:idx val="2"/>
        <c:delete val="1"/>
      </c:legendEntry>
      <c:legendEntry>
        <c:idx val="3"/>
        <c:delete val="1"/>
      </c:legendEntry>
      <c:layout>
        <c:manualLayout>
          <c:xMode val="edge"/>
          <c:yMode val="edge"/>
          <c:x val="0.17924111111111113"/>
          <c:y val="3.0304454607046071E-2"/>
          <c:w val="0.36244333333333334"/>
          <c:h val="0.156546832655826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5400" cap="flat" cmpd="sng" algn="ctr">
      <a:solidFill>
        <a:srgbClr val="DDDDDD">
          <a:lumMod val="50000"/>
        </a:srgb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2349136893854"/>
          <c:y val="0.16834446912216397"/>
          <c:w val="0.70455634159975411"/>
          <c:h val="0.64772989375741008"/>
        </c:manualLayout>
      </c:layout>
      <c:lineChart>
        <c:grouping val="standard"/>
        <c:varyColors val="0"/>
        <c:ser>
          <c:idx val="0"/>
          <c:order val="0"/>
          <c:tx>
            <c:strRef>
              <c:f>Hoja1!$M$7</c:f>
              <c:strCache>
                <c:ptCount val="1"/>
                <c:pt idx="0">
                  <c:v>Exportaciones</c:v>
                </c:pt>
              </c:strCache>
            </c:strRef>
          </c:tx>
          <c:spPr>
            <a:ln w="19050" cap="rnd">
              <a:solidFill>
                <a:schemeClr val="accent1"/>
              </a:solidFill>
              <a:round/>
            </a:ln>
            <a:effectLst/>
          </c:spPr>
          <c:marker>
            <c:symbol val="none"/>
          </c:marker>
          <c:dLbls>
            <c:dLbl>
              <c:idx val="28"/>
              <c:layout>
                <c:manualLayout>
                  <c:x val="0"/>
                  <c:y val="-4.791666666666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D9-4C66-893E-01CC1A1CE1E2}"/>
                </c:ext>
              </c:extLst>
            </c:dLbl>
            <c:spPr>
              <a:noFill/>
              <a:ln>
                <a:noFill/>
              </a:ln>
              <a:effectLst/>
            </c:spPr>
            <c:txPr>
              <a:bodyPr rot="0" spcFirstLastPara="1" vertOverflow="ellipsis" vert="horz" wrap="square" anchor="ctr" anchorCtr="1"/>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Hoja1!$L$8:$L$36</c:f>
              <c:numCache>
                <c:formatCode>mmm\-yy</c:formatCode>
                <c:ptCount val="29"/>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pt idx="24">
                  <c:v>44927</c:v>
                </c:pt>
                <c:pt idx="25">
                  <c:v>44958</c:v>
                </c:pt>
                <c:pt idx="26">
                  <c:v>44986</c:v>
                </c:pt>
                <c:pt idx="27">
                  <c:v>45017</c:v>
                </c:pt>
                <c:pt idx="28">
                  <c:v>45047</c:v>
                </c:pt>
              </c:numCache>
            </c:numRef>
          </c:cat>
          <c:val>
            <c:numRef>
              <c:f>Hoja1!$M$8:$M$36</c:f>
              <c:numCache>
                <c:formatCode>_-* #,##0.0_-;\-* #,##0.0_-;_-* "-"??_-;_-@_-</c:formatCode>
                <c:ptCount val="29"/>
                <c:pt idx="0">
                  <c:v>-0.56924698001731278</c:v>
                </c:pt>
                <c:pt idx="1">
                  <c:v>-0.32820983810917248</c:v>
                </c:pt>
                <c:pt idx="2">
                  <c:v>7.8879199767848629</c:v>
                </c:pt>
                <c:pt idx="3">
                  <c:v>11.95869444949771</c:v>
                </c:pt>
                <c:pt idx="4">
                  <c:v>14.06743616294197</c:v>
                </c:pt>
                <c:pt idx="5">
                  <c:v>18.388998426666102</c:v>
                </c:pt>
                <c:pt idx="6">
                  <c:v>18.747003635015403</c:v>
                </c:pt>
                <c:pt idx="7">
                  <c:v>19.268845921400192</c:v>
                </c:pt>
                <c:pt idx="8">
                  <c:v>20.728490609728389</c:v>
                </c:pt>
                <c:pt idx="9">
                  <c:v>20.677371149687261</c:v>
                </c:pt>
                <c:pt idx="10">
                  <c:v>20.202767442013304</c:v>
                </c:pt>
                <c:pt idx="11">
                  <c:v>17.740066689247215</c:v>
                </c:pt>
                <c:pt idx="12">
                  <c:v>20.769735587655536</c:v>
                </c:pt>
                <c:pt idx="13">
                  <c:v>22.593819645380009</c:v>
                </c:pt>
                <c:pt idx="14">
                  <c:v>23.234750536480277</c:v>
                </c:pt>
                <c:pt idx="15">
                  <c:v>23.601520342705264</c:v>
                </c:pt>
                <c:pt idx="16">
                  <c:v>24.52923820141697</c:v>
                </c:pt>
                <c:pt idx="17">
                  <c:v>24.745279463370995</c:v>
                </c:pt>
                <c:pt idx="18">
                  <c:v>23.643212659516365</c:v>
                </c:pt>
                <c:pt idx="19">
                  <c:v>22.350306188883984</c:v>
                </c:pt>
                <c:pt idx="20">
                  <c:v>19.7904064834465</c:v>
                </c:pt>
                <c:pt idx="21">
                  <c:v>18.214864583276768</c:v>
                </c:pt>
                <c:pt idx="22">
                  <c:v>17.217773403978033</c:v>
                </c:pt>
                <c:pt idx="23">
                  <c:v>15.374501682028141</c:v>
                </c:pt>
                <c:pt idx="24">
                  <c:v>-4.7914888360336523</c:v>
                </c:pt>
                <c:pt idx="25">
                  <c:v>-3.3973342149824948</c:v>
                </c:pt>
                <c:pt idx="26">
                  <c:v>-4.504805836353265</c:v>
                </c:pt>
                <c:pt idx="27">
                  <c:v>-4.9470682965397135</c:v>
                </c:pt>
                <c:pt idx="28">
                  <c:v>-6.4257054862069012</c:v>
                </c:pt>
              </c:numCache>
            </c:numRef>
          </c:val>
          <c:smooth val="0"/>
          <c:extLst>
            <c:ext xmlns:c16="http://schemas.microsoft.com/office/drawing/2014/chart" uri="{C3380CC4-5D6E-409C-BE32-E72D297353CC}">
              <c16:uniqueId val="{00000001-D8D9-4C66-893E-01CC1A1CE1E2}"/>
            </c:ext>
          </c:extLst>
        </c:ser>
        <c:ser>
          <c:idx val="1"/>
          <c:order val="1"/>
          <c:tx>
            <c:strRef>
              <c:f>Hoja1!$N$7</c:f>
              <c:strCache>
                <c:ptCount val="1"/>
                <c:pt idx="0">
                  <c:v>Importaciones</c:v>
                </c:pt>
              </c:strCache>
            </c:strRef>
          </c:tx>
          <c:spPr>
            <a:ln w="19050" cap="rnd">
              <a:solidFill>
                <a:schemeClr val="accent5">
                  <a:lumMod val="50000"/>
                </a:schemeClr>
              </a:solidFill>
              <a:round/>
            </a:ln>
            <a:effectLst/>
          </c:spPr>
          <c:marker>
            <c:symbol val="none"/>
          </c:marker>
          <c:dLbls>
            <c:dLbl>
              <c:idx val="28"/>
              <c:layout>
                <c:manualLayout>
                  <c:x val="-3.6296296296296298E-3"/>
                  <c:y val="4.96759259259259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D9-4C66-893E-01CC1A1CE1E2}"/>
                </c:ext>
              </c:extLst>
            </c:dLbl>
            <c:spPr>
              <a:noFill/>
              <a:ln>
                <a:noFill/>
              </a:ln>
              <a:effectLst/>
            </c:spPr>
            <c:txPr>
              <a:bodyPr rot="0" spcFirstLastPara="1" vertOverflow="ellipsis" vert="horz" wrap="square" anchor="ctr" anchorCtr="1"/>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Hoja1!$L$8:$L$36</c:f>
              <c:numCache>
                <c:formatCode>mmm\-yy</c:formatCode>
                <c:ptCount val="29"/>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pt idx="22">
                  <c:v>44866</c:v>
                </c:pt>
                <c:pt idx="23">
                  <c:v>44896</c:v>
                </c:pt>
                <c:pt idx="24">
                  <c:v>44927</c:v>
                </c:pt>
                <c:pt idx="25">
                  <c:v>44958</c:v>
                </c:pt>
                <c:pt idx="26">
                  <c:v>44986</c:v>
                </c:pt>
                <c:pt idx="27">
                  <c:v>45017</c:v>
                </c:pt>
                <c:pt idx="28">
                  <c:v>45047</c:v>
                </c:pt>
              </c:numCache>
            </c:numRef>
          </c:cat>
          <c:val>
            <c:numRef>
              <c:f>Hoja1!$N$8:$N$36</c:f>
              <c:numCache>
                <c:formatCode>_-* #,##0.0_-;\-* #,##0.0_-;_-* "-"??_-;_-@_-</c:formatCode>
                <c:ptCount val="29"/>
                <c:pt idx="0">
                  <c:v>-1.9050497510253561</c:v>
                </c:pt>
                <c:pt idx="1">
                  <c:v>5.9218005211610025</c:v>
                </c:pt>
                <c:pt idx="2">
                  <c:v>18.488536315975601</c:v>
                </c:pt>
                <c:pt idx="3">
                  <c:v>26.101667330457555</c:v>
                </c:pt>
                <c:pt idx="4">
                  <c:v>33.241516557655729</c:v>
                </c:pt>
                <c:pt idx="5">
                  <c:v>38.163888199171517</c:v>
                </c:pt>
                <c:pt idx="6">
                  <c:v>41.100950173628824</c:v>
                </c:pt>
                <c:pt idx="7">
                  <c:v>43.520690403342918</c:v>
                </c:pt>
                <c:pt idx="8">
                  <c:v>44.518540646450887</c:v>
                </c:pt>
                <c:pt idx="9">
                  <c:v>45.151916026653339</c:v>
                </c:pt>
                <c:pt idx="10">
                  <c:v>46.46207485731604</c:v>
                </c:pt>
                <c:pt idx="11">
                  <c:v>46.136635027537935</c:v>
                </c:pt>
                <c:pt idx="12">
                  <c:v>47.873082360493214</c:v>
                </c:pt>
                <c:pt idx="13">
                  <c:v>41.491137949089719</c:v>
                </c:pt>
                <c:pt idx="14">
                  <c:v>38.315688269662274</c:v>
                </c:pt>
                <c:pt idx="15">
                  <c:v>36.051893222367902</c:v>
                </c:pt>
                <c:pt idx="16">
                  <c:v>34.750155290628129</c:v>
                </c:pt>
                <c:pt idx="17">
                  <c:v>34.267760288091196</c:v>
                </c:pt>
                <c:pt idx="18">
                  <c:v>31.85914770368996</c:v>
                </c:pt>
                <c:pt idx="19">
                  <c:v>31.09994057583263</c:v>
                </c:pt>
                <c:pt idx="20">
                  <c:v>29.481824301852487</c:v>
                </c:pt>
                <c:pt idx="21">
                  <c:v>26.508776815801106</c:v>
                </c:pt>
                <c:pt idx="22">
                  <c:v>23.468530725299775</c:v>
                </c:pt>
                <c:pt idx="23">
                  <c:v>20.731540040422679</c:v>
                </c:pt>
                <c:pt idx="24">
                  <c:v>1.9791933905443537</c:v>
                </c:pt>
                <c:pt idx="25">
                  <c:v>-2.8559075242363674</c:v>
                </c:pt>
                <c:pt idx="26">
                  <c:v>-5.4926189169382633</c:v>
                </c:pt>
                <c:pt idx="27">
                  <c:v>-8.2130032912511641</c:v>
                </c:pt>
                <c:pt idx="28">
                  <c:v>-7.1941642060258326</c:v>
                </c:pt>
              </c:numCache>
            </c:numRef>
          </c:val>
          <c:smooth val="0"/>
          <c:extLst>
            <c:ext xmlns:c16="http://schemas.microsoft.com/office/drawing/2014/chart" uri="{C3380CC4-5D6E-409C-BE32-E72D297353CC}">
              <c16:uniqueId val="{00000003-D8D9-4C66-893E-01CC1A1CE1E2}"/>
            </c:ext>
          </c:extLst>
        </c:ser>
        <c:dLbls>
          <c:showLegendKey val="0"/>
          <c:showVal val="0"/>
          <c:showCatName val="0"/>
          <c:showSerName val="0"/>
          <c:showPercent val="0"/>
          <c:showBubbleSize val="0"/>
        </c:dLbls>
        <c:smooth val="0"/>
        <c:axId val="304185776"/>
        <c:axId val="304170800"/>
      </c:lineChart>
      <c:dateAx>
        <c:axId val="304185776"/>
        <c:scaling>
          <c:orientation val="minMax"/>
        </c:scaling>
        <c:delete val="0"/>
        <c:axPos val="b"/>
        <c:numFmt formatCode="mmm\-yy"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70800"/>
        <c:crosses val="autoZero"/>
        <c:auto val="1"/>
        <c:lblOffset val="100"/>
        <c:baseTimeUnit val="months"/>
      </c:dateAx>
      <c:valAx>
        <c:axId val="304170800"/>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a:t>Tasa de variación  interanual acumulada (%)</a:t>
                </a:r>
              </a:p>
            </c:rich>
          </c:tx>
          <c:layout>
            <c:manualLayout>
              <c:xMode val="edge"/>
              <c:yMode val="edge"/>
              <c:x val="4.7014574518100608E-3"/>
              <c:y val="0.1800850033164697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85776"/>
        <c:crosses val="autoZero"/>
        <c:crossBetween val="between"/>
      </c:valAx>
      <c:spPr>
        <a:noFill/>
        <a:ln>
          <a:noFill/>
        </a:ln>
        <a:effectLst/>
      </c:spPr>
    </c:plotArea>
    <c:legend>
      <c:legendPos val="t"/>
      <c:layout>
        <c:manualLayout>
          <c:xMode val="edge"/>
          <c:yMode val="edge"/>
          <c:x val="0.32670205716528028"/>
          <c:y val="3.7440286210189623E-5"/>
          <c:w val="0.33718333333333339"/>
          <c:h val="0.1627333333333333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DDDDDD">
          <a:lumMod val="50000"/>
        </a:srgb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135809187462289"/>
          <c:y val="3.5221602582917524E-2"/>
          <c:w val="0.71043316341451668"/>
          <c:h val="0.75734257168543695"/>
        </c:manualLayout>
      </c:layout>
      <c:barChart>
        <c:barDir val="col"/>
        <c:grouping val="clustered"/>
        <c:varyColors val="0"/>
        <c:ser>
          <c:idx val="1"/>
          <c:order val="0"/>
          <c:tx>
            <c:strRef>
              <c:f>remesas!$C$1</c:f>
              <c:strCache>
                <c:ptCount val="1"/>
                <c:pt idx="0">
                  <c:v>remesas</c:v>
                </c:pt>
              </c:strCache>
            </c:strRef>
          </c:tx>
          <c:spPr>
            <a:solidFill>
              <a:schemeClr val="accent5">
                <a:lumMod val="50000"/>
              </a:schemeClr>
            </a:solidFill>
            <a:ln>
              <a:noFill/>
            </a:ln>
            <a:effectLst/>
          </c:spPr>
          <c:invertIfNegative val="0"/>
          <c:dLbls>
            <c:dLbl>
              <c:idx val="4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B0-4D6B-8D1E-240D388DC01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remesas!$A$218:$A$260</c:f>
              <c:numCache>
                <c:formatCode>mmm\-yy</c:formatCode>
                <c:ptCount val="43"/>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pt idx="42">
                  <c:v>45108</c:v>
                </c:pt>
              </c:numCache>
            </c:numRef>
          </c:cat>
          <c:val>
            <c:numRef>
              <c:f>remesas!$D$218:$D$260</c:f>
              <c:numCache>
                <c:formatCode>0.0</c:formatCode>
                <c:ptCount val="43"/>
                <c:pt idx="0">
                  <c:v>21.290510100276116</c:v>
                </c:pt>
                <c:pt idx="1">
                  <c:v>19.149862179022193</c:v>
                </c:pt>
                <c:pt idx="2">
                  <c:v>8.348070557293763</c:v>
                </c:pt>
                <c:pt idx="3">
                  <c:v>0.31590946099984141</c:v>
                </c:pt>
                <c:pt idx="4">
                  <c:v>-3.1644004944375803</c:v>
                </c:pt>
                <c:pt idx="5">
                  <c:v>-0.94783844124213257</c:v>
                </c:pt>
                <c:pt idx="6">
                  <c:v>1.4332402805201871</c:v>
                </c:pt>
                <c:pt idx="7">
                  <c:v>2.2434868862502455</c:v>
                </c:pt>
                <c:pt idx="8">
                  <c:v>4.0373272067839361</c:v>
                </c:pt>
                <c:pt idx="9">
                  <c:v>5.09619671456496</c:v>
                </c:pt>
                <c:pt idx="10">
                  <c:v>6.3683682428194999</c:v>
                </c:pt>
                <c:pt idx="11">
                  <c:v>7.9184271630314829</c:v>
                </c:pt>
                <c:pt idx="12">
                  <c:v>8.6508507069254605</c:v>
                </c:pt>
                <c:pt idx="13">
                  <c:v>12.608060392061372</c:v>
                </c:pt>
                <c:pt idx="14">
                  <c:v>31.217041935213864</c:v>
                </c:pt>
                <c:pt idx="15">
                  <c:v>41.776508018959824</c:v>
                </c:pt>
                <c:pt idx="16">
                  <c:v>43.061016083737556</c:v>
                </c:pt>
                <c:pt idx="17">
                  <c:v>42.741224924697249</c:v>
                </c:pt>
                <c:pt idx="18">
                  <c:v>39.629132404765912</c:v>
                </c:pt>
                <c:pt idx="19">
                  <c:v>38.519374536323703</c:v>
                </c:pt>
                <c:pt idx="20">
                  <c:v>36.572172942125178</c:v>
                </c:pt>
                <c:pt idx="21">
                  <c:v>35.170500897373145</c:v>
                </c:pt>
                <c:pt idx="22">
                  <c:v>35.439082628305286</c:v>
                </c:pt>
                <c:pt idx="23">
                  <c:v>34.876769101891455</c:v>
                </c:pt>
                <c:pt idx="24">
                  <c:v>30.205116894574346</c:v>
                </c:pt>
                <c:pt idx="25">
                  <c:v>32.097096826512427</c:v>
                </c:pt>
                <c:pt idx="26">
                  <c:v>25.55417344432751</c:v>
                </c:pt>
                <c:pt idx="27">
                  <c:v>24.859171055644612</c:v>
                </c:pt>
                <c:pt idx="28">
                  <c:v>25.722290629405585</c:v>
                </c:pt>
                <c:pt idx="29">
                  <c:v>25.050960351411121</c:v>
                </c:pt>
                <c:pt idx="30">
                  <c:v>21.162189772249285</c:v>
                </c:pt>
                <c:pt idx="31">
                  <c:v>20.752695924442023</c:v>
                </c:pt>
                <c:pt idx="32">
                  <c:v>21.009410995240032</c:v>
                </c:pt>
                <c:pt idx="33">
                  <c:v>20.252033894213373</c:v>
                </c:pt>
                <c:pt idx="34">
                  <c:v>18.972684731744494</c:v>
                </c:pt>
                <c:pt idx="35">
                  <c:v>17.942951286962995</c:v>
                </c:pt>
                <c:pt idx="36">
                  <c:v>17.43033793512323</c:v>
                </c:pt>
                <c:pt idx="37">
                  <c:v>13.268396496684943</c:v>
                </c:pt>
                <c:pt idx="38">
                  <c:v>12.622888352597483</c:v>
                </c:pt>
                <c:pt idx="39">
                  <c:v>9.7604812383083051</c:v>
                </c:pt>
                <c:pt idx="40">
                  <c:v>10.668407829555271</c:v>
                </c:pt>
                <c:pt idx="41">
                  <c:v>10.867493944646567</c:v>
                </c:pt>
                <c:pt idx="42">
                  <c:v>12.097646136906913</c:v>
                </c:pt>
              </c:numCache>
            </c:numRef>
          </c:val>
          <c:extLst>
            <c:ext xmlns:c16="http://schemas.microsoft.com/office/drawing/2014/chart" uri="{C3380CC4-5D6E-409C-BE32-E72D297353CC}">
              <c16:uniqueId val="{00000001-99B0-4D6B-8D1E-240D388DC012}"/>
            </c:ext>
          </c:extLst>
        </c:ser>
        <c:dLbls>
          <c:showLegendKey val="0"/>
          <c:showVal val="0"/>
          <c:showCatName val="0"/>
          <c:showSerName val="0"/>
          <c:showPercent val="0"/>
          <c:showBubbleSize val="0"/>
        </c:dLbls>
        <c:gapWidth val="30"/>
        <c:axId val="304157904"/>
        <c:axId val="304154992"/>
      </c:barChart>
      <c:dateAx>
        <c:axId val="304157904"/>
        <c:scaling>
          <c:orientation val="minMax"/>
        </c:scaling>
        <c:delete val="0"/>
        <c:axPos val="b"/>
        <c:numFmt formatCode="mmm\-yy"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54992"/>
        <c:crosses val="autoZero"/>
        <c:auto val="1"/>
        <c:lblOffset val="100"/>
        <c:baseTimeUnit val="months"/>
      </c:dateAx>
      <c:valAx>
        <c:axId val="304154992"/>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a:t>Tasa de variación  interanual acumulada (%)</a:t>
                </a:r>
              </a:p>
            </c:rich>
          </c:tx>
          <c:layout>
            <c:manualLayout>
              <c:xMode val="edge"/>
              <c:yMode val="edge"/>
              <c:x val="0"/>
              <c:y val="9.999514662956535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57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DDDDDD">
          <a:lumMod val="50000"/>
        </a:srgb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936919027575714"/>
          <c:y val="6.4572938068682126E-2"/>
          <c:w val="0.74898622509985968"/>
          <c:h val="0.72212096910251933"/>
        </c:manualLayout>
      </c:layout>
      <c:lineChart>
        <c:grouping val="standard"/>
        <c:varyColors val="0"/>
        <c:ser>
          <c:idx val="0"/>
          <c:order val="0"/>
          <c:tx>
            <c:strRef>
              <c:f>tipo_cambio_diario!$B$1</c:f>
              <c:strCache>
                <c:ptCount val="1"/>
                <c:pt idx="0">
                  <c:v>TCR último-mes</c:v>
                </c:pt>
              </c:strCache>
            </c:strRef>
          </c:tx>
          <c:spPr>
            <a:ln w="19050" cap="rnd">
              <a:solidFill>
                <a:schemeClr val="accent1"/>
              </a:solidFill>
              <a:round/>
            </a:ln>
            <a:effectLst/>
          </c:spPr>
          <c:marker>
            <c:symbol val="none"/>
          </c:marker>
          <c:dLbls>
            <c:dLbl>
              <c:idx val="1272"/>
              <c:layout>
                <c:manualLayout>
                  <c:x val="0"/>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91-4FF5-A676-D38C9932C462}"/>
                </c:ext>
              </c:extLst>
            </c:dLbl>
            <c:dLbl>
              <c:idx val="130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91-4FF5-A676-D38C9932C462}"/>
                </c:ext>
              </c:extLst>
            </c:dLbl>
            <c:spPr>
              <a:noFill/>
              <a:ln>
                <a:noFill/>
              </a:ln>
              <a:effectLst/>
            </c:spPr>
            <c:txPr>
              <a:bodyPr rot="0" spcFirstLastPara="1" vertOverflow="ellipsis" vert="horz" wrap="square" anchor="ctr" anchorCtr="1"/>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tipo_cambio_diario!$A$2:$A$1278</c:f>
              <c:numCache>
                <c:formatCode>mmm\-yy</c:formatCode>
                <c:ptCount val="1277"/>
                <c:pt idx="0">
                  <c:v>43831</c:v>
                </c:pt>
                <c:pt idx="1">
                  <c:v>43832</c:v>
                </c:pt>
                <c:pt idx="2">
                  <c:v>43833</c:v>
                </c:pt>
                <c:pt idx="3">
                  <c:v>43834</c:v>
                </c:pt>
                <c:pt idx="4">
                  <c:v>43835</c:v>
                </c:pt>
                <c:pt idx="5">
                  <c:v>43836</c:v>
                </c:pt>
                <c:pt idx="6">
                  <c:v>43837</c:v>
                </c:pt>
                <c:pt idx="7">
                  <c:v>43838</c:v>
                </c:pt>
                <c:pt idx="8">
                  <c:v>43839</c:v>
                </c:pt>
                <c:pt idx="9">
                  <c:v>43840</c:v>
                </c:pt>
                <c:pt idx="10">
                  <c:v>43841</c:v>
                </c:pt>
                <c:pt idx="11">
                  <c:v>43842</c:v>
                </c:pt>
                <c:pt idx="12">
                  <c:v>43843</c:v>
                </c:pt>
                <c:pt idx="13">
                  <c:v>43844</c:v>
                </c:pt>
                <c:pt idx="14">
                  <c:v>43845</c:v>
                </c:pt>
                <c:pt idx="15">
                  <c:v>43846</c:v>
                </c:pt>
                <c:pt idx="16">
                  <c:v>43847</c:v>
                </c:pt>
                <c:pt idx="17">
                  <c:v>43848</c:v>
                </c:pt>
                <c:pt idx="18">
                  <c:v>43849</c:v>
                </c:pt>
                <c:pt idx="19">
                  <c:v>43850</c:v>
                </c:pt>
                <c:pt idx="20">
                  <c:v>43851</c:v>
                </c:pt>
                <c:pt idx="21">
                  <c:v>43852</c:v>
                </c:pt>
                <c:pt idx="22">
                  <c:v>43853</c:v>
                </c:pt>
                <c:pt idx="23">
                  <c:v>43854</c:v>
                </c:pt>
                <c:pt idx="24">
                  <c:v>43855</c:v>
                </c:pt>
                <c:pt idx="25">
                  <c:v>43856</c:v>
                </c:pt>
                <c:pt idx="26">
                  <c:v>43857</c:v>
                </c:pt>
                <c:pt idx="27">
                  <c:v>43858</c:v>
                </c:pt>
                <c:pt idx="28">
                  <c:v>43859</c:v>
                </c:pt>
                <c:pt idx="29">
                  <c:v>43860</c:v>
                </c:pt>
                <c:pt idx="30">
                  <c:v>43861</c:v>
                </c:pt>
                <c:pt idx="31">
                  <c:v>43862</c:v>
                </c:pt>
                <c:pt idx="32">
                  <c:v>43863</c:v>
                </c:pt>
                <c:pt idx="33">
                  <c:v>43864</c:v>
                </c:pt>
                <c:pt idx="34">
                  <c:v>43865</c:v>
                </c:pt>
                <c:pt idx="35">
                  <c:v>43866</c:v>
                </c:pt>
                <c:pt idx="36">
                  <c:v>43867</c:v>
                </c:pt>
                <c:pt idx="37">
                  <c:v>43868</c:v>
                </c:pt>
                <c:pt idx="38">
                  <c:v>43869</c:v>
                </c:pt>
                <c:pt idx="39">
                  <c:v>43870</c:v>
                </c:pt>
                <c:pt idx="40">
                  <c:v>43871</c:v>
                </c:pt>
                <c:pt idx="41">
                  <c:v>43872</c:v>
                </c:pt>
                <c:pt idx="42">
                  <c:v>43873</c:v>
                </c:pt>
                <c:pt idx="43">
                  <c:v>43874</c:v>
                </c:pt>
                <c:pt idx="44">
                  <c:v>43875</c:v>
                </c:pt>
                <c:pt idx="45">
                  <c:v>43876</c:v>
                </c:pt>
                <c:pt idx="46">
                  <c:v>43877</c:v>
                </c:pt>
                <c:pt idx="47">
                  <c:v>43878</c:v>
                </c:pt>
                <c:pt idx="48">
                  <c:v>43879</c:v>
                </c:pt>
                <c:pt idx="49">
                  <c:v>43880</c:v>
                </c:pt>
                <c:pt idx="50">
                  <c:v>43881</c:v>
                </c:pt>
                <c:pt idx="51">
                  <c:v>43882</c:v>
                </c:pt>
                <c:pt idx="52">
                  <c:v>43883</c:v>
                </c:pt>
                <c:pt idx="53">
                  <c:v>43884</c:v>
                </c:pt>
                <c:pt idx="54">
                  <c:v>43885</c:v>
                </c:pt>
                <c:pt idx="55">
                  <c:v>43886</c:v>
                </c:pt>
                <c:pt idx="56">
                  <c:v>43887</c:v>
                </c:pt>
                <c:pt idx="57">
                  <c:v>43888</c:v>
                </c:pt>
                <c:pt idx="58">
                  <c:v>43889</c:v>
                </c:pt>
                <c:pt idx="59">
                  <c:v>43890</c:v>
                </c:pt>
                <c:pt idx="60">
                  <c:v>43891</c:v>
                </c:pt>
                <c:pt idx="61">
                  <c:v>43892</c:v>
                </c:pt>
                <c:pt idx="62">
                  <c:v>43893</c:v>
                </c:pt>
                <c:pt idx="63">
                  <c:v>43894</c:v>
                </c:pt>
                <c:pt idx="64">
                  <c:v>43895</c:v>
                </c:pt>
                <c:pt idx="65">
                  <c:v>43896</c:v>
                </c:pt>
                <c:pt idx="66">
                  <c:v>43897</c:v>
                </c:pt>
                <c:pt idx="67">
                  <c:v>43898</c:v>
                </c:pt>
                <c:pt idx="68">
                  <c:v>43899</c:v>
                </c:pt>
                <c:pt idx="69">
                  <c:v>43900</c:v>
                </c:pt>
                <c:pt idx="70">
                  <c:v>43901</c:v>
                </c:pt>
                <c:pt idx="71">
                  <c:v>43902</c:v>
                </c:pt>
                <c:pt idx="72">
                  <c:v>43903</c:v>
                </c:pt>
                <c:pt idx="73">
                  <c:v>43904</c:v>
                </c:pt>
                <c:pt idx="74">
                  <c:v>43905</c:v>
                </c:pt>
                <c:pt idx="75">
                  <c:v>43906</c:v>
                </c:pt>
                <c:pt idx="76">
                  <c:v>43907</c:v>
                </c:pt>
                <c:pt idx="77">
                  <c:v>43908</c:v>
                </c:pt>
                <c:pt idx="78">
                  <c:v>43909</c:v>
                </c:pt>
                <c:pt idx="79">
                  <c:v>43910</c:v>
                </c:pt>
                <c:pt idx="80">
                  <c:v>43911</c:v>
                </c:pt>
                <c:pt idx="81">
                  <c:v>43912</c:v>
                </c:pt>
                <c:pt idx="82">
                  <c:v>43913</c:v>
                </c:pt>
                <c:pt idx="83">
                  <c:v>43914</c:v>
                </c:pt>
                <c:pt idx="84">
                  <c:v>43915</c:v>
                </c:pt>
                <c:pt idx="85">
                  <c:v>43916</c:v>
                </c:pt>
                <c:pt idx="86">
                  <c:v>43917</c:v>
                </c:pt>
                <c:pt idx="87">
                  <c:v>43918</c:v>
                </c:pt>
                <c:pt idx="88">
                  <c:v>43919</c:v>
                </c:pt>
                <c:pt idx="89">
                  <c:v>43920</c:v>
                </c:pt>
                <c:pt idx="90">
                  <c:v>43921</c:v>
                </c:pt>
                <c:pt idx="91">
                  <c:v>43922</c:v>
                </c:pt>
                <c:pt idx="92">
                  <c:v>43923</c:v>
                </c:pt>
                <c:pt idx="93">
                  <c:v>43924</c:v>
                </c:pt>
                <c:pt idx="94">
                  <c:v>43925</c:v>
                </c:pt>
                <c:pt idx="95">
                  <c:v>43926</c:v>
                </c:pt>
                <c:pt idx="96">
                  <c:v>43927</c:v>
                </c:pt>
                <c:pt idx="97">
                  <c:v>43928</c:v>
                </c:pt>
                <c:pt idx="98">
                  <c:v>43929</c:v>
                </c:pt>
                <c:pt idx="99">
                  <c:v>43930</c:v>
                </c:pt>
                <c:pt idx="100">
                  <c:v>43931</c:v>
                </c:pt>
                <c:pt idx="101">
                  <c:v>43932</c:v>
                </c:pt>
                <c:pt idx="102">
                  <c:v>43933</c:v>
                </c:pt>
                <c:pt idx="103">
                  <c:v>43934</c:v>
                </c:pt>
                <c:pt idx="104">
                  <c:v>43935</c:v>
                </c:pt>
                <c:pt idx="105">
                  <c:v>43936</c:v>
                </c:pt>
                <c:pt idx="106">
                  <c:v>43937</c:v>
                </c:pt>
                <c:pt idx="107">
                  <c:v>43938</c:v>
                </c:pt>
                <c:pt idx="108">
                  <c:v>43939</c:v>
                </c:pt>
                <c:pt idx="109">
                  <c:v>43940</c:v>
                </c:pt>
                <c:pt idx="110">
                  <c:v>43941</c:v>
                </c:pt>
                <c:pt idx="111">
                  <c:v>43942</c:v>
                </c:pt>
                <c:pt idx="112">
                  <c:v>43943</c:v>
                </c:pt>
                <c:pt idx="113">
                  <c:v>43944</c:v>
                </c:pt>
                <c:pt idx="114">
                  <c:v>43945</c:v>
                </c:pt>
                <c:pt idx="115">
                  <c:v>43946</c:v>
                </c:pt>
                <c:pt idx="116">
                  <c:v>43947</c:v>
                </c:pt>
                <c:pt idx="117">
                  <c:v>43948</c:v>
                </c:pt>
                <c:pt idx="118">
                  <c:v>43949</c:v>
                </c:pt>
                <c:pt idx="119">
                  <c:v>43950</c:v>
                </c:pt>
                <c:pt idx="120">
                  <c:v>43951</c:v>
                </c:pt>
                <c:pt idx="121">
                  <c:v>43952</c:v>
                </c:pt>
                <c:pt idx="122">
                  <c:v>43953</c:v>
                </c:pt>
                <c:pt idx="123">
                  <c:v>43954</c:v>
                </c:pt>
                <c:pt idx="124">
                  <c:v>43955</c:v>
                </c:pt>
                <c:pt idx="125">
                  <c:v>43956</c:v>
                </c:pt>
                <c:pt idx="126">
                  <c:v>43957</c:v>
                </c:pt>
                <c:pt idx="127">
                  <c:v>43958</c:v>
                </c:pt>
                <c:pt idx="128">
                  <c:v>43959</c:v>
                </c:pt>
                <c:pt idx="129">
                  <c:v>43960</c:v>
                </c:pt>
                <c:pt idx="130">
                  <c:v>43961</c:v>
                </c:pt>
                <c:pt idx="131">
                  <c:v>43962</c:v>
                </c:pt>
                <c:pt idx="132">
                  <c:v>43963</c:v>
                </c:pt>
                <c:pt idx="133">
                  <c:v>43964</c:v>
                </c:pt>
                <c:pt idx="134">
                  <c:v>43965</c:v>
                </c:pt>
                <c:pt idx="135">
                  <c:v>43966</c:v>
                </c:pt>
                <c:pt idx="136">
                  <c:v>43967</c:v>
                </c:pt>
                <c:pt idx="137">
                  <c:v>43968</c:v>
                </c:pt>
                <c:pt idx="138">
                  <c:v>43969</c:v>
                </c:pt>
                <c:pt idx="139">
                  <c:v>43970</c:v>
                </c:pt>
                <c:pt idx="140">
                  <c:v>43971</c:v>
                </c:pt>
                <c:pt idx="141">
                  <c:v>43972</c:v>
                </c:pt>
                <c:pt idx="142">
                  <c:v>43973</c:v>
                </c:pt>
                <c:pt idx="143">
                  <c:v>43974</c:v>
                </c:pt>
                <c:pt idx="144">
                  <c:v>43975</c:v>
                </c:pt>
                <c:pt idx="145">
                  <c:v>43976</c:v>
                </c:pt>
                <c:pt idx="146">
                  <c:v>43977</c:v>
                </c:pt>
                <c:pt idx="147">
                  <c:v>43978</c:v>
                </c:pt>
                <c:pt idx="148">
                  <c:v>43979</c:v>
                </c:pt>
                <c:pt idx="149">
                  <c:v>43980</c:v>
                </c:pt>
                <c:pt idx="150">
                  <c:v>43981</c:v>
                </c:pt>
                <c:pt idx="151">
                  <c:v>43982</c:v>
                </c:pt>
                <c:pt idx="152">
                  <c:v>43983</c:v>
                </c:pt>
                <c:pt idx="153">
                  <c:v>43984</c:v>
                </c:pt>
                <c:pt idx="154">
                  <c:v>43985</c:v>
                </c:pt>
                <c:pt idx="155">
                  <c:v>43986</c:v>
                </c:pt>
                <c:pt idx="156">
                  <c:v>43987</c:v>
                </c:pt>
                <c:pt idx="157">
                  <c:v>43988</c:v>
                </c:pt>
                <c:pt idx="158">
                  <c:v>43989</c:v>
                </c:pt>
                <c:pt idx="159">
                  <c:v>43990</c:v>
                </c:pt>
                <c:pt idx="160">
                  <c:v>43991</c:v>
                </c:pt>
                <c:pt idx="161">
                  <c:v>43992</c:v>
                </c:pt>
                <c:pt idx="162">
                  <c:v>43993</c:v>
                </c:pt>
                <c:pt idx="163">
                  <c:v>43994</c:v>
                </c:pt>
                <c:pt idx="164">
                  <c:v>43995</c:v>
                </c:pt>
                <c:pt idx="165">
                  <c:v>43996</c:v>
                </c:pt>
                <c:pt idx="166">
                  <c:v>43997</c:v>
                </c:pt>
                <c:pt idx="167">
                  <c:v>43998</c:v>
                </c:pt>
                <c:pt idx="168">
                  <c:v>43999</c:v>
                </c:pt>
                <c:pt idx="169">
                  <c:v>44000</c:v>
                </c:pt>
                <c:pt idx="170">
                  <c:v>44001</c:v>
                </c:pt>
                <c:pt idx="171">
                  <c:v>44002</c:v>
                </c:pt>
                <c:pt idx="172">
                  <c:v>44003</c:v>
                </c:pt>
                <c:pt idx="173">
                  <c:v>44004</c:v>
                </c:pt>
                <c:pt idx="174">
                  <c:v>44005</c:v>
                </c:pt>
                <c:pt idx="175">
                  <c:v>44006</c:v>
                </c:pt>
                <c:pt idx="176">
                  <c:v>44007</c:v>
                </c:pt>
                <c:pt idx="177">
                  <c:v>44008</c:v>
                </c:pt>
                <c:pt idx="178">
                  <c:v>44009</c:v>
                </c:pt>
                <c:pt idx="179">
                  <c:v>44010</c:v>
                </c:pt>
                <c:pt idx="180">
                  <c:v>44011</c:v>
                </c:pt>
                <c:pt idx="181">
                  <c:v>44012</c:v>
                </c:pt>
                <c:pt idx="182">
                  <c:v>44013</c:v>
                </c:pt>
                <c:pt idx="183">
                  <c:v>44014</c:v>
                </c:pt>
                <c:pt idx="184">
                  <c:v>44015</c:v>
                </c:pt>
                <c:pt idx="185">
                  <c:v>44016</c:v>
                </c:pt>
                <c:pt idx="186">
                  <c:v>44017</c:v>
                </c:pt>
                <c:pt idx="187">
                  <c:v>44018</c:v>
                </c:pt>
                <c:pt idx="188">
                  <c:v>44019</c:v>
                </c:pt>
                <c:pt idx="189">
                  <c:v>44020</c:v>
                </c:pt>
                <c:pt idx="190">
                  <c:v>44021</c:v>
                </c:pt>
                <c:pt idx="191">
                  <c:v>44022</c:v>
                </c:pt>
                <c:pt idx="192">
                  <c:v>44023</c:v>
                </c:pt>
                <c:pt idx="193">
                  <c:v>44024</c:v>
                </c:pt>
                <c:pt idx="194">
                  <c:v>44025</c:v>
                </c:pt>
                <c:pt idx="195">
                  <c:v>44026</c:v>
                </c:pt>
                <c:pt idx="196">
                  <c:v>44027</c:v>
                </c:pt>
                <c:pt idx="197">
                  <c:v>44028</c:v>
                </c:pt>
                <c:pt idx="198">
                  <c:v>44029</c:v>
                </c:pt>
                <c:pt idx="199">
                  <c:v>44030</c:v>
                </c:pt>
                <c:pt idx="200">
                  <c:v>44031</c:v>
                </c:pt>
                <c:pt idx="201">
                  <c:v>44032</c:v>
                </c:pt>
                <c:pt idx="202">
                  <c:v>44033</c:v>
                </c:pt>
                <c:pt idx="203">
                  <c:v>44034</c:v>
                </c:pt>
                <c:pt idx="204">
                  <c:v>44035</c:v>
                </c:pt>
                <c:pt idx="205">
                  <c:v>44036</c:v>
                </c:pt>
                <c:pt idx="206">
                  <c:v>44037</c:v>
                </c:pt>
                <c:pt idx="207">
                  <c:v>44038</c:v>
                </c:pt>
                <c:pt idx="208">
                  <c:v>44039</c:v>
                </c:pt>
                <c:pt idx="209">
                  <c:v>44040</c:v>
                </c:pt>
                <c:pt idx="210">
                  <c:v>44041</c:v>
                </c:pt>
                <c:pt idx="211">
                  <c:v>44042</c:v>
                </c:pt>
                <c:pt idx="212">
                  <c:v>44043</c:v>
                </c:pt>
                <c:pt idx="213">
                  <c:v>44044</c:v>
                </c:pt>
                <c:pt idx="214">
                  <c:v>44045</c:v>
                </c:pt>
                <c:pt idx="215">
                  <c:v>44046</c:v>
                </c:pt>
                <c:pt idx="216">
                  <c:v>44047</c:v>
                </c:pt>
                <c:pt idx="217">
                  <c:v>44048</c:v>
                </c:pt>
                <c:pt idx="218">
                  <c:v>44049</c:v>
                </c:pt>
                <c:pt idx="219">
                  <c:v>44050</c:v>
                </c:pt>
                <c:pt idx="220">
                  <c:v>44051</c:v>
                </c:pt>
                <c:pt idx="221">
                  <c:v>44052</c:v>
                </c:pt>
                <c:pt idx="222">
                  <c:v>44053</c:v>
                </c:pt>
                <c:pt idx="223">
                  <c:v>44054</c:v>
                </c:pt>
                <c:pt idx="224">
                  <c:v>44055</c:v>
                </c:pt>
                <c:pt idx="225">
                  <c:v>44056</c:v>
                </c:pt>
                <c:pt idx="226">
                  <c:v>44057</c:v>
                </c:pt>
                <c:pt idx="227">
                  <c:v>44058</c:v>
                </c:pt>
                <c:pt idx="228">
                  <c:v>44059</c:v>
                </c:pt>
                <c:pt idx="229">
                  <c:v>44060</c:v>
                </c:pt>
                <c:pt idx="230">
                  <c:v>44061</c:v>
                </c:pt>
                <c:pt idx="231">
                  <c:v>44062</c:v>
                </c:pt>
                <c:pt idx="232">
                  <c:v>44063</c:v>
                </c:pt>
                <c:pt idx="233">
                  <c:v>44064</c:v>
                </c:pt>
                <c:pt idx="234">
                  <c:v>44065</c:v>
                </c:pt>
                <c:pt idx="235">
                  <c:v>44066</c:v>
                </c:pt>
                <c:pt idx="236">
                  <c:v>44067</c:v>
                </c:pt>
                <c:pt idx="237">
                  <c:v>44068</c:v>
                </c:pt>
                <c:pt idx="238">
                  <c:v>44069</c:v>
                </c:pt>
                <c:pt idx="239">
                  <c:v>44070</c:v>
                </c:pt>
                <c:pt idx="240">
                  <c:v>44071</c:v>
                </c:pt>
                <c:pt idx="241">
                  <c:v>44072</c:v>
                </c:pt>
                <c:pt idx="242">
                  <c:v>44073</c:v>
                </c:pt>
                <c:pt idx="243">
                  <c:v>44074</c:v>
                </c:pt>
                <c:pt idx="244">
                  <c:v>44075</c:v>
                </c:pt>
                <c:pt idx="245">
                  <c:v>44076</c:v>
                </c:pt>
                <c:pt idx="246">
                  <c:v>44077</c:v>
                </c:pt>
                <c:pt idx="247">
                  <c:v>44078</c:v>
                </c:pt>
                <c:pt idx="248">
                  <c:v>44079</c:v>
                </c:pt>
                <c:pt idx="249">
                  <c:v>44080</c:v>
                </c:pt>
                <c:pt idx="250">
                  <c:v>44081</c:v>
                </c:pt>
                <c:pt idx="251">
                  <c:v>44082</c:v>
                </c:pt>
                <c:pt idx="252">
                  <c:v>44083</c:v>
                </c:pt>
                <c:pt idx="253">
                  <c:v>44084</c:v>
                </c:pt>
                <c:pt idx="254">
                  <c:v>44085</c:v>
                </c:pt>
                <c:pt idx="255">
                  <c:v>44086</c:v>
                </c:pt>
                <c:pt idx="256">
                  <c:v>44087</c:v>
                </c:pt>
                <c:pt idx="257">
                  <c:v>44088</c:v>
                </c:pt>
                <c:pt idx="258">
                  <c:v>44089</c:v>
                </c:pt>
                <c:pt idx="259">
                  <c:v>44090</c:v>
                </c:pt>
                <c:pt idx="260">
                  <c:v>44091</c:v>
                </c:pt>
                <c:pt idx="261">
                  <c:v>44092</c:v>
                </c:pt>
                <c:pt idx="262">
                  <c:v>44093</c:v>
                </c:pt>
                <c:pt idx="263">
                  <c:v>44094</c:v>
                </c:pt>
                <c:pt idx="264">
                  <c:v>44095</c:v>
                </c:pt>
                <c:pt idx="265">
                  <c:v>44096</c:v>
                </c:pt>
                <c:pt idx="266">
                  <c:v>44097</c:v>
                </c:pt>
                <c:pt idx="267">
                  <c:v>44098</c:v>
                </c:pt>
                <c:pt idx="268">
                  <c:v>44099</c:v>
                </c:pt>
                <c:pt idx="269">
                  <c:v>44100</c:v>
                </c:pt>
                <c:pt idx="270">
                  <c:v>44101</c:v>
                </c:pt>
                <c:pt idx="271">
                  <c:v>44102</c:v>
                </c:pt>
                <c:pt idx="272">
                  <c:v>44103</c:v>
                </c:pt>
                <c:pt idx="273">
                  <c:v>44104</c:v>
                </c:pt>
                <c:pt idx="274">
                  <c:v>44105</c:v>
                </c:pt>
                <c:pt idx="275">
                  <c:v>44106</c:v>
                </c:pt>
                <c:pt idx="276">
                  <c:v>44107</c:v>
                </c:pt>
                <c:pt idx="277">
                  <c:v>44108</c:v>
                </c:pt>
                <c:pt idx="278">
                  <c:v>44109</c:v>
                </c:pt>
                <c:pt idx="279">
                  <c:v>44110</c:v>
                </c:pt>
                <c:pt idx="280">
                  <c:v>44111</c:v>
                </c:pt>
                <c:pt idx="281">
                  <c:v>44112</c:v>
                </c:pt>
                <c:pt idx="282">
                  <c:v>44113</c:v>
                </c:pt>
                <c:pt idx="283">
                  <c:v>44114</c:v>
                </c:pt>
                <c:pt idx="284">
                  <c:v>44115</c:v>
                </c:pt>
                <c:pt idx="285">
                  <c:v>44116</c:v>
                </c:pt>
                <c:pt idx="286">
                  <c:v>44117</c:v>
                </c:pt>
                <c:pt idx="287">
                  <c:v>44118</c:v>
                </c:pt>
                <c:pt idx="288">
                  <c:v>44119</c:v>
                </c:pt>
                <c:pt idx="289">
                  <c:v>44120</c:v>
                </c:pt>
                <c:pt idx="290">
                  <c:v>44121</c:v>
                </c:pt>
                <c:pt idx="291">
                  <c:v>44122</c:v>
                </c:pt>
                <c:pt idx="292">
                  <c:v>44123</c:v>
                </c:pt>
                <c:pt idx="293">
                  <c:v>44124</c:v>
                </c:pt>
                <c:pt idx="294">
                  <c:v>44125</c:v>
                </c:pt>
                <c:pt idx="295">
                  <c:v>44126</c:v>
                </c:pt>
                <c:pt idx="296">
                  <c:v>44127</c:v>
                </c:pt>
                <c:pt idx="297">
                  <c:v>44128</c:v>
                </c:pt>
                <c:pt idx="298">
                  <c:v>44129</c:v>
                </c:pt>
                <c:pt idx="299">
                  <c:v>44130</c:v>
                </c:pt>
                <c:pt idx="300">
                  <c:v>44131</c:v>
                </c:pt>
                <c:pt idx="301">
                  <c:v>44132</c:v>
                </c:pt>
                <c:pt idx="302">
                  <c:v>44133</c:v>
                </c:pt>
                <c:pt idx="303">
                  <c:v>44134</c:v>
                </c:pt>
                <c:pt idx="304">
                  <c:v>44135</c:v>
                </c:pt>
                <c:pt idx="305">
                  <c:v>44136</c:v>
                </c:pt>
                <c:pt idx="306">
                  <c:v>44137</c:v>
                </c:pt>
                <c:pt idx="307">
                  <c:v>44138</c:v>
                </c:pt>
                <c:pt idx="308">
                  <c:v>44139</c:v>
                </c:pt>
                <c:pt idx="309">
                  <c:v>44140</c:v>
                </c:pt>
                <c:pt idx="310">
                  <c:v>44141</c:v>
                </c:pt>
                <c:pt idx="311">
                  <c:v>44142</c:v>
                </c:pt>
                <c:pt idx="312">
                  <c:v>44143</c:v>
                </c:pt>
                <c:pt idx="313">
                  <c:v>44144</c:v>
                </c:pt>
                <c:pt idx="314">
                  <c:v>44145</c:v>
                </c:pt>
                <c:pt idx="315">
                  <c:v>44146</c:v>
                </c:pt>
                <c:pt idx="316">
                  <c:v>44147</c:v>
                </c:pt>
                <c:pt idx="317">
                  <c:v>44148</c:v>
                </c:pt>
                <c:pt idx="318">
                  <c:v>44149</c:v>
                </c:pt>
                <c:pt idx="319">
                  <c:v>44150</c:v>
                </c:pt>
                <c:pt idx="320">
                  <c:v>44151</c:v>
                </c:pt>
                <c:pt idx="321">
                  <c:v>44152</c:v>
                </c:pt>
                <c:pt idx="322">
                  <c:v>44153</c:v>
                </c:pt>
                <c:pt idx="323">
                  <c:v>44154</c:v>
                </c:pt>
                <c:pt idx="324">
                  <c:v>44155</c:v>
                </c:pt>
                <c:pt idx="325">
                  <c:v>44156</c:v>
                </c:pt>
                <c:pt idx="326">
                  <c:v>44157</c:v>
                </c:pt>
                <c:pt idx="327">
                  <c:v>44158</c:v>
                </c:pt>
                <c:pt idx="328">
                  <c:v>44159</c:v>
                </c:pt>
                <c:pt idx="329">
                  <c:v>44160</c:v>
                </c:pt>
                <c:pt idx="330">
                  <c:v>44161</c:v>
                </c:pt>
                <c:pt idx="331">
                  <c:v>44162</c:v>
                </c:pt>
                <c:pt idx="332">
                  <c:v>44163</c:v>
                </c:pt>
                <c:pt idx="333">
                  <c:v>44164</c:v>
                </c:pt>
                <c:pt idx="334">
                  <c:v>44165</c:v>
                </c:pt>
                <c:pt idx="335">
                  <c:v>44166</c:v>
                </c:pt>
                <c:pt idx="336">
                  <c:v>44167</c:v>
                </c:pt>
                <c:pt idx="337">
                  <c:v>44168</c:v>
                </c:pt>
                <c:pt idx="338">
                  <c:v>44169</c:v>
                </c:pt>
                <c:pt idx="339">
                  <c:v>44170</c:v>
                </c:pt>
                <c:pt idx="340">
                  <c:v>44171</c:v>
                </c:pt>
                <c:pt idx="341">
                  <c:v>44172</c:v>
                </c:pt>
                <c:pt idx="342">
                  <c:v>44173</c:v>
                </c:pt>
                <c:pt idx="343">
                  <c:v>44174</c:v>
                </c:pt>
                <c:pt idx="344">
                  <c:v>44175</c:v>
                </c:pt>
                <c:pt idx="345">
                  <c:v>44176</c:v>
                </c:pt>
                <c:pt idx="346">
                  <c:v>44177</c:v>
                </c:pt>
                <c:pt idx="347">
                  <c:v>44178</c:v>
                </c:pt>
                <c:pt idx="348">
                  <c:v>44179</c:v>
                </c:pt>
                <c:pt idx="349">
                  <c:v>44180</c:v>
                </c:pt>
                <c:pt idx="350">
                  <c:v>44181</c:v>
                </c:pt>
                <c:pt idx="351">
                  <c:v>44182</c:v>
                </c:pt>
                <c:pt idx="352">
                  <c:v>44183</c:v>
                </c:pt>
                <c:pt idx="353">
                  <c:v>44184</c:v>
                </c:pt>
                <c:pt idx="354">
                  <c:v>44185</c:v>
                </c:pt>
                <c:pt idx="355">
                  <c:v>44186</c:v>
                </c:pt>
                <c:pt idx="356">
                  <c:v>44187</c:v>
                </c:pt>
                <c:pt idx="357">
                  <c:v>44188</c:v>
                </c:pt>
                <c:pt idx="358">
                  <c:v>44189</c:v>
                </c:pt>
                <c:pt idx="359">
                  <c:v>44190</c:v>
                </c:pt>
                <c:pt idx="360">
                  <c:v>44191</c:v>
                </c:pt>
                <c:pt idx="361">
                  <c:v>44192</c:v>
                </c:pt>
                <c:pt idx="362">
                  <c:v>44193</c:v>
                </c:pt>
                <c:pt idx="363">
                  <c:v>44194</c:v>
                </c:pt>
                <c:pt idx="364">
                  <c:v>44195</c:v>
                </c:pt>
                <c:pt idx="365">
                  <c:v>44196</c:v>
                </c:pt>
                <c:pt idx="366">
                  <c:v>44197</c:v>
                </c:pt>
                <c:pt idx="367">
                  <c:v>44198</c:v>
                </c:pt>
                <c:pt idx="368">
                  <c:v>44199</c:v>
                </c:pt>
                <c:pt idx="369">
                  <c:v>44200</c:v>
                </c:pt>
                <c:pt idx="370">
                  <c:v>44201</c:v>
                </c:pt>
                <c:pt idx="371">
                  <c:v>44202</c:v>
                </c:pt>
                <c:pt idx="372">
                  <c:v>44203</c:v>
                </c:pt>
                <c:pt idx="373">
                  <c:v>44204</c:v>
                </c:pt>
                <c:pt idx="374">
                  <c:v>44205</c:v>
                </c:pt>
                <c:pt idx="375">
                  <c:v>44206</c:v>
                </c:pt>
                <c:pt idx="376">
                  <c:v>44207</c:v>
                </c:pt>
                <c:pt idx="377">
                  <c:v>44208</c:v>
                </c:pt>
                <c:pt idx="378">
                  <c:v>44209</c:v>
                </c:pt>
                <c:pt idx="379">
                  <c:v>44210</c:v>
                </c:pt>
                <c:pt idx="380">
                  <c:v>44211</c:v>
                </c:pt>
                <c:pt idx="381">
                  <c:v>44212</c:v>
                </c:pt>
                <c:pt idx="382">
                  <c:v>44213</c:v>
                </c:pt>
                <c:pt idx="383">
                  <c:v>44214</c:v>
                </c:pt>
                <c:pt idx="384">
                  <c:v>44215</c:v>
                </c:pt>
                <c:pt idx="385">
                  <c:v>44216</c:v>
                </c:pt>
                <c:pt idx="386">
                  <c:v>44217</c:v>
                </c:pt>
                <c:pt idx="387">
                  <c:v>44218</c:v>
                </c:pt>
                <c:pt idx="388">
                  <c:v>44219</c:v>
                </c:pt>
                <c:pt idx="389">
                  <c:v>44220</c:v>
                </c:pt>
                <c:pt idx="390">
                  <c:v>44221</c:v>
                </c:pt>
                <c:pt idx="391">
                  <c:v>44222</c:v>
                </c:pt>
                <c:pt idx="392">
                  <c:v>44223</c:v>
                </c:pt>
                <c:pt idx="393">
                  <c:v>44224</c:v>
                </c:pt>
                <c:pt idx="394">
                  <c:v>44225</c:v>
                </c:pt>
                <c:pt idx="395">
                  <c:v>44226</c:v>
                </c:pt>
                <c:pt idx="396">
                  <c:v>44227</c:v>
                </c:pt>
                <c:pt idx="397">
                  <c:v>44228</c:v>
                </c:pt>
                <c:pt idx="398">
                  <c:v>44229</c:v>
                </c:pt>
                <c:pt idx="399">
                  <c:v>44230</c:v>
                </c:pt>
                <c:pt idx="400">
                  <c:v>44231</c:v>
                </c:pt>
                <c:pt idx="401">
                  <c:v>44232</c:v>
                </c:pt>
                <c:pt idx="402">
                  <c:v>44233</c:v>
                </c:pt>
                <c:pt idx="403">
                  <c:v>44234</c:v>
                </c:pt>
                <c:pt idx="404">
                  <c:v>44235</c:v>
                </c:pt>
                <c:pt idx="405">
                  <c:v>44236</c:v>
                </c:pt>
                <c:pt idx="406">
                  <c:v>44237</c:v>
                </c:pt>
                <c:pt idx="407">
                  <c:v>44238</c:v>
                </c:pt>
                <c:pt idx="408">
                  <c:v>44239</c:v>
                </c:pt>
                <c:pt idx="409">
                  <c:v>44240</c:v>
                </c:pt>
                <c:pt idx="410">
                  <c:v>44241</c:v>
                </c:pt>
                <c:pt idx="411">
                  <c:v>44242</c:v>
                </c:pt>
                <c:pt idx="412">
                  <c:v>44243</c:v>
                </c:pt>
                <c:pt idx="413">
                  <c:v>44244</c:v>
                </c:pt>
                <c:pt idx="414">
                  <c:v>44245</c:v>
                </c:pt>
                <c:pt idx="415">
                  <c:v>44246</c:v>
                </c:pt>
                <c:pt idx="416">
                  <c:v>44247</c:v>
                </c:pt>
                <c:pt idx="417">
                  <c:v>44248</c:v>
                </c:pt>
                <c:pt idx="418">
                  <c:v>44249</c:v>
                </c:pt>
                <c:pt idx="419">
                  <c:v>44250</c:v>
                </c:pt>
                <c:pt idx="420">
                  <c:v>44251</c:v>
                </c:pt>
                <c:pt idx="421">
                  <c:v>44252</c:v>
                </c:pt>
                <c:pt idx="422">
                  <c:v>44253</c:v>
                </c:pt>
                <c:pt idx="423">
                  <c:v>44254</c:v>
                </c:pt>
                <c:pt idx="424">
                  <c:v>44255</c:v>
                </c:pt>
                <c:pt idx="425">
                  <c:v>44256</c:v>
                </c:pt>
                <c:pt idx="426">
                  <c:v>44257</c:v>
                </c:pt>
                <c:pt idx="427">
                  <c:v>44258</c:v>
                </c:pt>
                <c:pt idx="428">
                  <c:v>44259</c:v>
                </c:pt>
                <c:pt idx="429">
                  <c:v>44260</c:v>
                </c:pt>
                <c:pt idx="430">
                  <c:v>44261</c:v>
                </c:pt>
                <c:pt idx="431">
                  <c:v>44262</c:v>
                </c:pt>
                <c:pt idx="432">
                  <c:v>44263</c:v>
                </c:pt>
                <c:pt idx="433">
                  <c:v>44264</c:v>
                </c:pt>
                <c:pt idx="434">
                  <c:v>44265</c:v>
                </c:pt>
                <c:pt idx="435">
                  <c:v>44266</c:v>
                </c:pt>
                <c:pt idx="436">
                  <c:v>44267</c:v>
                </c:pt>
                <c:pt idx="437">
                  <c:v>44268</c:v>
                </c:pt>
                <c:pt idx="438">
                  <c:v>44269</c:v>
                </c:pt>
                <c:pt idx="439">
                  <c:v>44270</c:v>
                </c:pt>
                <c:pt idx="440">
                  <c:v>44271</c:v>
                </c:pt>
                <c:pt idx="441">
                  <c:v>44272</c:v>
                </c:pt>
                <c:pt idx="442">
                  <c:v>44273</c:v>
                </c:pt>
                <c:pt idx="443">
                  <c:v>44274</c:v>
                </c:pt>
                <c:pt idx="444">
                  <c:v>44275</c:v>
                </c:pt>
                <c:pt idx="445">
                  <c:v>44276</c:v>
                </c:pt>
                <c:pt idx="446">
                  <c:v>44277</c:v>
                </c:pt>
                <c:pt idx="447">
                  <c:v>44278</c:v>
                </c:pt>
                <c:pt idx="448">
                  <c:v>44279</c:v>
                </c:pt>
                <c:pt idx="449">
                  <c:v>44280</c:v>
                </c:pt>
                <c:pt idx="450">
                  <c:v>44281</c:v>
                </c:pt>
                <c:pt idx="451">
                  <c:v>44282</c:v>
                </c:pt>
                <c:pt idx="452">
                  <c:v>44283</c:v>
                </c:pt>
                <c:pt idx="453">
                  <c:v>44284</c:v>
                </c:pt>
                <c:pt idx="454">
                  <c:v>44285</c:v>
                </c:pt>
                <c:pt idx="455">
                  <c:v>44286</c:v>
                </c:pt>
                <c:pt idx="456">
                  <c:v>44287</c:v>
                </c:pt>
                <c:pt idx="457">
                  <c:v>44288</c:v>
                </c:pt>
                <c:pt idx="458">
                  <c:v>44289</c:v>
                </c:pt>
                <c:pt idx="459">
                  <c:v>44290</c:v>
                </c:pt>
                <c:pt idx="460">
                  <c:v>44291</c:v>
                </c:pt>
                <c:pt idx="461">
                  <c:v>44292</c:v>
                </c:pt>
                <c:pt idx="462">
                  <c:v>44293</c:v>
                </c:pt>
                <c:pt idx="463">
                  <c:v>44294</c:v>
                </c:pt>
                <c:pt idx="464">
                  <c:v>44295</c:v>
                </c:pt>
                <c:pt idx="465">
                  <c:v>44296</c:v>
                </c:pt>
                <c:pt idx="466">
                  <c:v>44297</c:v>
                </c:pt>
                <c:pt idx="467">
                  <c:v>44298</c:v>
                </c:pt>
                <c:pt idx="468">
                  <c:v>44299</c:v>
                </c:pt>
                <c:pt idx="469">
                  <c:v>44300</c:v>
                </c:pt>
                <c:pt idx="470">
                  <c:v>44301</c:v>
                </c:pt>
                <c:pt idx="471">
                  <c:v>44302</c:v>
                </c:pt>
                <c:pt idx="472">
                  <c:v>44303</c:v>
                </c:pt>
                <c:pt idx="473">
                  <c:v>44304</c:v>
                </c:pt>
                <c:pt idx="474">
                  <c:v>44305</c:v>
                </c:pt>
                <c:pt idx="475">
                  <c:v>44306</c:v>
                </c:pt>
                <c:pt idx="476">
                  <c:v>44307</c:v>
                </c:pt>
                <c:pt idx="477">
                  <c:v>44308</c:v>
                </c:pt>
                <c:pt idx="478">
                  <c:v>44309</c:v>
                </c:pt>
                <c:pt idx="479">
                  <c:v>44310</c:v>
                </c:pt>
                <c:pt idx="480">
                  <c:v>44311</c:v>
                </c:pt>
                <c:pt idx="481">
                  <c:v>44312</c:v>
                </c:pt>
                <c:pt idx="482">
                  <c:v>44313</c:v>
                </c:pt>
                <c:pt idx="483">
                  <c:v>44314</c:v>
                </c:pt>
                <c:pt idx="484">
                  <c:v>44315</c:v>
                </c:pt>
                <c:pt idx="485">
                  <c:v>44316</c:v>
                </c:pt>
                <c:pt idx="486">
                  <c:v>44317</c:v>
                </c:pt>
                <c:pt idx="487">
                  <c:v>44318</c:v>
                </c:pt>
                <c:pt idx="488">
                  <c:v>44319</c:v>
                </c:pt>
                <c:pt idx="489">
                  <c:v>44320</c:v>
                </c:pt>
                <c:pt idx="490">
                  <c:v>44321</c:v>
                </c:pt>
                <c:pt idx="491">
                  <c:v>44322</c:v>
                </c:pt>
                <c:pt idx="492">
                  <c:v>44323</c:v>
                </c:pt>
                <c:pt idx="493">
                  <c:v>44324</c:v>
                </c:pt>
                <c:pt idx="494">
                  <c:v>44325</c:v>
                </c:pt>
                <c:pt idx="495">
                  <c:v>44326</c:v>
                </c:pt>
                <c:pt idx="496">
                  <c:v>44327</c:v>
                </c:pt>
                <c:pt idx="497">
                  <c:v>44328</c:v>
                </c:pt>
                <c:pt idx="498">
                  <c:v>44329</c:v>
                </c:pt>
                <c:pt idx="499">
                  <c:v>44330</c:v>
                </c:pt>
                <c:pt idx="500">
                  <c:v>44331</c:v>
                </c:pt>
                <c:pt idx="501">
                  <c:v>44332</c:v>
                </c:pt>
                <c:pt idx="502">
                  <c:v>44333</c:v>
                </c:pt>
                <c:pt idx="503">
                  <c:v>44334</c:v>
                </c:pt>
                <c:pt idx="504">
                  <c:v>44335</c:v>
                </c:pt>
                <c:pt idx="505">
                  <c:v>44336</c:v>
                </c:pt>
                <c:pt idx="506">
                  <c:v>44337</c:v>
                </c:pt>
                <c:pt idx="507">
                  <c:v>44338</c:v>
                </c:pt>
                <c:pt idx="508">
                  <c:v>44339</c:v>
                </c:pt>
                <c:pt idx="509">
                  <c:v>44340</c:v>
                </c:pt>
                <c:pt idx="510">
                  <c:v>44341</c:v>
                </c:pt>
                <c:pt idx="511">
                  <c:v>44342</c:v>
                </c:pt>
                <c:pt idx="512">
                  <c:v>44343</c:v>
                </c:pt>
                <c:pt idx="513">
                  <c:v>44344</c:v>
                </c:pt>
                <c:pt idx="514">
                  <c:v>44345</c:v>
                </c:pt>
                <c:pt idx="515">
                  <c:v>44346</c:v>
                </c:pt>
                <c:pt idx="516">
                  <c:v>44347</c:v>
                </c:pt>
                <c:pt idx="517">
                  <c:v>44348</c:v>
                </c:pt>
                <c:pt idx="518">
                  <c:v>44349</c:v>
                </c:pt>
                <c:pt idx="519">
                  <c:v>44350</c:v>
                </c:pt>
                <c:pt idx="520">
                  <c:v>44351</c:v>
                </c:pt>
                <c:pt idx="521">
                  <c:v>44352</c:v>
                </c:pt>
                <c:pt idx="522">
                  <c:v>44353</c:v>
                </c:pt>
                <c:pt idx="523">
                  <c:v>44354</c:v>
                </c:pt>
                <c:pt idx="524">
                  <c:v>44355</c:v>
                </c:pt>
                <c:pt idx="525">
                  <c:v>44356</c:v>
                </c:pt>
                <c:pt idx="526">
                  <c:v>44357</c:v>
                </c:pt>
                <c:pt idx="527">
                  <c:v>44358</c:v>
                </c:pt>
                <c:pt idx="528">
                  <c:v>44359</c:v>
                </c:pt>
                <c:pt idx="529">
                  <c:v>44360</c:v>
                </c:pt>
                <c:pt idx="530">
                  <c:v>44361</c:v>
                </c:pt>
                <c:pt idx="531">
                  <c:v>44362</c:v>
                </c:pt>
                <c:pt idx="532">
                  <c:v>44363</c:v>
                </c:pt>
                <c:pt idx="533">
                  <c:v>44364</c:v>
                </c:pt>
                <c:pt idx="534">
                  <c:v>44365</c:v>
                </c:pt>
                <c:pt idx="535">
                  <c:v>44366</c:v>
                </c:pt>
                <c:pt idx="536">
                  <c:v>44367</c:v>
                </c:pt>
                <c:pt idx="537">
                  <c:v>44368</c:v>
                </c:pt>
                <c:pt idx="538">
                  <c:v>44369</c:v>
                </c:pt>
                <c:pt idx="539">
                  <c:v>44370</c:v>
                </c:pt>
                <c:pt idx="540">
                  <c:v>44371</c:v>
                </c:pt>
                <c:pt idx="541">
                  <c:v>44372</c:v>
                </c:pt>
                <c:pt idx="542">
                  <c:v>44373</c:v>
                </c:pt>
                <c:pt idx="543">
                  <c:v>44374</c:v>
                </c:pt>
                <c:pt idx="544">
                  <c:v>44375</c:v>
                </c:pt>
                <c:pt idx="545">
                  <c:v>44376</c:v>
                </c:pt>
                <c:pt idx="546">
                  <c:v>44377</c:v>
                </c:pt>
                <c:pt idx="547">
                  <c:v>44378</c:v>
                </c:pt>
                <c:pt idx="548">
                  <c:v>44379</c:v>
                </c:pt>
                <c:pt idx="549">
                  <c:v>44380</c:v>
                </c:pt>
                <c:pt idx="550">
                  <c:v>44381</c:v>
                </c:pt>
                <c:pt idx="551">
                  <c:v>44382</c:v>
                </c:pt>
                <c:pt idx="552">
                  <c:v>44383</c:v>
                </c:pt>
                <c:pt idx="553">
                  <c:v>44384</c:v>
                </c:pt>
                <c:pt idx="554">
                  <c:v>44385</c:v>
                </c:pt>
                <c:pt idx="555">
                  <c:v>44386</c:v>
                </c:pt>
                <c:pt idx="556">
                  <c:v>44387</c:v>
                </c:pt>
                <c:pt idx="557">
                  <c:v>44388</c:v>
                </c:pt>
                <c:pt idx="558">
                  <c:v>44389</c:v>
                </c:pt>
                <c:pt idx="559">
                  <c:v>44390</c:v>
                </c:pt>
                <c:pt idx="560">
                  <c:v>44391</c:v>
                </c:pt>
                <c:pt idx="561">
                  <c:v>44392</c:v>
                </c:pt>
                <c:pt idx="562">
                  <c:v>44393</c:v>
                </c:pt>
                <c:pt idx="563">
                  <c:v>44394</c:v>
                </c:pt>
                <c:pt idx="564">
                  <c:v>44395</c:v>
                </c:pt>
                <c:pt idx="565">
                  <c:v>44396</c:v>
                </c:pt>
                <c:pt idx="566">
                  <c:v>44397</c:v>
                </c:pt>
                <c:pt idx="567">
                  <c:v>44398</c:v>
                </c:pt>
                <c:pt idx="568">
                  <c:v>44399</c:v>
                </c:pt>
                <c:pt idx="569">
                  <c:v>44400</c:v>
                </c:pt>
                <c:pt idx="570">
                  <c:v>44401</c:v>
                </c:pt>
                <c:pt idx="571">
                  <c:v>44402</c:v>
                </c:pt>
                <c:pt idx="572">
                  <c:v>44403</c:v>
                </c:pt>
                <c:pt idx="573">
                  <c:v>44404</c:v>
                </c:pt>
                <c:pt idx="574">
                  <c:v>44405</c:v>
                </c:pt>
                <c:pt idx="575">
                  <c:v>44406</c:v>
                </c:pt>
                <c:pt idx="576">
                  <c:v>44407</c:v>
                </c:pt>
                <c:pt idx="577">
                  <c:v>44408</c:v>
                </c:pt>
                <c:pt idx="578">
                  <c:v>44409</c:v>
                </c:pt>
                <c:pt idx="579">
                  <c:v>44410</c:v>
                </c:pt>
                <c:pt idx="580">
                  <c:v>44411</c:v>
                </c:pt>
                <c:pt idx="581">
                  <c:v>44412</c:v>
                </c:pt>
                <c:pt idx="582">
                  <c:v>44413</c:v>
                </c:pt>
                <c:pt idx="583">
                  <c:v>44414</c:v>
                </c:pt>
                <c:pt idx="584">
                  <c:v>44415</c:v>
                </c:pt>
                <c:pt idx="585">
                  <c:v>44416</c:v>
                </c:pt>
                <c:pt idx="586">
                  <c:v>44417</c:v>
                </c:pt>
                <c:pt idx="587">
                  <c:v>44418</c:v>
                </c:pt>
                <c:pt idx="588">
                  <c:v>44419</c:v>
                </c:pt>
                <c:pt idx="589">
                  <c:v>44420</c:v>
                </c:pt>
                <c:pt idx="590">
                  <c:v>44421</c:v>
                </c:pt>
                <c:pt idx="591">
                  <c:v>44422</c:v>
                </c:pt>
                <c:pt idx="592">
                  <c:v>44423</c:v>
                </c:pt>
                <c:pt idx="593">
                  <c:v>44424</c:v>
                </c:pt>
                <c:pt idx="594">
                  <c:v>44425</c:v>
                </c:pt>
                <c:pt idx="595">
                  <c:v>44426</c:v>
                </c:pt>
                <c:pt idx="596">
                  <c:v>44427</c:v>
                </c:pt>
                <c:pt idx="597">
                  <c:v>44428</c:v>
                </c:pt>
                <c:pt idx="598">
                  <c:v>44429</c:v>
                </c:pt>
                <c:pt idx="599">
                  <c:v>44430</c:v>
                </c:pt>
                <c:pt idx="600">
                  <c:v>44431</c:v>
                </c:pt>
                <c:pt idx="601">
                  <c:v>44432</c:v>
                </c:pt>
                <c:pt idx="602">
                  <c:v>44433</c:v>
                </c:pt>
                <c:pt idx="603">
                  <c:v>44434</c:v>
                </c:pt>
                <c:pt idx="604">
                  <c:v>44435</c:v>
                </c:pt>
                <c:pt idx="605">
                  <c:v>44436</c:v>
                </c:pt>
                <c:pt idx="606">
                  <c:v>44437</c:v>
                </c:pt>
                <c:pt idx="607">
                  <c:v>44438</c:v>
                </c:pt>
                <c:pt idx="608">
                  <c:v>44439</c:v>
                </c:pt>
                <c:pt idx="609">
                  <c:v>44440</c:v>
                </c:pt>
                <c:pt idx="610">
                  <c:v>44441</c:v>
                </c:pt>
                <c:pt idx="611">
                  <c:v>44442</c:v>
                </c:pt>
                <c:pt idx="612">
                  <c:v>44443</c:v>
                </c:pt>
                <c:pt idx="613">
                  <c:v>44444</c:v>
                </c:pt>
                <c:pt idx="614">
                  <c:v>44445</c:v>
                </c:pt>
                <c:pt idx="615">
                  <c:v>44446</c:v>
                </c:pt>
                <c:pt idx="616">
                  <c:v>44447</c:v>
                </c:pt>
                <c:pt idx="617">
                  <c:v>44448</c:v>
                </c:pt>
                <c:pt idx="618">
                  <c:v>44449</c:v>
                </c:pt>
                <c:pt idx="619">
                  <c:v>44450</c:v>
                </c:pt>
                <c:pt idx="620">
                  <c:v>44451</c:v>
                </c:pt>
                <c:pt idx="621">
                  <c:v>44452</c:v>
                </c:pt>
                <c:pt idx="622">
                  <c:v>44453</c:v>
                </c:pt>
                <c:pt idx="623">
                  <c:v>44454</c:v>
                </c:pt>
                <c:pt idx="624">
                  <c:v>44455</c:v>
                </c:pt>
                <c:pt idx="625">
                  <c:v>44456</c:v>
                </c:pt>
                <c:pt idx="626">
                  <c:v>44457</c:v>
                </c:pt>
                <c:pt idx="627">
                  <c:v>44458</c:v>
                </c:pt>
                <c:pt idx="628">
                  <c:v>44459</c:v>
                </c:pt>
                <c:pt idx="629">
                  <c:v>44460</c:v>
                </c:pt>
                <c:pt idx="630">
                  <c:v>44461</c:v>
                </c:pt>
                <c:pt idx="631">
                  <c:v>44462</c:v>
                </c:pt>
                <c:pt idx="632">
                  <c:v>44463</c:v>
                </c:pt>
                <c:pt idx="633">
                  <c:v>44464</c:v>
                </c:pt>
                <c:pt idx="634">
                  <c:v>44465</c:v>
                </c:pt>
                <c:pt idx="635">
                  <c:v>44466</c:v>
                </c:pt>
                <c:pt idx="636">
                  <c:v>44467</c:v>
                </c:pt>
                <c:pt idx="637">
                  <c:v>44468</c:v>
                </c:pt>
                <c:pt idx="638">
                  <c:v>44469</c:v>
                </c:pt>
                <c:pt idx="639">
                  <c:v>44470</c:v>
                </c:pt>
                <c:pt idx="640">
                  <c:v>44471</c:v>
                </c:pt>
                <c:pt idx="641">
                  <c:v>44472</c:v>
                </c:pt>
                <c:pt idx="642">
                  <c:v>44473</c:v>
                </c:pt>
                <c:pt idx="643">
                  <c:v>44474</c:v>
                </c:pt>
                <c:pt idx="644">
                  <c:v>44475</c:v>
                </c:pt>
                <c:pt idx="645">
                  <c:v>44476</c:v>
                </c:pt>
                <c:pt idx="646">
                  <c:v>44477</c:v>
                </c:pt>
                <c:pt idx="647">
                  <c:v>44478</c:v>
                </c:pt>
                <c:pt idx="648">
                  <c:v>44479</c:v>
                </c:pt>
                <c:pt idx="649">
                  <c:v>44480</c:v>
                </c:pt>
                <c:pt idx="650">
                  <c:v>44481</c:v>
                </c:pt>
                <c:pt idx="651">
                  <c:v>44482</c:v>
                </c:pt>
                <c:pt idx="652">
                  <c:v>44483</c:v>
                </c:pt>
                <c:pt idx="653">
                  <c:v>44484</c:v>
                </c:pt>
                <c:pt idx="654">
                  <c:v>44485</c:v>
                </c:pt>
                <c:pt idx="655">
                  <c:v>44486</c:v>
                </c:pt>
                <c:pt idx="656">
                  <c:v>44487</c:v>
                </c:pt>
                <c:pt idx="657">
                  <c:v>44488</c:v>
                </c:pt>
                <c:pt idx="658">
                  <c:v>44489</c:v>
                </c:pt>
                <c:pt idx="659">
                  <c:v>44490</c:v>
                </c:pt>
                <c:pt idx="660">
                  <c:v>44491</c:v>
                </c:pt>
                <c:pt idx="661">
                  <c:v>44492</c:v>
                </c:pt>
                <c:pt idx="662">
                  <c:v>44493</c:v>
                </c:pt>
                <c:pt idx="663">
                  <c:v>44494</c:v>
                </c:pt>
                <c:pt idx="664">
                  <c:v>44495</c:v>
                </c:pt>
                <c:pt idx="665">
                  <c:v>44496</c:v>
                </c:pt>
                <c:pt idx="666">
                  <c:v>44497</c:v>
                </c:pt>
                <c:pt idx="667">
                  <c:v>44498</c:v>
                </c:pt>
                <c:pt idx="668">
                  <c:v>44499</c:v>
                </c:pt>
                <c:pt idx="669">
                  <c:v>44500</c:v>
                </c:pt>
                <c:pt idx="670">
                  <c:v>44501</c:v>
                </c:pt>
                <c:pt idx="671">
                  <c:v>44502</c:v>
                </c:pt>
                <c:pt idx="672">
                  <c:v>44503</c:v>
                </c:pt>
                <c:pt idx="673">
                  <c:v>44504</c:v>
                </c:pt>
                <c:pt idx="674">
                  <c:v>44505</c:v>
                </c:pt>
                <c:pt idx="675">
                  <c:v>44506</c:v>
                </c:pt>
                <c:pt idx="676">
                  <c:v>44507</c:v>
                </c:pt>
                <c:pt idx="677">
                  <c:v>44508</c:v>
                </c:pt>
                <c:pt idx="678">
                  <c:v>44509</c:v>
                </c:pt>
                <c:pt idx="679">
                  <c:v>44510</c:v>
                </c:pt>
                <c:pt idx="680">
                  <c:v>44511</c:v>
                </c:pt>
                <c:pt idx="681">
                  <c:v>44512</c:v>
                </c:pt>
                <c:pt idx="682">
                  <c:v>44513</c:v>
                </c:pt>
                <c:pt idx="683">
                  <c:v>44514</c:v>
                </c:pt>
                <c:pt idx="684">
                  <c:v>44515</c:v>
                </c:pt>
                <c:pt idx="685">
                  <c:v>44516</c:v>
                </c:pt>
                <c:pt idx="686">
                  <c:v>44517</c:v>
                </c:pt>
                <c:pt idx="687">
                  <c:v>44518</c:v>
                </c:pt>
                <c:pt idx="688">
                  <c:v>44519</c:v>
                </c:pt>
                <c:pt idx="689">
                  <c:v>44520</c:v>
                </c:pt>
                <c:pt idx="690">
                  <c:v>44521</c:v>
                </c:pt>
                <c:pt idx="691">
                  <c:v>44522</c:v>
                </c:pt>
                <c:pt idx="692">
                  <c:v>44523</c:v>
                </c:pt>
                <c:pt idx="693">
                  <c:v>44524</c:v>
                </c:pt>
                <c:pt idx="694">
                  <c:v>44525</c:v>
                </c:pt>
                <c:pt idx="695">
                  <c:v>44526</c:v>
                </c:pt>
                <c:pt idx="696">
                  <c:v>44527</c:v>
                </c:pt>
                <c:pt idx="697">
                  <c:v>44528</c:v>
                </c:pt>
                <c:pt idx="698">
                  <c:v>44529</c:v>
                </c:pt>
                <c:pt idx="699">
                  <c:v>44530</c:v>
                </c:pt>
                <c:pt idx="700">
                  <c:v>44531</c:v>
                </c:pt>
                <c:pt idx="701">
                  <c:v>44532</c:v>
                </c:pt>
                <c:pt idx="702">
                  <c:v>44533</c:v>
                </c:pt>
                <c:pt idx="703">
                  <c:v>44534</c:v>
                </c:pt>
                <c:pt idx="704">
                  <c:v>44535</c:v>
                </c:pt>
                <c:pt idx="705">
                  <c:v>44536</c:v>
                </c:pt>
                <c:pt idx="706">
                  <c:v>44537</c:v>
                </c:pt>
                <c:pt idx="707">
                  <c:v>44538</c:v>
                </c:pt>
                <c:pt idx="708">
                  <c:v>44539</c:v>
                </c:pt>
                <c:pt idx="709">
                  <c:v>44540</c:v>
                </c:pt>
                <c:pt idx="710">
                  <c:v>44541</c:v>
                </c:pt>
                <c:pt idx="711">
                  <c:v>44542</c:v>
                </c:pt>
                <c:pt idx="712">
                  <c:v>44543</c:v>
                </c:pt>
                <c:pt idx="713">
                  <c:v>44544</c:v>
                </c:pt>
                <c:pt idx="714">
                  <c:v>44545</c:v>
                </c:pt>
                <c:pt idx="715">
                  <c:v>44546</c:v>
                </c:pt>
                <c:pt idx="716">
                  <c:v>44547</c:v>
                </c:pt>
                <c:pt idx="717">
                  <c:v>44548</c:v>
                </c:pt>
                <c:pt idx="718">
                  <c:v>44549</c:v>
                </c:pt>
                <c:pt idx="719">
                  <c:v>44550</c:v>
                </c:pt>
                <c:pt idx="720">
                  <c:v>44551</c:v>
                </c:pt>
                <c:pt idx="721">
                  <c:v>44552</c:v>
                </c:pt>
                <c:pt idx="722">
                  <c:v>44553</c:v>
                </c:pt>
                <c:pt idx="723">
                  <c:v>44554</c:v>
                </c:pt>
                <c:pt idx="724">
                  <c:v>44555</c:v>
                </c:pt>
                <c:pt idx="725">
                  <c:v>44556</c:v>
                </c:pt>
                <c:pt idx="726">
                  <c:v>44557</c:v>
                </c:pt>
                <c:pt idx="727">
                  <c:v>44558</c:v>
                </c:pt>
                <c:pt idx="728">
                  <c:v>44559</c:v>
                </c:pt>
                <c:pt idx="729">
                  <c:v>44560</c:v>
                </c:pt>
                <c:pt idx="730">
                  <c:v>44561</c:v>
                </c:pt>
                <c:pt idx="731">
                  <c:v>44562</c:v>
                </c:pt>
                <c:pt idx="732">
                  <c:v>44563</c:v>
                </c:pt>
                <c:pt idx="733">
                  <c:v>44564</c:v>
                </c:pt>
                <c:pt idx="734">
                  <c:v>44565</c:v>
                </c:pt>
                <c:pt idx="735">
                  <c:v>44566</c:v>
                </c:pt>
                <c:pt idx="736">
                  <c:v>44567</c:v>
                </c:pt>
                <c:pt idx="737">
                  <c:v>44568</c:v>
                </c:pt>
                <c:pt idx="738">
                  <c:v>44569</c:v>
                </c:pt>
                <c:pt idx="739">
                  <c:v>44570</c:v>
                </c:pt>
                <c:pt idx="740">
                  <c:v>44571</c:v>
                </c:pt>
                <c:pt idx="741">
                  <c:v>44572</c:v>
                </c:pt>
                <c:pt idx="742">
                  <c:v>44573</c:v>
                </c:pt>
                <c:pt idx="743">
                  <c:v>44574</c:v>
                </c:pt>
                <c:pt idx="744">
                  <c:v>44575</c:v>
                </c:pt>
                <c:pt idx="745">
                  <c:v>44576</c:v>
                </c:pt>
                <c:pt idx="746">
                  <c:v>44577</c:v>
                </c:pt>
                <c:pt idx="747">
                  <c:v>44578</c:v>
                </c:pt>
                <c:pt idx="748">
                  <c:v>44579</c:v>
                </c:pt>
                <c:pt idx="749">
                  <c:v>44580</c:v>
                </c:pt>
                <c:pt idx="750">
                  <c:v>44581</c:v>
                </c:pt>
                <c:pt idx="751">
                  <c:v>44582</c:v>
                </c:pt>
                <c:pt idx="752">
                  <c:v>44583</c:v>
                </c:pt>
                <c:pt idx="753">
                  <c:v>44584</c:v>
                </c:pt>
                <c:pt idx="754">
                  <c:v>44585</c:v>
                </c:pt>
                <c:pt idx="755">
                  <c:v>44586</c:v>
                </c:pt>
                <c:pt idx="756">
                  <c:v>44587</c:v>
                </c:pt>
                <c:pt idx="757">
                  <c:v>44588</c:v>
                </c:pt>
                <c:pt idx="758">
                  <c:v>44589</c:v>
                </c:pt>
                <c:pt idx="759">
                  <c:v>44590</c:v>
                </c:pt>
                <c:pt idx="760">
                  <c:v>44591</c:v>
                </c:pt>
                <c:pt idx="761">
                  <c:v>44592</c:v>
                </c:pt>
                <c:pt idx="762">
                  <c:v>44593</c:v>
                </c:pt>
                <c:pt idx="763">
                  <c:v>44594</c:v>
                </c:pt>
                <c:pt idx="764">
                  <c:v>44595</c:v>
                </c:pt>
                <c:pt idx="765">
                  <c:v>44596</c:v>
                </c:pt>
                <c:pt idx="766">
                  <c:v>44597</c:v>
                </c:pt>
                <c:pt idx="767">
                  <c:v>44598</c:v>
                </c:pt>
                <c:pt idx="768">
                  <c:v>44599</c:v>
                </c:pt>
                <c:pt idx="769">
                  <c:v>44600</c:v>
                </c:pt>
                <c:pt idx="770">
                  <c:v>44601</c:v>
                </c:pt>
                <c:pt idx="771">
                  <c:v>44602</c:v>
                </c:pt>
                <c:pt idx="772">
                  <c:v>44603</c:v>
                </c:pt>
                <c:pt idx="773">
                  <c:v>44604</c:v>
                </c:pt>
                <c:pt idx="774">
                  <c:v>44605</c:v>
                </c:pt>
                <c:pt idx="775">
                  <c:v>44606</c:v>
                </c:pt>
                <c:pt idx="776">
                  <c:v>44607</c:v>
                </c:pt>
                <c:pt idx="777">
                  <c:v>44608</c:v>
                </c:pt>
                <c:pt idx="778">
                  <c:v>44609</c:v>
                </c:pt>
                <c:pt idx="779">
                  <c:v>44610</c:v>
                </c:pt>
                <c:pt idx="780">
                  <c:v>44611</c:v>
                </c:pt>
                <c:pt idx="781">
                  <c:v>44612</c:v>
                </c:pt>
                <c:pt idx="782">
                  <c:v>44613</c:v>
                </c:pt>
                <c:pt idx="783">
                  <c:v>44614</c:v>
                </c:pt>
                <c:pt idx="784">
                  <c:v>44615</c:v>
                </c:pt>
                <c:pt idx="785">
                  <c:v>44616</c:v>
                </c:pt>
                <c:pt idx="786">
                  <c:v>44617</c:v>
                </c:pt>
                <c:pt idx="787">
                  <c:v>44618</c:v>
                </c:pt>
                <c:pt idx="788">
                  <c:v>44619</c:v>
                </c:pt>
                <c:pt idx="789">
                  <c:v>44620</c:v>
                </c:pt>
                <c:pt idx="790">
                  <c:v>44621</c:v>
                </c:pt>
                <c:pt idx="791">
                  <c:v>44622</c:v>
                </c:pt>
                <c:pt idx="792">
                  <c:v>44623</c:v>
                </c:pt>
                <c:pt idx="793">
                  <c:v>44624</c:v>
                </c:pt>
                <c:pt idx="794">
                  <c:v>44625</c:v>
                </c:pt>
                <c:pt idx="795">
                  <c:v>44626</c:v>
                </c:pt>
                <c:pt idx="796">
                  <c:v>44627</c:v>
                </c:pt>
                <c:pt idx="797">
                  <c:v>44628</c:v>
                </c:pt>
                <c:pt idx="798">
                  <c:v>44629</c:v>
                </c:pt>
                <c:pt idx="799">
                  <c:v>44630</c:v>
                </c:pt>
                <c:pt idx="800">
                  <c:v>44631</c:v>
                </c:pt>
                <c:pt idx="801">
                  <c:v>44632</c:v>
                </c:pt>
                <c:pt idx="802">
                  <c:v>44633</c:v>
                </c:pt>
                <c:pt idx="803">
                  <c:v>44634</c:v>
                </c:pt>
                <c:pt idx="804">
                  <c:v>44635</c:v>
                </c:pt>
                <c:pt idx="805">
                  <c:v>44636</c:v>
                </c:pt>
                <c:pt idx="806">
                  <c:v>44637</c:v>
                </c:pt>
                <c:pt idx="807">
                  <c:v>44638</c:v>
                </c:pt>
                <c:pt idx="808">
                  <c:v>44639</c:v>
                </c:pt>
                <c:pt idx="809">
                  <c:v>44640</c:v>
                </c:pt>
                <c:pt idx="810">
                  <c:v>44641</c:v>
                </c:pt>
                <c:pt idx="811">
                  <c:v>44642</c:v>
                </c:pt>
                <c:pt idx="812">
                  <c:v>44643</c:v>
                </c:pt>
                <c:pt idx="813">
                  <c:v>44644</c:v>
                </c:pt>
                <c:pt idx="814">
                  <c:v>44645</c:v>
                </c:pt>
                <c:pt idx="815">
                  <c:v>44646</c:v>
                </c:pt>
                <c:pt idx="816">
                  <c:v>44647</c:v>
                </c:pt>
                <c:pt idx="817">
                  <c:v>44648</c:v>
                </c:pt>
                <c:pt idx="818">
                  <c:v>44649</c:v>
                </c:pt>
                <c:pt idx="819">
                  <c:v>44650</c:v>
                </c:pt>
                <c:pt idx="820">
                  <c:v>44651</c:v>
                </c:pt>
                <c:pt idx="821">
                  <c:v>44652</c:v>
                </c:pt>
                <c:pt idx="822">
                  <c:v>44653</c:v>
                </c:pt>
                <c:pt idx="823">
                  <c:v>44654</c:v>
                </c:pt>
                <c:pt idx="824">
                  <c:v>44655</c:v>
                </c:pt>
                <c:pt idx="825">
                  <c:v>44656</c:v>
                </c:pt>
                <c:pt idx="826">
                  <c:v>44657</c:v>
                </c:pt>
                <c:pt idx="827">
                  <c:v>44658</c:v>
                </c:pt>
                <c:pt idx="828">
                  <c:v>44659</c:v>
                </c:pt>
                <c:pt idx="829">
                  <c:v>44660</c:v>
                </c:pt>
                <c:pt idx="830">
                  <c:v>44661</c:v>
                </c:pt>
                <c:pt idx="831">
                  <c:v>44662</c:v>
                </c:pt>
                <c:pt idx="832">
                  <c:v>44663</c:v>
                </c:pt>
                <c:pt idx="833">
                  <c:v>44664</c:v>
                </c:pt>
                <c:pt idx="834">
                  <c:v>44665</c:v>
                </c:pt>
                <c:pt idx="835">
                  <c:v>44666</c:v>
                </c:pt>
                <c:pt idx="836">
                  <c:v>44667</c:v>
                </c:pt>
                <c:pt idx="837">
                  <c:v>44668</c:v>
                </c:pt>
                <c:pt idx="838">
                  <c:v>44669</c:v>
                </c:pt>
                <c:pt idx="839">
                  <c:v>44670</c:v>
                </c:pt>
                <c:pt idx="840">
                  <c:v>44671</c:v>
                </c:pt>
                <c:pt idx="841">
                  <c:v>44672</c:v>
                </c:pt>
                <c:pt idx="842">
                  <c:v>44673</c:v>
                </c:pt>
                <c:pt idx="843">
                  <c:v>44674</c:v>
                </c:pt>
                <c:pt idx="844">
                  <c:v>44675</c:v>
                </c:pt>
                <c:pt idx="845">
                  <c:v>44676</c:v>
                </c:pt>
                <c:pt idx="846">
                  <c:v>44677</c:v>
                </c:pt>
                <c:pt idx="847">
                  <c:v>44678</c:v>
                </c:pt>
                <c:pt idx="848">
                  <c:v>44679</c:v>
                </c:pt>
                <c:pt idx="849">
                  <c:v>44680</c:v>
                </c:pt>
                <c:pt idx="850">
                  <c:v>44681</c:v>
                </c:pt>
                <c:pt idx="851">
                  <c:v>44682</c:v>
                </c:pt>
                <c:pt idx="852">
                  <c:v>44683</c:v>
                </c:pt>
                <c:pt idx="853">
                  <c:v>44684</c:v>
                </c:pt>
                <c:pt idx="854">
                  <c:v>44685</c:v>
                </c:pt>
                <c:pt idx="855">
                  <c:v>44686</c:v>
                </c:pt>
                <c:pt idx="856">
                  <c:v>44687</c:v>
                </c:pt>
                <c:pt idx="857">
                  <c:v>44688</c:v>
                </c:pt>
                <c:pt idx="858">
                  <c:v>44689</c:v>
                </c:pt>
                <c:pt idx="859">
                  <c:v>44690</c:v>
                </c:pt>
                <c:pt idx="860">
                  <c:v>44691</c:v>
                </c:pt>
                <c:pt idx="861">
                  <c:v>44692</c:v>
                </c:pt>
                <c:pt idx="862">
                  <c:v>44693</c:v>
                </c:pt>
                <c:pt idx="863">
                  <c:v>44694</c:v>
                </c:pt>
                <c:pt idx="864">
                  <c:v>44695</c:v>
                </c:pt>
                <c:pt idx="865">
                  <c:v>44696</c:v>
                </c:pt>
                <c:pt idx="866">
                  <c:v>44697</c:v>
                </c:pt>
                <c:pt idx="867">
                  <c:v>44698</c:v>
                </c:pt>
                <c:pt idx="868">
                  <c:v>44699</c:v>
                </c:pt>
                <c:pt idx="869">
                  <c:v>44700</c:v>
                </c:pt>
                <c:pt idx="870">
                  <c:v>44701</c:v>
                </c:pt>
                <c:pt idx="871">
                  <c:v>44702</c:v>
                </c:pt>
                <c:pt idx="872">
                  <c:v>44703</c:v>
                </c:pt>
                <c:pt idx="873">
                  <c:v>44704</c:v>
                </c:pt>
                <c:pt idx="874">
                  <c:v>44705</c:v>
                </c:pt>
                <c:pt idx="875">
                  <c:v>44706</c:v>
                </c:pt>
                <c:pt idx="876">
                  <c:v>44707</c:v>
                </c:pt>
                <c:pt idx="877">
                  <c:v>44708</c:v>
                </c:pt>
                <c:pt idx="878">
                  <c:v>44709</c:v>
                </c:pt>
                <c:pt idx="879">
                  <c:v>44710</c:v>
                </c:pt>
                <c:pt idx="880">
                  <c:v>44711</c:v>
                </c:pt>
                <c:pt idx="881">
                  <c:v>44712</c:v>
                </c:pt>
                <c:pt idx="882">
                  <c:v>44713</c:v>
                </c:pt>
                <c:pt idx="883">
                  <c:v>44714</c:v>
                </c:pt>
                <c:pt idx="884">
                  <c:v>44715</c:v>
                </c:pt>
                <c:pt idx="885">
                  <c:v>44716</c:v>
                </c:pt>
                <c:pt idx="886">
                  <c:v>44717</c:v>
                </c:pt>
                <c:pt idx="887">
                  <c:v>44718</c:v>
                </c:pt>
                <c:pt idx="888">
                  <c:v>44719</c:v>
                </c:pt>
                <c:pt idx="889">
                  <c:v>44720</c:v>
                </c:pt>
                <c:pt idx="890">
                  <c:v>44721</c:v>
                </c:pt>
                <c:pt idx="891">
                  <c:v>44722</c:v>
                </c:pt>
                <c:pt idx="892">
                  <c:v>44723</c:v>
                </c:pt>
                <c:pt idx="893">
                  <c:v>44724</c:v>
                </c:pt>
                <c:pt idx="894">
                  <c:v>44725</c:v>
                </c:pt>
                <c:pt idx="895">
                  <c:v>44726</c:v>
                </c:pt>
                <c:pt idx="896">
                  <c:v>44727</c:v>
                </c:pt>
                <c:pt idx="897">
                  <c:v>44728</c:v>
                </c:pt>
                <c:pt idx="898">
                  <c:v>44729</c:v>
                </c:pt>
                <c:pt idx="899">
                  <c:v>44730</c:v>
                </c:pt>
                <c:pt idx="900">
                  <c:v>44731</c:v>
                </c:pt>
                <c:pt idx="901">
                  <c:v>44732</c:v>
                </c:pt>
                <c:pt idx="902">
                  <c:v>44733</c:v>
                </c:pt>
                <c:pt idx="903">
                  <c:v>44734</c:v>
                </c:pt>
                <c:pt idx="904">
                  <c:v>44735</c:v>
                </c:pt>
                <c:pt idx="905">
                  <c:v>44736</c:v>
                </c:pt>
                <c:pt idx="906">
                  <c:v>44737</c:v>
                </c:pt>
                <c:pt idx="907">
                  <c:v>44738</c:v>
                </c:pt>
                <c:pt idx="908">
                  <c:v>44739</c:v>
                </c:pt>
                <c:pt idx="909">
                  <c:v>44740</c:v>
                </c:pt>
                <c:pt idx="910">
                  <c:v>44741</c:v>
                </c:pt>
                <c:pt idx="911">
                  <c:v>44742</c:v>
                </c:pt>
                <c:pt idx="912">
                  <c:v>44743</c:v>
                </c:pt>
                <c:pt idx="913">
                  <c:v>44744</c:v>
                </c:pt>
                <c:pt idx="914">
                  <c:v>44745</c:v>
                </c:pt>
                <c:pt idx="915">
                  <c:v>44746</c:v>
                </c:pt>
                <c:pt idx="916">
                  <c:v>44747</c:v>
                </c:pt>
                <c:pt idx="917">
                  <c:v>44748</c:v>
                </c:pt>
                <c:pt idx="918">
                  <c:v>44749</c:v>
                </c:pt>
                <c:pt idx="919">
                  <c:v>44750</c:v>
                </c:pt>
                <c:pt idx="920">
                  <c:v>44751</c:v>
                </c:pt>
                <c:pt idx="921">
                  <c:v>44752</c:v>
                </c:pt>
                <c:pt idx="922">
                  <c:v>44753</c:v>
                </c:pt>
                <c:pt idx="923">
                  <c:v>44754</c:v>
                </c:pt>
                <c:pt idx="924">
                  <c:v>44755</c:v>
                </c:pt>
                <c:pt idx="925">
                  <c:v>44756</c:v>
                </c:pt>
                <c:pt idx="926">
                  <c:v>44757</c:v>
                </c:pt>
                <c:pt idx="927">
                  <c:v>44758</c:v>
                </c:pt>
                <c:pt idx="928">
                  <c:v>44759</c:v>
                </c:pt>
                <c:pt idx="929">
                  <c:v>44760</c:v>
                </c:pt>
                <c:pt idx="930">
                  <c:v>44761</c:v>
                </c:pt>
                <c:pt idx="931">
                  <c:v>44762</c:v>
                </c:pt>
                <c:pt idx="932">
                  <c:v>44763</c:v>
                </c:pt>
                <c:pt idx="933">
                  <c:v>44764</c:v>
                </c:pt>
                <c:pt idx="934">
                  <c:v>44765</c:v>
                </c:pt>
                <c:pt idx="935">
                  <c:v>44766</c:v>
                </c:pt>
                <c:pt idx="936">
                  <c:v>44767</c:v>
                </c:pt>
                <c:pt idx="937">
                  <c:v>44768</c:v>
                </c:pt>
                <c:pt idx="938">
                  <c:v>44769</c:v>
                </c:pt>
                <c:pt idx="939">
                  <c:v>44770</c:v>
                </c:pt>
                <c:pt idx="940">
                  <c:v>44771</c:v>
                </c:pt>
                <c:pt idx="941">
                  <c:v>44772</c:v>
                </c:pt>
                <c:pt idx="942">
                  <c:v>44773</c:v>
                </c:pt>
                <c:pt idx="943">
                  <c:v>44774</c:v>
                </c:pt>
                <c:pt idx="944">
                  <c:v>44775</c:v>
                </c:pt>
                <c:pt idx="945">
                  <c:v>44776</c:v>
                </c:pt>
                <c:pt idx="946">
                  <c:v>44777</c:v>
                </c:pt>
                <c:pt idx="947">
                  <c:v>44778</c:v>
                </c:pt>
                <c:pt idx="948">
                  <c:v>44779</c:v>
                </c:pt>
                <c:pt idx="949">
                  <c:v>44780</c:v>
                </c:pt>
                <c:pt idx="950">
                  <c:v>44781</c:v>
                </c:pt>
                <c:pt idx="951">
                  <c:v>44782</c:v>
                </c:pt>
                <c:pt idx="952">
                  <c:v>44783</c:v>
                </c:pt>
                <c:pt idx="953">
                  <c:v>44784</c:v>
                </c:pt>
                <c:pt idx="954">
                  <c:v>44785</c:v>
                </c:pt>
                <c:pt idx="955">
                  <c:v>44786</c:v>
                </c:pt>
                <c:pt idx="956">
                  <c:v>44787</c:v>
                </c:pt>
                <c:pt idx="957">
                  <c:v>44788</c:v>
                </c:pt>
                <c:pt idx="958">
                  <c:v>44789</c:v>
                </c:pt>
                <c:pt idx="959">
                  <c:v>44790</c:v>
                </c:pt>
                <c:pt idx="960">
                  <c:v>44791</c:v>
                </c:pt>
                <c:pt idx="961">
                  <c:v>44792</c:v>
                </c:pt>
                <c:pt idx="962">
                  <c:v>44793</c:v>
                </c:pt>
                <c:pt idx="963">
                  <c:v>44794</c:v>
                </c:pt>
                <c:pt idx="964">
                  <c:v>44795</c:v>
                </c:pt>
                <c:pt idx="965">
                  <c:v>44796</c:v>
                </c:pt>
                <c:pt idx="966">
                  <c:v>44797</c:v>
                </c:pt>
                <c:pt idx="967">
                  <c:v>44798</c:v>
                </c:pt>
                <c:pt idx="968">
                  <c:v>44799</c:v>
                </c:pt>
                <c:pt idx="969">
                  <c:v>44800</c:v>
                </c:pt>
                <c:pt idx="970">
                  <c:v>44801</c:v>
                </c:pt>
                <c:pt idx="971">
                  <c:v>44802</c:v>
                </c:pt>
                <c:pt idx="972">
                  <c:v>44803</c:v>
                </c:pt>
                <c:pt idx="973">
                  <c:v>44804</c:v>
                </c:pt>
                <c:pt idx="974">
                  <c:v>44805</c:v>
                </c:pt>
                <c:pt idx="975">
                  <c:v>44806</c:v>
                </c:pt>
                <c:pt idx="976">
                  <c:v>44807</c:v>
                </c:pt>
                <c:pt idx="977">
                  <c:v>44808</c:v>
                </c:pt>
                <c:pt idx="978">
                  <c:v>44809</c:v>
                </c:pt>
                <c:pt idx="979">
                  <c:v>44810</c:v>
                </c:pt>
                <c:pt idx="980">
                  <c:v>44811</c:v>
                </c:pt>
                <c:pt idx="981">
                  <c:v>44812</c:v>
                </c:pt>
                <c:pt idx="982">
                  <c:v>44813</c:v>
                </c:pt>
                <c:pt idx="983">
                  <c:v>44814</c:v>
                </c:pt>
                <c:pt idx="984">
                  <c:v>44815</c:v>
                </c:pt>
                <c:pt idx="985">
                  <c:v>44816</c:v>
                </c:pt>
                <c:pt idx="986">
                  <c:v>44817</c:v>
                </c:pt>
                <c:pt idx="987">
                  <c:v>44818</c:v>
                </c:pt>
                <c:pt idx="988">
                  <c:v>44819</c:v>
                </c:pt>
                <c:pt idx="989">
                  <c:v>44820</c:v>
                </c:pt>
                <c:pt idx="990">
                  <c:v>44821</c:v>
                </c:pt>
                <c:pt idx="991">
                  <c:v>44822</c:v>
                </c:pt>
                <c:pt idx="992">
                  <c:v>44823</c:v>
                </c:pt>
                <c:pt idx="993">
                  <c:v>44824</c:v>
                </c:pt>
                <c:pt idx="994">
                  <c:v>44825</c:v>
                </c:pt>
                <c:pt idx="995">
                  <c:v>44826</c:v>
                </c:pt>
                <c:pt idx="996">
                  <c:v>44827</c:v>
                </c:pt>
                <c:pt idx="997">
                  <c:v>44828</c:v>
                </c:pt>
                <c:pt idx="998">
                  <c:v>44829</c:v>
                </c:pt>
                <c:pt idx="999">
                  <c:v>44830</c:v>
                </c:pt>
                <c:pt idx="1000">
                  <c:v>44831</c:v>
                </c:pt>
                <c:pt idx="1001">
                  <c:v>44832</c:v>
                </c:pt>
                <c:pt idx="1002">
                  <c:v>44833</c:v>
                </c:pt>
                <c:pt idx="1003">
                  <c:v>44834</c:v>
                </c:pt>
                <c:pt idx="1004">
                  <c:v>44835</c:v>
                </c:pt>
                <c:pt idx="1005">
                  <c:v>44836</c:v>
                </c:pt>
                <c:pt idx="1006">
                  <c:v>44837</c:v>
                </c:pt>
                <c:pt idx="1007">
                  <c:v>44838</c:v>
                </c:pt>
                <c:pt idx="1008">
                  <c:v>44839</c:v>
                </c:pt>
                <c:pt idx="1009">
                  <c:v>44840</c:v>
                </c:pt>
                <c:pt idx="1010">
                  <c:v>44841</c:v>
                </c:pt>
                <c:pt idx="1011">
                  <c:v>44842</c:v>
                </c:pt>
                <c:pt idx="1012">
                  <c:v>44843</c:v>
                </c:pt>
                <c:pt idx="1013">
                  <c:v>44844</c:v>
                </c:pt>
                <c:pt idx="1014">
                  <c:v>44845</c:v>
                </c:pt>
                <c:pt idx="1015">
                  <c:v>44846</c:v>
                </c:pt>
                <c:pt idx="1016">
                  <c:v>44847</c:v>
                </c:pt>
                <c:pt idx="1017">
                  <c:v>44848</c:v>
                </c:pt>
                <c:pt idx="1018">
                  <c:v>44849</c:v>
                </c:pt>
                <c:pt idx="1019">
                  <c:v>44850</c:v>
                </c:pt>
                <c:pt idx="1020">
                  <c:v>44851</c:v>
                </c:pt>
                <c:pt idx="1021">
                  <c:v>44852</c:v>
                </c:pt>
                <c:pt idx="1022">
                  <c:v>44853</c:v>
                </c:pt>
                <c:pt idx="1023">
                  <c:v>44854</c:v>
                </c:pt>
                <c:pt idx="1024">
                  <c:v>44855</c:v>
                </c:pt>
                <c:pt idx="1025">
                  <c:v>44856</c:v>
                </c:pt>
                <c:pt idx="1026">
                  <c:v>44857</c:v>
                </c:pt>
                <c:pt idx="1027">
                  <c:v>44858</c:v>
                </c:pt>
                <c:pt idx="1028">
                  <c:v>44859</c:v>
                </c:pt>
                <c:pt idx="1029">
                  <c:v>44860</c:v>
                </c:pt>
                <c:pt idx="1030">
                  <c:v>44861</c:v>
                </c:pt>
                <c:pt idx="1031">
                  <c:v>44862</c:v>
                </c:pt>
                <c:pt idx="1032">
                  <c:v>44863</c:v>
                </c:pt>
                <c:pt idx="1033">
                  <c:v>44864</c:v>
                </c:pt>
                <c:pt idx="1034">
                  <c:v>44865</c:v>
                </c:pt>
                <c:pt idx="1035">
                  <c:v>44866</c:v>
                </c:pt>
                <c:pt idx="1036">
                  <c:v>44867</c:v>
                </c:pt>
                <c:pt idx="1037">
                  <c:v>44868</c:v>
                </c:pt>
                <c:pt idx="1038">
                  <c:v>44869</c:v>
                </c:pt>
                <c:pt idx="1039">
                  <c:v>44870</c:v>
                </c:pt>
                <c:pt idx="1040">
                  <c:v>44871</c:v>
                </c:pt>
                <c:pt idx="1041">
                  <c:v>44872</c:v>
                </c:pt>
                <c:pt idx="1042">
                  <c:v>44873</c:v>
                </c:pt>
                <c:pt idx="1043">
                  <c:v>44874</c:v>
                </c:pt>
                <c:pt idx="1044">
                  <c:v>44875</c:v>
                </c:pt>
                <c:pt idx="1045">
                  <c:v>44876</c:v>
                </c:pt>
                <c:pt idx="1046">
                  <c:v>44877</c:v>
                </c:pt>
                <c:pt idx="1047">
                  <c:v>44878</c:v>
                </c:pt>
                <c:pt idx="1048">
                  <c:v>44879</c:v>
                </c:pt>
                <c:pt idx="1049">
                  <c:v>44880</c:v>
                </c:pt>
                <c:pt idx="1050">
                  <c:v>44881</c:v>
                </c:pt>
                <c:pt idx="1051">
                  <c:v>44882</c:v>
                </c:pt>
                <c:pt idx="1052">
                  <c:v>44883</c:v>
                </c:pt>
                <c:pt idx="1053">
                  <c:v>44884</c:v>
                </c:pt>
                <c:pt idx="1054">
                  <c:v>44885</c:v>
                </c:pt>
                <c:pt idx="1055">
                  <c:v>44886</c:v>
                </c:pt>
                <c:pt idx="1056">
                  <c:v>44887</c:v>
                </c:pt>
                <c:pt idx="1057">
                  <c:v>44888</c:v>
                </c:pt>
                <c:pt idx="1058">
                  <c:v>44889</c:v>
                </c:pt>
                <c:pt idx="1059">
                  <c:v>44890</c:v>
                </c:pt>
                <c:pt idx="1060">
                  <c:v>44891</c:v>
                </c:pt>
                <c:pt idx="1061">
                  <c:v>44892</c:v>
                </c:pt>
                <c:pt idx="1062">
                  <c:v>44893</c:v>
                </c:pt>
                <c:pt idx="1063">
                  <c:v>44894</c:v>
                </c:pt>
                <c:pt idx="1064">
                  <c:v>44895</c:v>
                </c:pt>
                <c:pt idx="1065">
                  <c:v>44896</c:v>
                </c:pt>
                <c:pt idx="1066">
                  <c:v>44897</c:v>
                </c:pt>
                <c:pt idx="1067">
                  <c:v>44898</c:v>
                </c:pt>
                <c:pt idx="1068">
                  <c:v>44899</c:v>
                </c:pt>
                <c:pt idx="1069">
                  <c:v>44900</c:v>
                </c:pt>
                <c:pt idx="1070">
                  <c:v>44901</c:v>
                </c:pt>
                <c:pt idx="1071">
                  <c:v>44902</c:v>
                </c:pt>
                <c:pt idx="1072">
                  <c:v>44903</c:v>
                </c:pt>
                <c:pt idx="1073">
                  <c:v>44904</c:v>
                </c:pt>
                <c:pt idx="1074">
                  <c:v>44905</c:v>
                </c:pt>
                <c:pt idx="1075">
                  <c:v>44906</c:v>
                </c:pt>
                <c:pt idx="1076">
                  <c:v>44907</c:v>
                </c:pt>
                <c:pt idx="1077">
                  <c:v>44908</c:v>
                </c:pt>
                <c:pt idx="1078">
                  <c:v>44909</c:v>
                </c:pt>
                <c:pt idx="1079">
                  <c:v>44910</c:v>
                </c:pt>
                <c:pt idx="1080">
                  <c:v>44911</c:v>
                </c:pt>
                <c:pt idx="1081">
                  <c:v>44912</c:v>
                </c:pt>
                <c:pt idx="1082">
                  <c:v>44913</c:v>
                </c:pt>
                <c:pt idx="1083">
                  <c:v>44914</c:v>
                </c:pt>
                <c:pt idx="1084">
                  <c:v>44915</c:v>
                </c:pt>
                <c:pt idx="1085">
                  <c:v>44916</c:v>
                </c:pt>
                <c:pt idx="1086">
                  <c:v>44917</c:v>
                </c:pt>
                <c:pt idx="1087">
                  <c:v>44918</c:v>
                </c:pt>
                <c:pt idx="1088">
                  <c:v>44919</c:v>
                </c:pt>
                <c:pt idx="1089">
                  <c:v>44920</c:v>
                </c:pt>
                <c:pt idx="1090">
                  <c:v>44921</c:v>
                </c:pt>
                <c:pt idx="1091">
                  <c:v>44922</c:v>
                </c:pt>
                <c:pt idx="1092">
                  <c:v>44923</c:v>
                </c:pt>
                <c:pt idx="1093">
                  <c:v>44924</c:v>
                </c:pt>
                <c:pt idx="1094">
                  <c:v>44925</c:v>
                </c:pt>
                <c:pt idx="1095">
                  <c:v>44926</c:v>
                </c:pt>
                <c:pt idx="1096">
                  <c:v>44927</c:v>
                </c:pt>
                <c:pt idx="1097">
                  <c:v>44928</c:v>
                </c:pt>
                <c:pt idx="1098">
                  <c:v>44929</c:v>
                </c:pt>
                <c:pt idx="1099">
                  <c:v>44930</c:v>
                </c:pt>
                <c:pt idx="1100">
                  <c:v>44931</c:v>
                </c:pt>
                <c:pt idx="1101">
                  <c:v>44932</c:v>
                </c:pt>
                <c:pt idx="1102">
                  <c:v>44933</c:v>
                </c:pt>
                <c:pt idx="1103">
                  <c:v>44934</c:v>
                </c:pt>
                <c:pt idx="1104">
                  <c:v>44935</c:v>
                </c:pt>
                <c:pt idx="1105">
                  <c:v>44936</c:v>
                </c:pt>
                <c:pt idx="1106">
                  <c:v>44937</c:v>
                </c:pt>
                <c:pt idx="1107">
                  <c:v>44938</c:v>
                </c:pt>
                <c:pt idx="1108">
                  <c:v>44939</c:v>
                </c:pt>
                <c:pt idx="1109">
                  <c:v>44940</c:v>
                </c:pt>
                <c:pt idx="1110">
                  <c:v>44941</c:v>
                </c:pt>
                <c:pt idx="1111">
                  <c:v>44942</c:v>
                </c:pt>
                <c:pt idx="1112">
                  <c:v>44943</c:v>
                </c:pt>
                <c:pt idx="1113">
                  <c:v>44944</c:v>
                </c:pt>
                <c:pt idx="1114">
                  <c:v>44945</c:v>
                </c:pt>
                <c:pt idx="1115">
                  <c:v>44946</c:v>
                </c:pt>
                <c:pt idx="1116">
                  <c:v>44947</c:v>
                </c:pt>
                <c:pt idx="1117">
                  <c:v>44948</c:v>
                </c:pt>
                <c:pt idx="1118">
                  <c:v>44949</c:v>
                </c:pt>
                <c:pt idx="1119">
                  <c:v>44950</c:v>
                </c:pt>
                <c:pt idx="1120">
                  <c:v>44951</c:v>
                </c:pt>
                <c:pt idx="1121">
                  <c:v>44952</c:v>
                </c:pt>
                <c:pt idx="1122">
                  <c:v>44953</c:v>
                </c:pt>
                <c:pt idx="1123">
                  <c:v>44954</c:v>
                </c:pt>
                <c:pt idx="1124">
                  <c:v>44955</c:v>
                </c:pt>
                <c:pt idx="1125">
                  <c:v>44956</c:v>
                </c:pt>
                <c:pt idx="1126">
                  <c:v>44957</c:v>
                </c:pt>
                <c:pt idx="1127">
                  <c:v>44958</c:v>
                </c:pt>
                <c:pt idx="1128">
                  <c:v>44959</c:v>
                </c:pt>
                <c:pt idx="1129">
                  <c:v>44960</c:v>
                </c:pt>
                <c:pt idx="1130">
                  <c:v>44961</c:v>
                </c:pt>
                <c:pt idx="1131">
                  <c:v>44962</c:v>
                </c:pt>
                <c:pt idx="1132">
                  <c:v>44963</c:v>
                </c:pt>
                <c:pt idx="1133">
                  <c:v>44964</c:v>
                </c:pt>
                <c:pt idx="1134">
                  <c:v>44965</c:v>
                </c:pt>
                <c:pt idx="1135">
                  <c:v>44966</c:v>
                </c:pt>
                <c:pt idx="1136">
                  <c:v>44967</c:v>
                </c:pt>
                <c:pt idx="1137">
                  <c:v>44968</c:v>
                </c:pt>
                <c:pt idx="1138">
                  <c:v>44969</c:v>
                </c:pt>
                <c:pt idx="1139">
                  <c:v>44970</c:v>
                </c:pt>
                <c:pt idx="1140">
                  <c:v>44971</c:v>
                </c:pt>
                <c:pt idx="1141">
                  <c:v>44972</c:v>
                </c:pt>
                <c:pt idx="1142">
                  <c:v>44973</c:v>
                </c:pt>
                <c:pt idx="1143">
                  <c:v>44974</c:v>
                </c:pt>
                <c:pt idx="1144">
                  <c:v>44975</c:v>
                </c:pt>
                <c:pt idx="1145">
                  <c:v>44976</c:v>
                </c:pt>
                <c:pt idx="1146">
                  <c:v>44977</c:v>
                </c:pt>
                <c:pt idx="1147">
                  <c:v>44978</c:v>
                </c:pt>
                <c:pt idx="1148">
                  <c:v>44979</c:v>
                </c:pt>
                <c:pt idx="1149">
                  <c:v>44980</c:v>
                </c:pt>
                <c:pt idx="1150">
                  <c:v>44981</c:v>
                </c:pt>
                <c:pt idx="1151">
                  <c:v>44982</c:v>
                </c:pt>
                <c:pt idx="1152">
                  <c:v>44983</c:v>
                </c:pt>
                <c:pt idx="1153">
                  <c:v>44984</c:v>
                </c:pt>
                <c:pt idx="1154">
                  <c:v>44985</c:v>
                </c:pt>
                <c:pt idx="1155">
                  <c:v>44986</c:v>
                </c:pt>
                <c:pt idx="1156">
                  <c:v>44987</c:v>
                </c:pt>
                <c:pt idx="1157">
                  <c:v>44988</c:v>
                </c:pt>
                <c:pt idx="1158">
                  <c:v>44989</c:v>
                </c:pt>
                <c:pt idx="1159">
                  <c:v>44990</c:v>
                </c:pt>
                <c:pt idx="1160">
                  <c:v>44991</c:v>
                </c:pt>
                <c:pt idx="1161">
                  <c:v>44992</c:v>
                </c:pt>
                <c:pt idx="1162">
                  <c:v>44993</c:v>
                </c:pt>
                <c:pt idx="1163">
                  <c:v>44994</c:v>
                </c:pt>
                <c:pt idx="1164">
                  <c:v>44995</c:v>
                </c:pt>
                <c:pt idx="1165">
                  <c:v>44996</c:v>
                </c:pt>
                <c:pt idx="1166">
                  <c:v>44997</c:v>
                </c:pt>
                <c:pt idx="1167">
                  <c:v>44998</c:v>
                </c:pt>
                <c:pt idx="1168">
                  <c:v>44999</c:v>
                </c:pt>
                <c:pt idx="1169">
                  <c:v>45000</c:v>
                </c:pt>
                <c:pt idx="1170">
                  <c:v>45001</c:v>
                </c:pt>
                <c:pt idx="1171">
                  <c:v>45002</c:v>
                </c:pt>
                <c:pt idx="1172">
                  <c:v>45003</c:v>
                </c:pt>
                <c:pt idx="1173">
                  <c:v>45004</c:v>
                </c:pt>
                <c:pt idx="1174">
                  <c:v>45005</c:v>
                </c:pt>
                <c:pt idx="1175">
                  <c:v>45006</c:v>
                </c:pt>
                <c:pt idx="1176">
                  <c:v>45007</c:v>
                </c:pt>
                <c:pt idx="1177">
                  <c:v>45008</c:v>
                </c:pt>
                <c:pt idx="1178">
                  <c:v>45009</c:v>
                </c:pt>
                <c:pt idx="1179">
                  <c:v>45010</c:v>
                </c:pt>
                <c:pt idx="1180">
                  <c:v>45011</c:v>
                </c:pt>
                <c:pt idx="1181">
                  <c:v>45012</c:v>
                </c:pt>
                <c:pt idx="1182">
                  <c:v>45013</c:v>
                </c:pt>
                <c:pt idx="1183">
                  <c:v>45014</c:v>
                </c:pt>
                <c:pt idx="1184">
                  <c:v>45015</c:v>
                </c:pt>
                <c:pt idx="1185">
                  <c:v>45016</c:v>
                </c:pt>
                <c:pt idx="1186">
                  <c:v>45017</c:v>
                </c:pt>
                <c:pt idx="1187">
                  <c:v>45018</c:v>
                </c:pt>
                <c:pt idx="1188">
                  <c:v>45019</c:v>
                </c:pt>
                <c:pt idx="1189">
                  <c:v>45020</c:v>
                </c:pt>
                <c:pt idx="1190">
                  <c:v>45021</c:v>
                </c:pt>
                <c:pt idx="1191">
                  <c:v>45022</c:v>
                </c:pt>
                <c:pt idx="1192">
                  <c:v>45023</c:v>
                </c:pt>
                <c:pt idx="1193">
                  <c:v>45024</c:v>
                </c:pt>
                <c:pt idx="1194">
                  <c:v>45025</c:v>
                </c:pt>
                <c:pt idx="1195">
                  <c:v>45026</c:v>
                </c:pt>
                <c:pt idx="1196">
                  <c:v>45027</c:v>
                </c:pt>
                <c:pt idx="1197">
                  <c:v>45028</c:v>
                </c:pt>
                <c:pt idx="1198">
                  <c:v>45029</c:v>
                </c:pt>
                <c:pt idx="1199">
                  <c:v>45030</c:v>
                </c:pt>
                <c:pt idx="1200">
                  <c:v>45031</c:v>
                </c:pt>
                <c:pt idx="1201">
                  <c:v>45032</c:v>
                </c:pt>
                <c:pt idx="1202">
                  <c:v>45033</c:v>
                </c:pt>
                <c:pt idx="1203">
                  <c:v>45034</c:v>
                </c:pt>
                <c:pt idx="1204">
                  <c:v>45035</c:v>
                </c:pt>
                <c:pt idx="1205">
                  <c:v>45036</c:v>
                </c:pt>
                <c:pt idx="1206">
                  <c:v>45037</c:v>
                </c:pt>
                <c:pt idx="1207">
                  <c:v>45038</c:v>
                </c:pt>
                <c:pt idx="1208">
                  <c:v>45039</c:v>
                </c:pt>
                <c:pt idx="1209">
                  <c:v>45040</c:v>
                </c:pt>
                <c:pt idx="1210">
                  <c:v>45041</c:v>
                </c:pt>
                <c:pt idx="1211">
                  <c:v>45042</c:v>
                </c:pt>
                <c:pt idx="1212">
                  <c:v>45043</c:v>
                </c:pt>
                <c:pt idx="1213">
                  <c:v>45044</c:v>
                </c:pt>
                <c:pt idx="1214">
                  <c:v>45045</c:v>
                </c:pt>
                <c:pt idx="1215">
                  <c:v>45046</c:v>
                </c:pt>
                <c:pt idx="1216">
                  <c:v>45047</c:v>
                </c:pt>
                <c:pt idx="1217">
                  <c:v>45048</c:v>
                </c:pt>
                <c:pt idx="1218">
                  <c:v>45049</c:v>
                </c:pt>
                <c:pt idx="1219">
                  <c:v>45050</c:v>
                </c:pt>
                <c:pt idx="1220">
                  <c:v>45051</c:v>
                </c:pt>
                <c:pt idx="1221">
                  <c:v>45052</c:v>
                </c:pt>
                <c:pt idx="1222">
                  <c:v>45053</c:v>
                </c:pt>
                <c:pt idx="1223">
                  <c:v>45054</c:v>
                </c:pt>
                <c:pt idx="1224">
                  <c:v>45055</c:v>
                </c:pt>
                <c:pt idx="1225">
                  <c:v>45056</c:v>
                </c:pt>
                <c:pt idx="1226">
                  <c:v>45057</c:v>
                </c:pt>
                <c:pt idx="1227">
                  <c:v>45058</c:v>
                </c:pt>
                <c:pt idx="1228">
                  <c:v>45059</c:v>
                </c:pt>
                <c:pt idx="1229">
                  <c:v>45060</c:v>
                </c:pt>
                <c:pt idx="1230">
                  <c:v>45061</c:v>
                </c:pt>
                <c:pt idx="1231">
                  <c:v>45062</c:v>
                </c:pt>
                <c:pt idx="1232">
                  <c:v>45063</c:v>
                </c:pt>
                <c:pt idx="1233">
                  <c:v>45064</c:v>
                </c:pt>
                <c:pt idx="1234">
                  <c:v>45065</c:v>
                </c:pt>
                <c:pt idx="1235">
                  <c:v>45066</c:v>
                </c:pt>
                <c:pt idx="1236">
                  <c:v>45067</c:v>
                </c:pt>
                <c:pt idx="1237">
                  <c:v>45068</c:v>
                </c:pt>
                <c:pt idx="1238">
                  <c:v>45069</c:v>
                </c:pt>
                <c:pt idx="1239">
                  <c:v>45070</c:v>
                </c:pt>
                <c:pt idx="1240">
                  <c:v>45071</c:v>
                </c:pt>
                <c:pt idx="1241">
                  <c:v>45072</c:v>
                </c:pt>
                <c:pt idx="1242">
                  <c:v>45073</c:v>
                </c:pt>
                <c:pt idx="1243">
                  <c:v>45074</c:v>
                </c:pt>
                <c:pt idx="1244">
                  <c:v>45075</c:v>
                </c:pt>
                <c:pt idx="1245">
                  <c:v>45076</c:v>
                </c:pt>
                <c:pt idx="1246">
                  <c:v>45077</c:v>
                </c:pt>
                <c:pt idx="1247">
                  <c:v>45078</c:v>
                </c:pt>
                <c:pt idx="1248">
                  <c:v>45079</c:v>
                </c:pt>
                <c:pt idx="1249">
                  <c:v>45080</c:v>
                </c:pt>
                <c:pt idx="1250">
                  <c:v>45081</c:v>
                </c:pt>
                <c:pt idx="1251">
                  <c:v>45082</c:v>
                </c:pt>
                <c:pt idx="1252">
                  <c:v>45083</c:v>
                </c:pt>
                <c:pt idx="1253">
                  <c:v>45084</c:v>
                </c:pt>
                <c:pt idx="1254">
                  <c:v>45085</c:v>
                </c:pt>
                <c:pt idx="1255">
                  <c:v>45086</c:v>
                </c:pt>
                <c:pt idx="1256">
                  <c:v>45087</c:v>
                </c:pt>
                <c:pt idx="1257">
                  <c:v>45088</c:v>
                </c:pt>
                <c:pt idx="1258">
                  <c:v>45089</c:v>
                </c:pt>
                <c:pt idx="1259">
                  <c:v>45090</c:v>
                </c:pt>
                <c:pt idx="1260">
                  <c:v>45091</c:v>
                </c:pt>
                <c:pt idx="1261">
                  <c:v>45092</c:v>
                </c:pt>
                <c:pt idx="1262">
                  <c:v>45093</c:v>
                </c:pt>
                <c:pt idx="1263">
                  <c:v>45094</c:v>
                </c:pt>
                <c:pt idx="1264">
                  <c:v>45095</c:v>
                </c:pt>
                <c:pt idx="1265">
                  <c:v>45096</c:v>
                </c:pt>
                <c:pt idx="1266">
                  <c:v>45097</c:v>
                </c:pt>
                <c:pt idx="1267">
                  <c:v>45098</c:v>
                </c:pt>
                <c:pt idx="1268">
                  <c:v>45099</c:v>
                </c:pt>
                <c:pt idx="1269">
                  <c:v>45100</c:v>
                </c:pt>
                <c:pt idx="1270">
                  <c:v>45101</c:v>
                </c:pt>
                <c:pt idx="1271">
                  <c:v>45102</c:v>
                </c:pt>
                <c:pt idx="1272">
                  <c:v>45103</c:v>
                </c:pt>
                <c:pt idx="1273">
                  <c:v>45104</c:v>
                </c:pt>
                <c:pt idx="1274">
                  <c:v>45105</c:v>
                </c:pt>
                <c:pt idx="1275">
                  <c:v>45106</c:v>
                </c:pt>
                <c:pt idx="1276">
                  <c:v>45107</c:v>
                </c:pt>
              </c:numCache>
            </c:numRef>
          </c:cat>
          <c:val>
            <c:numRef>
              <c:f>tipo_cambio_diario!$B$2:$B$1278</c:f>
              <c:numCache>
                <c:formatCode>0.00</c:formatCode>
                <c:ptCount val="1277"/>
                <c:pt idx="0">
                  <c:v>7.6988399999999997</c:v>
                </c:pt>
                <c:pt idx="1">
                  <c:v>7.6990999999999996</c:v>
                </c:pt>
                <c:pt idx="2">
                  <c:v>7.7071100000000001</c:v>
                </c:pt>
                <c:pt idx="3">
                  <c:v>7.7071100000000001</c:v>
                </c:pt>
                <c:pt idx="4">
                  <c:v>7.7071100000000001</c:v>
                </c:pt>
                <c:pt idx="5">
                  <c:v>7.7071500000000004</c:v>
                </c:pt>
                <c:pt idx="6">
                  <c:v>7.7070400000000001</c:v>
                </c:pt>
                <c:pt idx="7">
                  <c:v>7.7101699999999997</c:v>
                </c:pt>
                <c:pt idx="8">
                  <c:v>7.71434</c:v>
                </c:pt>
                <c:pt idx="9">
                  <c:v>7.7136199999999997</c:v>
                </c:pt>
                <c:pt idx="10">
                  <c:v>7.7136199999999997</c:v>
                </c:pt>
                <c:pt idx="11">
                  <c:v>7.7136199999999997</c:v>
                </c:pt>
                <c:pt idx="12">
                  <c:v>7.7104299999999997</c:v>
                </c:pt>
                <c:pt idx="13">
                  <c:v>7.7062900000000001</c:v>
                </c:pt>
                <c:pt idx="14">
                  <c:v>7.7018300000000002</c:v>
                </c:pt>
                <c:pt idx="15">
                  <c:v>7.6969500000000002</c:v>
                </c:pt>
                <c:pt idx="16">
                  <c:v>7.6944100000000004</c:v>
                </c:pt>
                <c:pt idx="17">
                  <c:v>7.6944100000000004</c:v>
                </c:pt>
                <c:pt idx="18">
                  <c:v>7.6944100000000004</c:v>
                </c:pt>
                <c:pt idx="19">
                  <c:v>7.69116</c:v>
                </c:pt>
                <c:pt idx="20">
                  <c:v>7.6906100000000004</c:v>
                </c:pt>
                <c:pt idx="21">
                  <c:v>7.6881700000000004</c:v>
                </c:pt>
                <c:pt idx="22">
                  <c:v>7.6866700000000003</c:v>
                </c:pt>
                <c:pt idx="23">
                  <c:v>7.6836200000000003</c:v>
                </c:pt>
                <c:pt idx="24">
                  <c:v>7.6836200000000003</c:v>
                </c:pt>
                <c:pt idx="25">
                  <c:v>7.6836200000000003</c:v>
                </c:pt>
                <c:pt idx="26">
                  <c:v>7.6756200000000003</c:v>
                </c:pt>
                <c:pt idx="27">
                  <c:v>7.6779000000000002</c:v>
                </c:pt>
                <c:pt idx="28">
                  <c:v>7.67272</c:v>
                </c:pt>
                <c:pt idx="29">
                  <c:v>7.6685999999999996</c:v>
                </c:pt>
                <c:pt idx="30">
                  <c:v>7.6640100000000002</c:v>
                </c:pt>
                <c:pt idx="31">
                  <c:v>7.6640100000000002</c:v>
                </c:pt>
                <c:pt idx="32">
                  <c:v>7.6640100000000002</c:v>
                </c:pt>
                <c:pt idx="33">
                  <c:v>7.6582699999999999</c:v>
                </c:pt>
                <c:pt idx="34">
                  <c:v>7.6522399999999999</c:v>
                </c:pt>
                <c:pt idx="35">
                  <c:v>7.6454899999999997</c:v>
                </c:pt>
                <c:pt idx="36">
                  <c:v>7.6462599999999998</c:v>
                </c:pt>
                <c:pt idx="37">
                  <c:v>7.6485099999999999</c:v>
                </c:pt>
                <c:pt idx="38">
                  <c:v>7.6485099999999999</c:v>
                </c:pt>
                <c:pt idx="39">
                  <c:v>7.6485099999999999</c:v>
                </c:pt>
                <c:pt idx="40">
                  <c:v>7.6465800000000002</c:v>
                </c:pt>
                <c:pt idx="41">
                  <c:v>7.64377</c:v>
                </c:pt>
                <c:pt idx="42">
                  <c:v>7.6412000000000004</c:v>
                </c:pt>
                <c:pt idx="43">
                  <c:v>7.6381100000000002</c:v>
                </c:pt>
                <c:pt idx="44">
                  <c:v>7.6363599999999998</c:v>
                </c:pt>
                <c:pt idx="45">
                  <c:v>7.6363599999999998</c:v>
                </c:pt>
                <c:pt idx="46">
                  <c:v>7.6363599999999998</c:v>
                </c:pt>
                <c:pt idx="47">
                  <c:v>7.6339499999999996</c:v>
                </c:pt>
                <c:pt idx="48">
                  <c:v>7.6391</c:v>
                </c:pt>
                <c:pt idx="49">
                  <c:v>7.6388299999999996</c:v>
                </c:pt>
                <c:pt idx="50">
                  <c:v>7.6421799999999998</c:v>
                </c:pt>
                <c:pt idx="51">
                  <c:v>7.6439300000000001</c:v>
                </c:pt>
                <c:pt idx="52">
                  <c:v>7.6439300000000001</c:v>
                </c:pt>
                <c:pt idx="53">
                  <c:v>7.6439300000000001</c:v>
                </c:pt>
                <c:pt idx="54">
                  <c:v>7.6431899999999997</c:v>
                </c:pt>
                <c:pt idx="55">
                  <c:v>7.6461600000000001</c:v>
                </c:pt>
                <c:pt idx="56">
                  <c:v>7.6520200000000003</c:v>
                </c:pt>
                <c:pt idx="57">
                  <c:v>7.6692799999999997</c:v>
                </c:pt>
                <c:pt idx="58">
                  <c:v>7.6788400000000001</c:v>
                </c:pt>
                <c:pt idx="59">
                  <c:v>7.6788400000000001</c:v>
                </c:pt>
                <c:pt idx="60">
                  <c:v>7.6788400000000001</c:v>
                </c:pt>
                <c:pt idx="61">
                  <c:v>7.68058</c:v>
                </c:pt>
                <c:pt idx="62">
                  <c:v>7.6745400000000004</c:v>
                </c:pt>
                <c:pt idx="63">
                  <c:v>7.67279</c:v>
                </c:pt>
                <c:pt idx="64">
                  <c:v>7.6758100000000002</c:v>
                </c:pt>
                <c:pt idx="65">
                  <c:v>7.6702399999999997</c:v>
                </c:pt>
                <c:pt idx="66">
                  <c:v>7.6702399999999997</c:v>
                </c:pt>
                <c:pt idx="67">
                  <c:v>7.6702399999999997</c:v>
                </c:pt>
                <c:pt idx="68">
                  <c:v>7.6727800000000004</c:v>
                </c:pt>
                <c:pt idx="69">
                  <c:v>7.6655499999999996</c:v>
                </c:pt>
                <c:pt idx="70">
                  <c:v>7.6602100000000002</c:v>
                </c:pt>
                <c:pt idx="71">
                  <c:v>7.6538500000000003</c:v>
                </c:pt>
                <c:pt idx="72">
                  <c:v>7.6504000000000003</c:v>
                </c:pt>
                <c:pt idx="73">
                  <c:v>7.6504000000000003</c:v>
                </c:pt>
                <c:pt idx="74">
                  <c:v>7.6504000000000003</c:v>
                </c:pt>
                <c:pt idx="75">
                  <c:v>7.6467799999999997</c:v>
                </c:pt>
                <c:pt idx="76">
                  <c:v>7.6435500000000003</c:v>
                </c:pt>
                <c:pt idx="77">
                  <c:v>7.6407600000000002</c:v>
                </c:pt>
                <c:pt idx="78">
                  <c:v>7.6364299999999998</c:v>
                </c:pt>
                <c:pt idx="79">
                  <c:v>7.6430100000000003</c:v>
                </c:pt>
                <c:pt idx="80">
                  <c:v>7.6430100000000003</c:v>
                </c:pt>
                <c:pt idx="81">
                  <c:v>7.6430100000000003</c:v>
                </c:pt>
                <c:pt idx="82">
                  <c:v>7.6747399999999999</c:v>
                </c:pt>
                <c:pt idx="83">
                  <c:v>7.7521300000000002</c:v>
                </c:pt>
                <c:pt idx="84">
                  <c:v>7.9279299999999999</c:v>
                </c:pt>
                <c:pt idx="85">
                  <c:v>7.79488</c:v>
                </c:pt>
                <c:pt idx="86">
                  <c:v>7.7459100000000003</c:v>
                </c:pt>
                <c:pt idx="87">
                  <c:v>7.7459100000000003</c:v>
                </c:pt>
                <c:pt idx="88">
                  <c:v>7.7459100000000003</c:v>
                </c:pt>
                <c:pt idx="89">
                  <c:v>7.71441</c:v>
                </c:pt>
                <c:pt idx="90">
                  <c:v>7.6846699999999997</c:v>
                </c:pt>
                <c:pt idx="91">
                  <c:v>7.6977399999999996</c:v>
                </c:pt>
                <c:pt idx="92">
                  <c:v>7.7015900000000004</c:v>
                </c:pt>
                <c:pt idx="93">
                  <c:v>7.6988099999999999</c:v>
                </c:pt>
                <c:pt idx="94">
                  <c:v>7.6988099999999999</c:v>
                </c:pt>
                <c:pt idx="95">
                  <c:v>7.6988099999999999</c:v>
                </c:pt>
                <c:pt idx="96">
                  <c:v>7.7162899999999999</c:v>
                </c:pt>
                <c:pt idx="97">
                  <c:v>7.7077900000000001</c:v>
                </c:pt>
                <c:pt idx="98">
                  <c:v>7.7058499999999999</c:v>
                </c:pt>
                <c:pt idx="99">
                  <c:v>7.7058499999999999</c:v>
                </c:pt>
                <c:pt idx="100">
                  <c:v>7.7058499999999999</c:v>
                </c:pt>
                <c:pt idx="101">
                  <c:v>7.7058499999999999</c:v>
                </c:pt>
                <c:pt idx="102">
                  <c:v>7.7058499999999999</c:v>
                </c:pt>
                <c:pt idx="103">
                  <c:v>7.7065900000000003</c:v>
                </c:pt>
                <c:pt idx="104">
                  <c:v>7.7063699999999997</c:v>
                </c:pt>
                <c:pt idx="105">
                  <c:v>7.7074800000000003</c:v>
                </c:pt>
                <c:pt idx="106">
                  <c:v>7.7085600000000003</c:v>
                </c:pt>
                <c:pt idx="107">
                  <c:v>7.7103099999999998</c:v>
                </c:pt>
                <c:pt idx="108">
                  <c:v>7.7103099999999998</c:v>
                </c:pt>
                <c:pt idx="109">
                  <c:v>7.7103099999999998</c:v>
                </c:pt>
                <c:pt idx="110">
                  <c:v>7.7070699999999999</c:v>
                </c:pt>
                <c:pt idx="111">
                  <c:v>7.7104699999999999</c:v>
                </c:pt>
                <c:pt idx="112">
                  <c:v>7.7109899999999998</c:v>
                </c:pt>
                <c:pt idx="113">
                  <c:v>7.7087599999999998</c:v>
                </c:pt>
                <c:pt idx="114">
                  <c:v>7.7121000000000004</c:v>
                </c:pt>
                <c:pt idx="115">
                  <c:v>7.7121000000000004</c:v>
                </c:pt>
                <c:pt idx="116">
                  <c:v>7.7121000000000004</c:v>
                </c:pt>
                <c:pt idx="117">
                  <c:v>7.7043499999999998</c:v>
                </c:pt>
                <c:pt idx="118">
                  <c:v>7.7067699999999997</c:v>
                </c:pt>
                <c:pt idx="119">
                  <c:v>7.7140199999999997</c:v>
                </c:pt>
                <c:pt idx="120">
                  <c:v>7.71244</c:v>
                </c:pt>
                <c:pt idx="121">
                  <c:v>7.71244</c:v>
                </c:pt>
                <c:pt idx="122">
                  <c:v>7.71244</c:v>
                </c:pt>
                <c:pt idx="123">
                  <c:v>7.71244</c:v>
                </c:pt>
                <c:pt idx="124">
                  <c:v>7.7098899999999997</c:v>
                </c:pt>
                <c:pt idx="125">
                  <c:v>7.7069400000000003</c:v>
                </c:pt>
                <c:pt idx="126">
                  <c:v>7.7055199999999999</c:v>
                </c:pt>
                <c:pt idx="127">
                  <c:v>7.7041199999999996</c:v>
                </c:pt>
                <c:pt idx="128">
                  <c:v>7.7031900000000002</c:v>
                </c:pt>
                <c:pt idx="129">
                  <c:v>7.7031900000000002</c:v>
                </c:pt>
                <c:pt idx="130">
                  <c:v>7.7031900000000002</c:v>
                </c:pt>
                <c:pt idx="131">
                  <c:v>7.7027900000000002</c:v>
                </c:pt>
                <c:pt idx="132">
                  <c:v>7.6960100000000002</c:v>
                </c:pt>
                <c:pt idx="133">
                  <c:v>7.6979100000000003</c:v>
                </c:pt>
                <c:pt idx="134">
                  <c:v>7.6970999999999998</c:v>
                </c:pt>
                <c:pt idx="135">
                  <c:v>7.6993200000000002</c:v>
                </c:pt>
                <c:pt idx="136">
                  <c:v>7.6993200000000002</c:v>
                </c:pt>
                <c:pt idx="137">
                  <c:v>7.6993200000000002</c:v>
                </c:pt>
                <c:pt idx="138">
                  <c:v>7.6993200000000002</c:v>
                </c:pt>
                <c:pt idx="139">
                  <c:v>7.6944100000000004</c:v>
                </c:pt>
                <c:pt idx="140">
                  <c:v>7.6955099999999996</c:v>
                </c:pt>
                <c:pt idx="141">
                  <c:v>7.6928700000000001</c:v>
                </c:pt>
                <c:pt idx="142">
                  <c:v>7.6920299999999999</c:v>
                </c:pt>
                <c:pt idx="143">
                  <c:v>7.6920299999999999</c:v>
                </c:pt>
                <c:pt idx="144">
                  <c:v>7.6920299999999999</c:v>
                </c:pt>
                <c:pt idx="145">
                  <c:v>7.6934699999999996</c:v>
                </c:pt>
                <c:pt idx="146">
                  <c:v>7.6890999999999998</c:v>
                </c:pt>
                <c:pt idx="147">
                  <c:v>7.6921600000000003</c:v>
                </c:pt>
                <c:pt idx="148">
                  <c:v>7.6915300000000002</c:v>
                </c:pt>
                <c:pt idx="149">
                  <c:v>7.6894900000000002</c:v>
                </c:pt>
                <c:pt idx="150">
                  <c:v>7.6894900000000002</c:v>
                </c:pt>
                <c:pt idx="151">
                  <c:v>7.6894900000000002</c:v>
                </c:pt>
                <c:pt idx="152">
                  <c:v>7.6896199999999997</c:v>
                </c:pt>
                <c:pt idx="153">
                  <c:v>7.6859599999999997</c:v>
                </c:pt>
                <c:pt idx="154">
                  <c:v>7.6857100000000003</c:v>
                </c:pt>
                <c:pt idx="155">
                  <c:v>7.6835000000000004</c:v>
                </c:pt>
                <c:pt idx="156">
                  <c:v>7.6854100000000001</c:v>
                </c:pt>
                <c:pt idx="157">
                  <c:v>7.6854100000000001</c:v>
                </c:pt>
                <c:pt idx="158">
                  <c:v>7.6854100000000001</c:v>
                </c:pt>
                <c:pt idx="159">
                  <c:v>7.6882900000000003</c:v>
                </c:pt>
                <c:pt idx="160">
                  <c:v>7.6892300000000002</c:v>
                </c:pt>
                <c:pt idx="161">
                  <c:v>7.6928799999999997</c:v>
                </c:pt>
                <c:pt idx="162">
                  <c:v>7.6956300000000004</c:v>
                </c:pt>
                <c:pt idx="163">
                  <c:v>7.7004099999999998</c:v>
                </c:pt>
                <c:pt idx="164">
                  <c:v>7.7004099999999998</c:v>
                </c:pt>
                <c:pt idx="165">
                  <c:v>7.7004099999999998</c:v>
                </c:pt>
                <c:pt idx="166">
                  <c:v>7.7026199999999996</c:v>
                </c:pt>
                <c:pt idx="167">
                  <c:v>7.7079199999999997</c:v>
                </c:pt>
                <c:pt idx="168">
                  <c:v>7.7046400000000004</c:v>
                </c:pt>
                <c:pt idx="169">
                  <c:v>7.7064599999999999</c:v>
                </c:pt>
                <c:pt idx="170">
                  <c:v>7.7086699999999997</c:v>
                </c:pt>
                <c:pt idx="171">
                  <c:v>7.7086699999999997</c:v>
                </c:pt>
                <c:pt idx="172">
                  <c:v>7.7086699999999997</c:v>
                </c:pt>
                <c:pt idx="173">
                  <c:v>7.7035900000000002</c:v>
                </c:pt>
                <c:pt idx="174">
                  <c:v>7.6988899999999996</c:v>
                </c:pt>
                <c:pt idx="175">
                  <c:v>7.7027999999999999</c:v>
                </c:pt>
                <c:pt idx="176">
                  <c:v>7.7002800000000002</c:v>
                </c:pt>
                <c:pt idx="177">
                  <c:v>7.7002600000000001</c:v>
                </c:pt>
                <c:pt idx="178">
                  <c:v>7.7002600000000001</c:v>
                </c:pt>
                <c:pt idx="179">
                  <c:v>7.7002600000000001</c:v>
                </c:pt>
                <c:pt idx="180">
                  <c:v>7.7002600000000001</c:v>
                </c:pt>
                <c:pt idx="181">
                  <c:v>7.7002600000000001</c:v>
                </c:pt>
                <c:pt idx="182">
                  <c:v>7.7042099999999998</c:v>
                </c:pt>
                <c:pt idx="183">
                  <c:v>7.6991100000000001</c:v>
                </c:pt>
                <c:pt idx="184">
                  <c:v>7.7036499999999997</c:v>
                </c:pt>
                <c:pt idx="185">
                  <c:v>7.7036499999999997</c:v>
                </c:pt>
                <c:pt idx="186">
                  <c:v>7.7036499999999997</c:v>
                </c:pt>
                <c:pt idx="187">
                  <c:v>7.7041599999999999</c:v>
                </c:pt>
                <c:pt idx="188">
                  <c:v>7.7040100000000002</c:v>
                </c:pt>
                <c:pt idx="189">
                  <c:v>7.6993900000000002</c:v>
                </c:pt>
                <c:pt idx="190">
                  <c:v>7.6955099999999996</c:v>
                </c:pt>
                <c:pt idx="191">
                  <c:v>7.6977099999999998</c:v>
                </c:pt>
                <c:pt idx="192">
                  <c:v>7.6977099999999998</c:v>
                </c:pt>
                <c:pt idx="193">
                  <c:v>7.6977099999999998</c:v>
                </c:pt>
                <c:pt idx="194">
                  <c:v>7.6929600000000002</c:v>
                </c:pt>
                <c:pt idx="195">
                  <c:v>7.6919300000000002</c:v>
                </c:pt>
                <c:pt idx="196">
                  <c:v>7.6916799999999999</c:v>
                </c:pt>
                <c:pt idx="197">
                  <c:v>7.6905099999999997</c:v>
                </c:pt>
                <c:pt idx="198">
                  <c:v>7.6899199999999999</c:v>
                </c:pt>
                <c:pt idx="199">
                  <c:v>7.6899199999999999</c:v>
                </c:pt>
                <c:pt idx="200">
                  <c:v>7.6899199999999999</c:v>
                </c:pt>
                <c:pt idx="201">
                  <c:v>7.6914499999999997</c:v>
                </c:pt>
                <c:pt idx="202">
                  <c:v>7.6888500000000004</c:v>
                </c:pt>
                <c:pt idx="203">
                  <c:v>7.6917600000000004</c:v>
                </c:pt>
                <c:pt idx="204">
                  <c:v>7.69095</c:v>
                </c:pt>
                <c:pt idx="205">
                  <c:v>7.6886299999999999</c:v>
                </c:pt>
                <c:pt idx="206">
                  <c:v>7.6886299999999999</c:v>
                </c:pt>
                <c:pt idx="207">
                  <c:v>7.6886299999999999</c:v>
                </c:pt>
                <c:pt idx="208">
                  <c:v>7.6942700000000004</c:v>
                </c:pt>
                <c:pt idx="209">
                  <c:v>7.6956300000000004</c:v>
                </c:pt>
                <c:pt idx="210">
                  <c:v>7.6988000000000003</c:v>
                </c:pt>
                <c:pt idx="211">
                  <c:v>7.7013299999999996</c:v>
                </c:pt>
                <c:pt idx="212">
                  <c:v>7.70871</c:v>
                </c:pt>
                <c:pt idx="213">
                  <c:v>7.70871</c:v>
                </c:pt>
                <c:pt idx="214">
                  <c:v>7.70871</c:v>
                </c:pt>
                <c:pt idx="215">
                  <c:v>7.7088799999999997</c:v>
                </c:pt>
                <c:pt idx="216">
                  <c:v>7.7069799999999997</c:v>
                </c:pt>
                <c:pt idx="217">
                  <c:v>7.7055499999999997</c:v>
                </c:pt>
                <c:pt idx="218">
                  <c:v>7.7008599999999996</c:v>
                </c:pt>
                <c:pt idx="219">
                  <c:v>7.7007000000000003</c:v>
                </c:pt>
                <c:pt idx="220">
                  <c:v>7.7007000000000003</c:v>
                </c:pt>
                <c:pt idx="221">
                  <c:v>7.7007000000000003</c:v>
                </c:pt>
                <c:pt idx="222">
                  <c:v>7.7002499999999996</c:v>
                </c:pt>
                <c:pt idx="223">
                  <c:v>7.6997200000000001</c:v>
                </c:pt>
                <c:pt idx="224">
                  <c:v>7.70296</c:v>
                </c:pt>
                <c:pt idx="225">
                  <c:v>7.7010500000000004</c:v>
                </c:pt>
                <c:pt idx="226">
                  <c:v>7.7010500000000004</c:v>
                </c:pt>
                <c:pt idx="227">
                  <c:v>7.7010500000000004</c:v>
                </c:pt>
                <c:pt idx="228">
                  <c:v>7.7010500000000004</c:v>
                </c:pt>
                <c:pt idx="229">
                  <c:v>7.70024</c:v>
                </c:pt>
                <c:pt idx="230">
                  <c:v>7.6964800000000002</c:v>
                </c:pt>
                <c:pt idx="231">
                  <c:v>7.6989400000000003</c:v>
                </c:pt>
                <c:pt idx="232">
                  <c:v>7.69998</c:v>
                </c:pt>
                <c:pt idx="233">
                  <c:v>7.7013199999999999</c:v>
                </c:pt>
                <c:pt idx="234">
                  <c:v>7.7013199999999999</c:v>
                </c:pt>
                <c:pt idx="235">
                  <c:v>7.7013199999999999</c:v>
                </c:pt>
                <c:pt idx="236">
                  <c:v>7.6959499999999998</c:v>
                </c:pt>
                <c:pt idx="237">
                  <c:v>7.6982299999999997</c:v>
                </c:pt>
                <c:pt idx="238">
                  <c:v>7.7026199999999996</c:v>
                </c:pt>
                <c:pt idx="239">
                  <c:v>7.7102899999999996</c:v>
                </c:pt>
                <c:pt idx="240">
                  <c:v>7.7250800000000002</c:v>
                </c:pt>
                <c:pt idx="241">
                  <c:v>7.7250800000000002</c:v>
                </c:pt>
                <c:pt idx="242">
                  <c:v>7.7250800000000002</c:v>
                </c:pt>
                <c:pt idx="243">
                  <c:v>7.7299100000000003</c:v>
                </c:pt>
                <c:pt idx="244">
                  <c:v>7.7296100000000001</c:v>
                </c:pt>
                <c:pt idx="245">
                  <c:v>7.7267200000000003</c:v>
                </c:pt>
                <c:pt idx="246">
                  <c:v>7.7293799999999999</c:v>
                </c:pt>
                <c:pt idx="247">
                  <c:v>7.7348999999999997</c:v>
                </c:pt>
                <c:pt idx="248">
                  <c:v>7.7348999999999997</c:v>
                </c:pt>
                <c:pt idx="249">
                  <c:v>7.7348999999999997</c:v>
                </c:pt>
                <c:pt idx="250">
                  <c:v>7.7318199999999999</c:v>
                </c:pt>
                <c:pt idx="251">
                  <c:v>7.7393200000000002</c:v>
                </c:pt>
                <c:pt idx="252">
                  <c:v>7.7413100000000004</c:v>
                </c:pt>
                <c:pt idx="253">
                  <c:v>7.7532800000000002</c:v>
                </c:pt>
                <c:pt idx="254">
                  <c:v>7.7585800000000003</c:v>
                </c:pt>
                <c:pt idx="255">
                  <c:v>7.7585800000000003</c:v>
                </c:pt>
                <c:pt idx="256">
                  <c:v>7.7585800000000003</c:v>
                </c:pt>
                <c:pt idx="257">
                  <c:v>7.7592699999999999</c:v>
                </c:pt>
                <c:pt idx="258">
                  <c:v>7.7592699999999999</c:v>
                </c:pt>
                <c:pt idx="259">
                  <c:v>7.7530299999999999</c:v>
                </c:pt>
                <c:pt idx="260">
                  <c:v>7.7565</c:v>
                </c:pt>
                <c:pt idx="261">
                  <c:v>7.7568700000000002</c:v>
                </c:pt>
                <c:pt idx="262">
                  <c:v>7.7568700000000002</c:v>
                </c:pt>
                <c:pt idx="263">
                  <c:v>7.7568700000000002</c:v>
                </c:pt>
                <c:pt idx="264">
                  <c:v>7.7660999999999998</c:v>
                </c:pt>
                <c:pt idx="265">
                  <c:v>7.7588800000000004</c:v>
                </c:pt>
                <c:pt idx="266">
                  <c:v>7.7667700000000002</c:v>
                </c:pt>
                <c:pt idx="267">
                  <c:v>7.7862999999999998</c:v>
                </c:pt>
                <c:pt idx="268">
                  <c:v>7.7845899999999997</c:v>
                </c:pt>
                <c:pt idx="269">
                  <c:v>7.7845899999999997</c:v>
                </c:pt>
                <c:pt idx="270">
                  <c:v>7.7845899999999997</c:v>
                </c:pt>
                <c:pt idx="271">
                  <c:v>7.7823000000000002</c:v>
                </c:pt>
                <c:pt idx="272">
                  <c:v>7.7854299999999999</c:v>
                </c:pt>
                <c:pt idx="273">
                  <c:v>7.7860199999999997</c:v>
                </c:pt>
                <c:pt idx="274">
                  <c:v>7.7837500000000004</c:v>
                </c:pt>
                <c:pt idx="275">
                  <c:v>7.7822199999999997</c:v>
                </c:pt>
                <c:pt idx="276">
                  <c:v>7.7822199999999997</c:v>
                </c:pt>
                <c:pt idx="277">
                  <c:v>7.7822199999999997</c:v>
                </c:pt>
                <c:pt idx="278">
                  <c:v>7.7771800000000004</c:v>
                </c:pt>
                <c:pt idx="279">
                  <c:v>7.7784800000000001</c:v>
                </c:pt>
                <c:pt idx="280">
                  <c:v>7.7768600000000001</c:v>
                </c:pt>
                <c:pt idx="281">
                  <c:v>7.7770299999999999</c:v>
                </c:pt>
                <c:pt idx="282">
                  <c:v>7.7751400000000004</c:v>
                </c:pt>
                <c:pt idx="283">
                  <c:v>7.7751400000000004</c:v>
                </c:pt>
                <c:pt idx="284">
                  <c:v>7.7751400000000004</c:v>
                </c:pt>
                <c:pt idx="285">
                  <c:v>7.7751400000000004</c:v>
                </c:pt>
                <c:pt idx="286">
                  <c:v>7.78165</c:v>
                </c:pt>
                <c:pt idx="287">
                  <c:v>7.7769599999999999</c:v>
                </c:pt>
                <c:pt idx="288">
                  <c:v>7.7794999999999996</c:v>
                </c:pt>
                <c:pt idx="289">
                  <c:v>7.7823099999999998</c:v>
                </c:pt>
                <c:pt idx="290">
                  <c:v>7.7823099999999998</c:v>
                </c:pt>
                <c:pt idx="291">
                  <c:v>7.7823099999999998</c:v>
                </c:pt>
                <c:pt idx="292">
                  <c:v>7.78355</c:v>
                </c:pt>
                <c:pt idx="293">
                  <c:v>7.78355</c:v>
                </c:pt>
                <c:pt idx="294">
                  <c:v>7.7778999999999998</c:v>
                </c:pt>
                <c:pt idx="295">
                  <c:v>7.7804599999999997</c:v>
                </c:pt>
                <c:pt idx="296">
                  <c:v>7.7803500000000003</c:v>
                </c:pt>
                <c:pt idx="297">
                  <c:v>7.7803500000000003</c:v>
                </c:pt>
                <c:pt idx="298">
                  <c:v>7.7803500000000003</c:v>
                </c:pt>
                <c:pt idx="299">
                  <c:v>7.7798299999999996</c:v>
                </c:pt>
                <c:pt idx="300">
                  <c:v>7.7804200000000003</c:v>
                </c:pt>
                <c:pt idx="301">
                  <c:v>7.7861900000000004</c:v>
                </c:pt>
                <c:pt idx="302">
                  <c:v>7.7916499999999997</c:v>
                </c:pt>
                <c:pt idx="303">
                  <c:v>7.7959500000000004</c:v>
                </c:pt>
                <c:pt idx="304">
                  <c:v>7.7959500000000004</c:v>
                </c:pt>
                <c:pt idx="305">
                  <c:v>7.7959500000000004</c:v>
                </c:pt>
                <c:pt idx="306">
                  <c:v>7.7959500000000004</c:v>
                </c:pt>
                <c:pt idx="307">
                  <c:v>7.7885799999999996</c:v>
                </c:pt>
                <c:pt idx="308">
                  <c:v>7.7860199999999997</c:v>
                </c:pt>
                <c:pt idx="309">
                  <c:v>7.7831799999999998</c:v>
                </c:pt>
                <c:pt idx="310">
                  <c:v>7.7821400000000001</c:v>
                </c:pt>
                <c:pt idx="311">
                  <c:v>7.7821400000000001</c:v>
                </c:pt>
                <c:pt idx="312">
                  <c:v>7.7821400000000001</c:v>
                </c:pt>
                <c:pt idx="313">
                  <c:v>7.7795699999999997</c:v>
                </c:pt>
                <c:pt idx="314">
                  <c:v>7.7753699999999997</c:v>
                </c:pt>
                <c:pt idx="315">
                  <c:v>7.7756699999999999</c:v>
                </c:pt>
                <c:pt idx="316">
                  <c:v>7.7830899999999996</c:v>
                </c:pt>
                <c:pt idx="317">
                  <c:v>7.77684</c:v>
                </c:pt>
                <c:pt idx="318">
                  <c:v>7.77684</c:v>
                </c:pt>
                <c:pt idx="319">
                  <c:v>7.77684</c:v>
                </c:pt>
                <c:pt idx="320">
                  <c:v>7.7772699999999997</c:v>
                </c:pt>
                <c:pt idx="321">
                  <c:v>7.77956</c:v>
                </c:pt>
                <c:pt idx="322">
                  <c:v>7.78</c:v>
                </c:pt>
                <c:pt idx="323">
                  <c:v>7.7784199999999997</c:v>
                </c:pt>
                <c:pt idx="324">
                  <c:v>7.78348</c:v>
                </c:pt>
                <c:pt idx="325">
                  <c:v>7.78348</c:v>
                </c:pt>
                <c:pt idx="326">
                  <c:v>7.78348</c:v>
                </c:pt>
                <c:pt idx="327">
                  <c:v>7.7858599999999996</c:v>
                </c:pt>
                <c:pt idx="328">
                  <c:v>7.7921199999999997</c:v>
                </c:pt>
                <c:pt idx="329">
                  <c:v>7.8005300000000002</c:v>
                </c:pt>
                <c:pt idx="330">
                  <c:v>7.8082000000000003</c:v>
                </c:pt>
                <c:pt idx="331">
                  <c:v>7.8198499999999997</c:v>
                </c:pt>
                <c:pt idx="332">
                  <c:v>7.8198499999999997</c:v>
                </c:pt>
                <c:pt idx="333">
                  <c:v>7.8198499999999997</c:v>
                </c:pt>
                <c:pt idx="334">
                  <c:v>7.8140499999999999</c:v>
                </c:pt>
                <c:pt idx="335">
                  <c:v>7.8114800000000004</c:v>
                </c:pt>
                <c:pt idx="336">
                  <c:v>7.8132099999999998</c:v>
                </c:pt>
                <c:pt idx="337">
                  <c:v>7.8177300000000001</c:v>
                </c:pt>
                <c:pt idx="338">
                  <c:v>7.8168100000000003</c:v>
                </c:pt>
                <c:pt idx="339">
                  <c:v>7.8168100000000003</c:v>
                </c:pt>
                <c:pt idx="340">
                  <c:v>7.8168100000000003</c:v>
                </c:pt>
                <c:pt idx="341">
                  <c:v>7.8109900000000003</c:v>
                </c:pt>
                <c:pt idx="342">
                  <c:v>7.8103499999999997</c:v>
                </c:pt>
                <c:pt idx="343">
                  <c:v>7.8073600000000001</c:v>
                </c:pt>
                <c:pt idx="344">
                  <c:v>7.8032700000000004</c:v>
                </c:pt>
                <c:pt idx="345">
                  <c:v>7.8053699999999999</c:v>
                </c:pt>
                <c:pt idx="346">
                  <c:v>7.8053699999999999</c:v>
                </c:pt>
                <c:pt idx="347">
                  <c:v>7.8053699999999999</c:v>
                </c:pt>
                <c:pt idx="348">
                  <c:v>7.8023300000000004</c:v>
                </c:pt>
                <c:pt idx="349">
                  <c:v>7.79678</c:v>
                </c:pt>
                <c:pt idx="350">
                  <c:v>7.7962100000000003</c:v>
                </c:pt>
                <c:pt idx="351">
                  <c:v>7.79413</c:v>
                </c:pt>
                <c:pt idx="352">
                  <c:v>7.7946099999999996</c:v>
                </c:pt>
                <c:pt idx="353">
                  <c:v>7.7946099999999996</c:v>
                </c:pt>
                <c:pt idx="354">
                  <c:v>7.7946099999999996</c:v>
                </c:pt>
                <c:pt idx="355">
                  <c:v>7.7945500000000001</c:v>
                </c:pt>
                <c:pt idx="356">
                  <c:v>7.7934000000000001</c:v>
                </c:pt>
                <c:pt idx="357">
                  <c:v>7.7949599999999997</c:v>
                </c:pt>
                <c:pt idx="358">
                  <c:v>7.7924100000000003</c:v>
                </c:pt>
                <c:pt idx="359">
                  <c:v>7.7924100000000003</c:v>
                </c:pt>
                <c:pt idx="360">
                  <c:v>7.7924100000000003</c:v>
                </c:pt>
                <c:pt idx="361">
                  <c:v>7.7924100000000003</c:v>
                </c:pt>
                <c:pt idx="362">
                  <c:v>7.7900499999999999</c:v>
                </c:pt>
                <c:pt idx="363">
                  <c:v>7.7933300000000001</c:v>
                </c:pt>
                <c:pt idx="364">
                  <c:v>7.7938200000000002</c:v>
                </c:pt>
                <c:pt idx="365">
                  <c:v>7.7938200000000002</c:v>
                </c:pt>
                <c:pt idx="366">
                  <c:v>7.7938200000000002</c:v>
                </c:pt>
                <c:pt idx="367">
                  <c:v>7.7938200000000002</c:v>
                </c:pt>
                <c:pt idx="368">
                  <c:v>7.7938200000000002</c:v>
                </c:pt>
                <c:pt idx="369">
                  <c:v>7.7941700000000003</c:v>
                </c:pt>
                <c:pt idx="370">
                  <c:v>7.7936899999999998</c:v>
                </c:pt>
                <c:pt idx="371">
                  <c:v>7.7973499999999998</c:v>
                </c:pt>
                <c:pt idx="372">
                  <c:v>7.7949299999999999</c:v>
                </c:pt>
                <c:pt idx="373">
                  <c:v>7.8008899999999999</c:v>
                </c:pt>
                <c:pt idx="374">
                  <c:v>7.8008899999999999</c:v>
                </c:pt>
                <c:pt idx="375">
                  <c:v>7.8008899999999999</c:v>
                </c:pt>
                <c:pt idx="376">
                  <c:v>7.7958100000000004</c:v>
                </c:pt>
                <c:pt idx="377">
                  <c:v>7.7961999999999998</c:v>
                </c:pt>
                <c:pt idx="378">
                  <c:v>7.7968599999999997</c:v>
                </c:pt>
                <c:pt idx="379">
                  <c:v>7.7912400000000002</c:v>
                </c:pt>
                <c:pt idx="380">
                  <c:v>7.7890300000000003</c:v>
                </c:pt>
                <c:pt idx="381">
                  <c:v>7.7890300000000003</c:v>
                </c:pt>
                <c:pt idx="382">
                  <c:v>7.7890300000000003</c:v>
                </c:pt>
                <c:pt idx="383">
                  <c:v>7.7855999999999996</c:v>
                </c:pt>
                <c:pt idx="384">
                  <c:v>7.79345</c:v>
                </c:pt>
                <c:pt idx="385">
                  <c:v>7.7872500000000002</c:v>
                </c:pt>
                <c:pt idx="386">
                  <c:v>7.7820900000000002</c:v>
                </c:pt>
                <c:pt idx="387">
                  <c:v>7.7816200000000002</c:v>
                </c:pt>
                <c:pt idx="388">
                  <c:v>7.7816200000000002</c:v>
                </c:pt>
                <c:pt idx="389">
                  <c:v>7.7816200000000002</c:v>
                </c:pt>
                <c:pt idx="390">
                  <c:v>7.7812400000000004</c:v>
                </c:pt>
                <c:pt idx="391">
                  <c:v>7.7795800000000002</c:v>
                </c:pt>
                <c:pt idx="392">
                  <c:v>7.7848300000000004</c:v>
                </c:pt>
                <c:pt idx="393">
                  <c:v>7.7826199999999996</c:v>
                </c:pt>
                <c:pt idx="394">
                  <c:v>7.7863800000000003</c:v>
                </c:pt>
                <c:pt idx="395">
                  <c:v>7.7863800000000003</c:v>
                </c:pt>
                <c:pt idx="396">
                  <c:v>7.7863800000000003</c:v>
                </c:pt>
                <c:pt idx="397">
                  <c:v>7.78003</c:v>
                </c:pt>
                <c:pt idx="398">
                  <c:v>7.7783600000000002</c:v>
                </c:pt>
                <c:pt idx="399">
                  <c:v>7.7785700000000002</c:v>
                </c:pt>
                <c:pt idx="400">
                  <c:v>7.7765199999999997</c:v>
                </c:pt>
                <c:pt idx="401">
                  <c:v>7.7662699999999996</c:v>
                </c:pt>
                <c:pt idx="402">
                  <c:v>7.7662699999999996</c:v>
                </c:pt>
                <c:pt idx="403">
                  <c:v>7.7662699999999996</c:v>
                </c:pt>
                <c:pt idx="404">
                  <c:v>7.7661100000000003</c:v>
                </c:pt>
                <c:pt idx="405">
                  <c:v>7.7629099999999998</c:v>
                </c:pt>
                <c:pt idx="406">
                  <c:v>7.7587299999999999</c:v>
                </c:pt>
                <c:pt idx="407">
                  <c:v>7.7551899999999998</c:v>
                </c:pt>
                <c:pt idx="408">
                  <c:v>7.7500200000000001</c:v>
                </c:pt>
                <c:pt idx="409">
                  <c:v>7.7500200000000001</c:v>
                </c:pt>
                <c:pt idx="410">
                  <c:v>7.7500200000000001</c:v>
                </c:pt>
                <c:pt idx="411">
                  <c:v>7.7466699999999999</c:v>
                </c:pt>
                <c:pt idx="412">
                  <c:v>7.7464000000000004</c:v>
                </c:pt>
                <c:pt idx="413">
                  <c:v>7.7418500000000003</c:v>
                </c:pt>
                <c:pt idx="414">
                  <c:v>7.73698</c:v>
                </c:pt>
                <c:pt idx="415">
                  <c:v>7.7319699999999996</c:v>
                </c:pt>
                <c:pt idx="416">
                  <c:v>7.7319699999999996</c:v>
                </c:pt>
                <c:pt idx="417">
                  <c:v>7.7319699999999996</c:v>
                </c:pt>
                <c:pt idx="418">
                  <c:v>7.71868</c:v>
                </c:pt>
                <c:pt idx="419">
                  <c:v>7.7202099999999998</c:v>
                </c:pt>
                <c:pt idx="420">
                  <c:v>7.7156799999999999</c:v>
                </c:pt>
                <c:pt idx="421">
                  <c:v>7.7148000000000003</c:v>
                </c:pt>
                <c:pt idx="422">
                  <c:v>7.7092200000000002</c:v>
                </c:pt>
                <c:pt idx="423">
                  <c:v>7.7092200000000002</c:v>
                </c:pt>
                <c:pt idx="424">
                  <c:v>7.7092200000000002</c:v>
                </c:pt>
                <c:pt idx="425">
                  <c:v>7.7060599999999999</c:v>
                </c:pt>
                <c:pt idx="426">
                  <c:v>7.7027099999999997</c:v>
                </c:pt>
                <c:pt idx="427">
                  <c:v>7.70784</c:v>
                </c:pt>
                <c:pt idx="428">
                  <c:v>7.71007</c:v>
                </c:pt>
                <c:pt idx="429">
                  <c:v>7.7155300000000002</c:v>
                </c:pt>
                <c:pt idx="430">
                  <c:v>7.7155300000000002</c:v>
                </c:pt>
                <c:pt idx="431">
                  <c:v>7.7155300000000002</c:v>
                </c:pt>
                <c:pt idx="432">
                  <c:v>7.7127600000000003</c:v>
                </c:pt>
                <c:pt idx="433">
                  <c:v>7.7169800000000004</c:v>
                </c:pt>
                <c:pt idx="434">
                  <c:v>7.7302099999999996</c:v>
                </c:pt>
                <c:pt idx="435">
                  <c:v>7.7237799999999996</c:v>
                </c:pt>
                <c:pt idx="436">
                  <c:v>7.7305700000000002</c:v>
                </c:pt>
                <c:pt idx="437">
                  <c:v>7.7305700000000002</c:v>
                </c:pt>
                <c:pt idx="438">
                  <c:v>7.7305700000000002</c:v>
                </c:pt>
                <c:pt idx="439">
                  <c:v>7.7242899999999999</c:v>
                </c:pt>
                <c:pt idx="440">
                  <c:v>7.7208399999999999</c:v>
                </c:pt>
                <c:pt idx="441">
                  <c:v>7.7246199999999998</c:v>
                </c:pt>
                <c:pt idx="442">
                  <c:v>7.7205899999999996</c:v>
                </c:pt>
                <c:pt idx="443">
                  <c:v>7.7215600000000002</c:v>
                </c:pt>
                <c:pt idx="444">
                  <c:v>7.7215600000000002</c:v>
                </c:pt>
                <c:pt idx="445">
                  <c:v>7.7215600000000002</c:v>
                </c:pt>
                <c:pt idx="446">
                  <c:v>7.7227399999999999</c:v>
                </c:pt>
                <c:pt idx="447">
                  <c:v>7.7200199999999999</c:v>
                </c:pt>
                <c:pt idx="448">
                  <c:v>7.7275799999999997</c:v>
                </c:pt>
                <c:pt idx="449">
                  <c:v>7.7271900000000002</c:v>
                </c:pt>
                <c:pt idx="450">
                  <c:v>7.7237900000000002</c:v>
                </c:pt>
                <c:pt idx="451">
                  <c:v>7.7237900000000002</c:v>
                </c:pt>
                <c:pt idx="452">
                  <c:v>7.7237900000000002</c:v>
                </c:pt>
                <c:pt idx="453">
                  <c:v>7.7226699999999999</c:v>
                </c:pt>
                <c:pt idx="454">
                  <c:v>7.7199</c:v>
                </c:pt>
                <c:pt idx="455">
                  <c:v>7.7149799999999997</c:v>
                </c:pt>
                <c:pt idx="456">
                  <c:v>7.7149799999999997</c:v>
                </c:pt>
                <c:pt idx="457">
                  <c:v>7.7149799999999997</c:v>
                </c:pt>
                <c:pt idx="458">
                  <c:v>7.7149799999999997</c:v>
                </c:pt>
                <c:pt idx="459">
                  <c:v>7.7149799999999997</c:v>
                </c:pt>
                <c:pt idx="460">
                  <c:v>7.7179000000000002</c:v>
                </c:pt>
                <c:pt idx="461">
                  <c:v>7.7227699999999997</c:v>
                </c:pt>
                <c:pt idx="462">
                  <c:v>7.7181499999999996</c:v>
                </c:pt>
                <c:pt idx="463">
                  <c:v>7.7172499999999999</c:v>
                </c:pt>
                <c:pt idx="464">
                  <c:v>7.7220899999999997</c:v>
                </c:pt>
                <c:pt idx="465">
                  <c:v>7.7220899999999997</c:v>
                </c:pt>
                <c:pt idx="466">
                  <c:v>7.7220899999999997</c:v>
                </c:pt>
                <c:pt idx="467">
                  <c:v>7.7174800000000001</c:v>
                </c:pt>
                <c:pt idx="468">
                  <c:v>7.7145400000000004</c:v>
                </c:pt>
                <c:pt idx="469">
                  <c:v>7.7179099999999998</c:v>
                </c:pt>
                <c:pt idx="470">
                  <c:v>7.7187700000000001</c:v>
                </c:pt>
                <c:pt idx="471">
                  <c:v>7.7183200000000003</c:v>
                </c:pt>
                <c:pt idx="472">
                  <c:v>7.7183200000000003</c:v>
                </c:pt>
                <c:pt idx="473">
                  <c:v>7.7183200000000003</c:v>
                </c:pt>
                <c:pt idx="474">
                  <c:v>7.7121599999999999</c:v>
                </c:pt>
                <c:pt idx="475">
                  <c:v>7.7110300000000001</c:v>
                </c:pt>
                <c:pt idx="476">
                  <c:v>7.7120600000000001</c:v>
                </c:pt>
                <c:pt idx="477">
                  <c:v>7.7143199999999998</c:v>
                </c:pt>
                <c:pt idx="478">
                  <c:v>7.7146299999999997</c:v>
                </c:pt>
                <c:pt idx="479">
                  <c:v>7.7146299999999997</c:v>
                </c:pt>
                <c:pt idx="480">
                  <c:v>7.7146299999999997</c:v>
                </c:pt>
                <c:pt idx="481">
                  <c:v>7.7123799999999996</c:v>
                </c:pt>
                <c:pt idx="482">
                  <c:v>7.7116699999999998</c:v>
                </c:pt>
                <c:pt idx="483">
                  <c:v>7.7193399999999999</c:v>
                </c:pt>
                <c:pt idx="484">
                  <c:v>7.7164900000000003</c:v>
                </c:pt>
                <c:pt idx="485">
                  <c:v>7.7181199999999999</c:v>
                </c:pt>
                <c:pt idx="486">
                  <c:v>7.7181199999999999</c:v>
                </c:pt>
                <c:pt idx="487">
                  <c:v>7.7181199999999999</c:v>
                </c:pt>
                <c:pt idx="488">
                  <c:v>7.7181199999999999</c:v>
                </c:pt>
                <c:pt idx="489">
                  <c:v>7.7133599999999998</c:v>
                </c:pt>
                <c:pt idx="490">
                  <c:v>7.7128800000000002</c:v>
                </c:pt>
                <c:pt idx="491">
                  <c:v>7.7117000000000004</c:v>
                </c:pt>
                <c:pt idx="492">
                  <c:v>7.7113300000000002</c:v>
                </c:pt>
                <c:pt idx="493">
                  <c:v>7.7113300000000002</c:v>
                </c:pt>
                <c:pt idx="494">
                  <c:v>7.7113300000000002</c:v>
                </c:pt>
                <c:pt idx="495">
                  <c:v>7.7104799999999996</c:v>
                </c:pt>
                <c:pt idx="496">
                  <c:v>7.7086100000000002</c:v>
                </c:pt>
                <c:pt idx="497">
                  <c:v>7.7103400000000004</c:v>
                </c:pt>
                <c:pt idx="498">
                  <c:v>7.7089800000000004</c:v>
                </c:pt>
                <c:pt idx="499">
                  <c:v>7.7102000000000004</c:v>
                </c:pt>
                <c:pt idx="500">
                  <c:v>7.7102000000000004</c:v>
                </c:pt>
                <c:pt idx="501">
                  <c:v>7.7102000000000004</c:v>
                </c:pt>
                <c:pt idx="502">
                  <c:v>7.7092299999999998</c:v>
                </c:pt>
                <c:pt idx="503">
                  <c:v>7.7092000000000001</c:v>
                </c:pt>
                <c:pt idx="504">
                  <c:v>7.7124600000000001</c:v>
                </c:pt>
                <c:pt idx="505">
                  <c:v>7.7120300000000004</c:v>
                </c:pt>
                <c:pt idx="506">
                  <c:v>7.7182199999999996</c:v>
                </c:pt>
                <c:pt idx="507">
                  <c:v>7.7182199999999996</c:v>
                </c:pt>
                <c:pt idx="508">
                  <c:v>7.7182199999999996</c:v>
                </c:pt>
                <c:pt idx="509">
                  <c:v>7.7154400000000001</c:v>
                </c:pt>
                <c:pt idx="510">
                  <c:v>7.7179099999999998</c:v>
                </c:pt>
                <c:pt idx="511">
                  <c:v>7.7194200000000004</c:v>
                </c:pt>
                <c:pt idx="512">
                  <c:v>7.7218999999999998</c:v>
                </c:pt>
                <c:pt idx="513">
                  <c:v>7.7245900000000001</c:v>
                </c:pt>
                <c:pt idx="514">
                  <c:v>7.7245900000000001</c:v>
                </c:pt>
                <c:pt idx="515">
                  <c:v>7.7245900000000001</c:v>
                </c:pt>
                <c:pt idx="516">
                  <c:v>7.7211699999999999</c:v>
                </c:pt>
                <c:pt idx="517">
                  <c:v>7.7293500000000002</c:v>
                </c:pt>
                <c:pt idx="518">
                  <c:v>7.7217900000000004</c:v>
                </c:pt>
                <c:pt idx="519">
                  <c:v>7.7253299999999996</c:v>
                </c:pt>
                <c:pt idx="520">
                  <c:v>7.72994</c:v>
                </c:pt>
                <c:pt idx="521">
                  <c:v>7.72994</c:v>
                </c:pt>
                <c:pt idx="522">
                  <c:v>7.72994</c:v>
                </c:pt>
                <c:pt idx="523">
                  <c:v>7.7239300000000002</c:v>
                </c:pt>
                <c:pt idx="524">
                  <c:v>7.7248099999999997</c:v>
                </c:pt>
                <c:pt idx="525">
                  <c:v>7.7318600000000002</c:v>
                </c:pt>
                <c:pt idx="526">
                  <c:v>7.7380199999999997</c:v>
                </c:pt>
                <c:pt idx="527">
                  <c:v>7.7407199999999996</c:v>
                </c:pt>
                <c:pt idx="528">
                  <c:v>7.7407199999999996</c:v>
                </c:pt>
                <c:pt idx="529">
                  <c:v>7.7407199999999996</c:v>
                </c:pt>
                <c:pt idx="530">
                  <c:v>7.7370000000000001</c:v>
                </c:pt>
                <c:pt idx="531">
                  <c:v>7.7358200000000004</c:v>
                </c:pt>
                <c:pt idx="532">
                  <c:v>7.7411099999999999</c:v>
                </c:pt>
                <c:pt idx="533">
                  <c:v>7.74153</c:v>
                </c:pt>
                <c:pt idx="534">
                  <c:v>7.7444300000000004</c:v>
                </c:pt>
                <c:pt idx="535">
                  <c:v>7.7444300000000004</c:v>
                </c:pt>
                <c:pt idx="536">
                  <c:v>7.7444300000000004</c:v>
                </c:pt>
                <c:pt idx="537">
                  <c:v>7.7375699999999998</c:v>
                </c:pt>
                <c:pt idx="538">
                  <c:v>7.7380000000000004</c:v>
                </c:pt>
                <c:pt idx="539">
                  <c:v>7.7441199999999997</c:v>
                </c:pt>
                <c:pt idx="540">
                  <c:v>7.7442799999999998</c:v>
                </c:pt>
                <c:pt idx="541">
                  <c:v>7.7503299999999999</c:v>
                </c:pt>
                <c:pt idx="542">
                  <c:v>7.7503299999999999</c:v>
                </c:pt>
                <c:pt idx="543">
                  <c:v>7.7503299999999999</c:v>
                </c:pt>
                <c:pt idx="544">
                  <c:v>7.7503299999999999</c:v>
                </c:pt>
                <c:pt idx="545">
                  <c:v>7.7503299999999999</c:v>
                </c:pt>
                <c:pt idx="546">
                  <c:v>7.74404</c:v>
                </c:pt>
                <c:pt idx="547">
                  <c:v>7.7439999999999998</c:v>
                </c:pt>
                <c:pt idx="548">
                  <c:v>7.7450200000000002</c:v>
                </c:pt>
                <c:pt idx="549">
                  <c:v>7.7450200000000002</c:v>
                </c:pt>
                <c:pt idx="550">
                  <c:v>7.7450200000000002</c:v>
                </c:pt>
                <c:pt idx="551">
                  <c:v>7.7423500000000001</c:v>
                </c:pt>
                <c:pt idx="552">
                  <c:v>7.7427400000000004</c:v>
                </c:pt>
                <c:pt idx="553">
                  <c:v>7.7433899999999998</c:v>
                </c:pt>
                <c:pt idx="554">
                  <c:v>7.7447100000000004</c:v>
                </c:pt>
                <c:pt idx="555">
                  <c:v>7.7476799999999999</c:v>
                </c:pt>
                <c:pt idx="556">
                  <c:v>7.7476799999999999</c:v>
                </c:pt>
                <c:pt idx="557">
                  <c:v>7.7476799999999999</c:v>
                </c:pt>
                <c:pt idx="558">
                  <c:v>7.7479899999999997</c:v>
                </c:pt>
                <c:pt idx="559">
                  <c:v>7.7413400000000001</c:v>
                </c:pt>
                <c:pt idx="560">
                  <c:v>7.7430899999999996</c:v>
                </c:pt>
                <c:pt idx="561">
                  <c:v>7.7434099999999999</c:v>
                </c:pt>
                <c:pt idx="562">
                  <c:v>7.7447800000000004</c:v>
                </c:pt>
                <c:pt idx="563">
                  <c:v>7.7447800000000004</c:v>
                </c:pt>
                <c:pt idx="564">
                  <c:v>7.7447800000000004</c:v>
                </c:pt>
                <c:pt idx="565">
                  <c:v>7.7453500000000002</c:v>
                </c:pt>
                <c:pt idx="566">
                  <c:v>7.7427900000000003</c:v>
                </c:pt>
                <c:pt idx="567">
                  <c:v>7.7445700000000004</c:v>
                </c:pt>
                <c:pt idx="568">
                  <c:v>7.7461500000000001</c:v>
                </c:pt>
                <c:pt idx="569">
                  <c:v>7.7467100000000002</c:v>
                </c:pt>
                <c:pt idx="570">
                  <c:v>7.7467100000000002</c:v>
                </c:pt>
                <c:pt idx="571">
                  <c:v>7.7467100000000002</c:v>
                </c:pt>
                <c:pt idx="572">
                  <c:v>7.7442500000000001</c:v>
                </c:pt>
                <c:pt idx="573">
                  <c:v>7.7431200000000002</c:v>
                </c:pt>
                <c:pt idx="574">
                  <c:v>7.7432800000000004</c:v>
                </c:pt>
                <c:pt idx="575">
                  <c:v>7.7476200000000004</c:v>
                </c:pt>
                <c:pt idx="576">
                  <c:v>7.7475100000000001</c:v>
                </c:pt>
                <c:pt idx="577">
                  <c:v>7.7475100000000001</c:v>
                </c:pt>
                <c:pt idx="578">
                  <c:v>7.7475100000000001</c:v>
                </c:pt>
                <c:pt idx="579">
                  <c:v>7.7484599999999997</c:v>
                </c:pt>
                <c:pt idx="580">
                  <c:v>7.7418100000000001</c:v>
                </c:pt>
                <c:pt idx="581">
                  <c:v>7.7457900000000004</c:v>
                </c:pt>
                <c:pt idx="582">
                  <c:v>7.7476500000000001</c:v>
                </c:pt>
                <c:pt idx="583">
                  <c:v>7.7482100000000003</c:v>
                </c:pt>
                <c:pt idx="584">
                  <c:v>7.7482100000000003</c:v>
                </c:pt>
                <c:pt idx="585">
                  <c:v>7.7482100000000003</c:v>
                </c:pt>
                <c:pt idx="586">
                  <c:v>7.7467100000000002</c:v>
                </c:pt>
                <c:pt idx="587">
                  <c:v>7.7413400000000001</c:v>
                </c:pt>
                <c:pt idx="588">
                  <c:v>7.7394999999999996</c:v>
                </c:pt>
                <c:pt idx="589">
                  <c:v>7.7396900000000004</c:v>
                </c:pt>
                <c:pt idx="590">
                  <c:v>7.7380199999999997</c:v>
                </c:pt>
                <c:pt idx="591">
                  <c:v>7.7380199999999997</c:v>
                </c:pt>
                <c:pt idx="592">
                  <c:v>7.7380199999999997</c:v>
                </c:pt>
                <c:pt idx="593">
                  <c:v>7.7380199999999997</c:v>
                </c:pt>
                <c:pt idx="594">
                  <c:v>7.7357699999999996</c:v>
                </c:pt>
                <c:pt idx="595">
                  <c:v>7.73522</c:v>
                </c:pt>
                <c:pt idx="596">
                  <c:v>7.7363600000000003</c:v>
                </c:pt>
                <c:pt idx="597">
                  <c:v>7.7350099999999999</c:v>
                </c:pt>
                <c:pt idx="598">
                  <c:v>7.7350099999999999</c:v>
                </c:pt>
                <c:pt idx="599">
                  <c:v>7.7350099999999999</c:v>
                </c:pt>
                <c:pt idx="600">
                  <c:v>7.7324799999999998</c:v>
                </c:pt>
                <c:pt idx="601">
                  <c:v>7.7321600000000004</c:v>
                </c:pt>
                <c:pt idx="602">
                  <c:v>7.7327300000000001</c:v>
                </c:pt>
                <c:pt idx="603">
                  <c:v>7.7325600000000003</c:v>
                </c:pt>
                <c:pt idx="604">
                  <c:v>7.7317900000000002</c:v>
                </c:pt>
                <c:pt idx="605">
                  <c:v>7.7317900000000002</c:v>
                </c:pt>
                <c:pt idx="606">
                  <c:v>7.7317900000000002</c:v>
                </c:pt>
                <c:pt idx="607">
                  <c:v>7.7275200000000002</c:v>
                </c:pt>
                <c:pt idx="608">
                  <c:v>7.7295699999999998</c:v>
                </c:pt>
                <c:pt idx="609">
                  <c:v>7.7308000000000003</c:v>
                </c:pt>
                <c:pt idx="610">
                  <c:v>7.7341499999999996</c:v>
                </c:pt>
                <c:pt idx="611">
                  <c:v>7.7321299999999997</c:v>
                </c:pt>
                <c:pt idx="612">
                  <c:v>7.7321299999999997</c:v>
                </c:pt>
                <c:pt idx="613">
                  <c:v>7.7321299999999997</c:v>
                </c:pt>
                <c:pt idx="614">
                  <c:v>7.7292199999999998</c:v>
                </c:pt>
                <c:pt idx="615">
                  <c:v>7.7343200000000003</c:v>
                </c:pt>
                <c:pt idx="616">
                  <c:v>7.7314400000000001</c:v>
                </c:pt>
                <c:pt idx="617">
                  <c:v>7.7290000000000001</c:v>
                </c:pt>
                <c:pt idx="618">
                  <c:v>7.7302499999999998</c:v>
                </c:pt>
                <c:pt idx="619">
                  <c:v>7.7302499999999998</c:v>
                </c:pt>
                <c:pt idx="620">
                  <c:v>7.7302499999999998</c:v>
                </c:pt>
                <c:pt idx="621">
                  <c:v>7.7290900000000002</c:v>
                </c:pt>
                <c:pt idx="622">
                  <c:v>7.7275999999999998</c:v>
                </c:pt>
                <c:pt idx="623">
                  <c:v>7.7275999999999998</c:v>
                </c:pt>
                <c:pt idx="624">
                  <c:v>7.7282700000000002</c:v>
                </c:pt>
                <c:pt idx="625">
                  <c:v>7.7327199999999996</c:v>
                </c:pt>
                <c:pt idx="626">
                  <c:v>7.7327199999999996</c:v>
                </c:pt>
                <c:pt idx="627">
                  <c:v>7.7327199999999996</c:v>
                </c:pt>
                <c:pt idx="628">
                  <c:v>7.7308199999999996</c:v>
                </c:pt>
                <c:pt idx="629">
                  <c:v>7.7286799999999998</c:v>
                </c:pt>
                <c:pt idx="630">
                  <c:v>7.7320599999999997</c:v>
                </c:pt>
                <c:pt idx="631">
                  <c:v>7.7334500000000004</c:v>
                </c:pt>
                <c:pt idx="632">
                  <c:v>7.7369000000000003</c:v>
                </c:pt>
                <c:pt idx="633">
                  <c:v>7.7369000000000003</c:v>
                </c:pt>
                <c:pt idx="634">
                  <c:v>7.7369000000000003</c:v>
                </c:pt>
                <c:pt idx="635">
                  <c:v>7.7327700000000004</c:v>
                </c:pt>
                <c:pt idx="636">
                  <c:v>7.7317499999999999</c:v>
                </c:pt>
                <c:pt idx="637">
                  <c:v>7.7352400000000001</c:v>
                </c:pt>
                <c:pt idx="638">
                  <c:v>7.7336499999999999</c:v>
                </c:pt>
                <c:pt idx="639">
                  <c:v>7.7336900000000002</c:v>
                </c:pt>
                <c:pt idx="640">
                  <c:v>7.7336900000000002</c:v>
                </c:pt>
                <c:pt idx="641">
                  <c:v>7.7336900000000002</c:v>
                </c:pt>
                <c:pt idx="642">
                  <c:v>7.7299499999999997</c:v>
                </c:pt>
                <c:pt idx="643">
                  <c:v>7.7293099999999999</c:v>
                </c:pt>
                <c:pt idx="644">
                  <c:v>7.73116</c:v>
                </c:pt>
                <c:pt idx="645">
                  <c:v>7.7321600000000004</c:v>
                </c:pt>
                <c:pt idx="646">
                  <c:v>7.7312799999999999</c:v>
                </c:pt>
                <c:pt idx="647">
                  <c:v>7.7312799999999999</c:v>
                </c:pt>
                <c:pt idx="648">
                  <c:v>7.7312799999999999</c:v>
                </c:pt>
                <c:pt idx="649">
                  <c:v>7.72898</c:v>
                </c:pt>
                <c:pt idx="650">
                  <c:v>7.72898</c:v>
                </c:pt>
                <c:pt idx="651">
                  <c:v>7.73177</c:v>
                </c:pt>
                <c:pt idx="652">
                  <c:v>7.7289099999999999</c:v>
                </c:pt>
                <c:pt idx="653">
                  <c:v>7.7314699999999998</c:v>
                </c:pt>
                <c:pt idx="654">
                  <c:v>7.7314699999999998</c:v>
                </c:pt>
                <c:pt idx="655">
                  <c:v>7.7314699999999998</c:v>
                </c:pt>
                <c:pt idx="656">
                  <c:v>7.7301700000000002</c:v>
                </c:pt>
                <c:pt idx="657">
                  <c:v>7.7275600000000004</c:v>
                </c:pt>
                <c:pt idx="658">
                  <c:v>7.7275600000000004</c:v>
                </c:pt>
                <c:pt idx="659">
                  <c:v>7.7297500000000001</c:v>
                </c:pt>
                <c:pt idx="660">
                  <c:v>7.73264</c:v>
                </c:pt>
                <c:pt idx="661">
                  <c:v>7.73264</c:v>
                </c:pt>
                <c:pt idx="662">
                  <c:v>7.73264</c:v>
                </c:pt>
                <c:pt idx="663">
                  <c:v>7.7294799999999997</c:v>
                </c:pt>
                <c:pt idx="664">
                  <c:v>7.7290799999999997</c:v>
                </c:pt>
                <c:pt idx="665">
                  <c:v>7.7333100000000004</c:v>
                </c:pt>
                <c:pt idx="666">
                  <c:v>7.7364699999999997</c:v>
                </c:pt>
                <c:pt idx="667">
                  <c:v>7.7346399999999997</c:v>
                </c:pt>
                <c:pt idx="668">
                  <c:v>7.7346399999999997</c:v>
                </c:pt>
                <c:pt idx="669">
                  <c:v>7.7346399999999997</c:v>
                </c:pt>
                <c:pt idx="670">
                  <c:v>7.7346399999999997</c:v>
                </c:pt>
                <c:pt idx="671">
                  <c:v>7.7355400000000003</c:v>
                </c:pt>
                <c:pt idx="672">
                  <c:v>7.7309099999999997</c:v>
                </c:pt>
                <c:pt idx="673">
                  <c:v>7.7320599999999997</c:v>
                </c:pt>
                <c:pt idx="674">
                  <c:v>7.7322100000000002</c:v>
                </c:pt>
                <c:pt idx="675">
                  <c:v>7.7322100000000002</c:v>
                </c:pt>
                <c:pt idx="676">
                  <c:v>7.7322100000000002</c:v>
                </c:pt>
                <c:pt idx="677">
                  <c:v>7.7299100000000003</c:v>
                </c:pt>
                <c:pt idx="678">
                  <c:v>7.72837</c:v>
                </c:pt>
                <c:pt idx="679">
                  <c:v>7.7268699999999999</c:v>
                </c:pt>
                <c:pt idx="680">
                  <c:v>7.7275</c:v>
                </c:pt>
                <c:pt idx="681">
                  <c:v>7.7317099999999996</c:v>
                </c:pt>
                <c:pt idx="682">
                  <c:v>7.7317099999999996</c:v>
                </c:pt>
                <c:pt idx="683">
                  <c:v>7.7317099999999996</c:v>
                </c:pt>
                <c:pt idx="684">
                  <c:v>7.7297700000000003</c:v>
                </c:pt>
                <c:pt idx="685">
                  <c:v>7.7269600000000001</c:v>
                </c:pt>
                <c:pt idx="686">
                  <c:v>7.7328999999999999</c:v>
                </c:pt>
                <c:pt idx="687">
                  <c:v>7.73088</c:v>
                </c:pt>
                <c:pt idx="688">
                  <c:v>7.7329800000000004</c:v>
                </c:pt>
                <c:pt idx="689">
                  <c:v>7.7329800000000004</c:v>
                </c:pt>
                <c:pt idx="690">
                  <c:v>7.7329800000000004</c:v>
                </c:pt>
                <c:pt idx="691">
                  <c:v>7.7253999999999996</c:v>
                </c:pt>
                <c:pt idx="692">
                  <c:v>7.7292100000000001</c:v>
                </c:pt>
                <c:pt idx="693">
                  <c:v>7.7314600000000002</c:v>
                </c:pt>
                <c:pt idx="694">
                  <c:v>7.7314400000000001</c:v>
                </c:pt>
                <c:pt idx="695">
                  <c:v>7.7348299999999997</c:v>
                </c:pt>
                <c:pt idx="696">
                  <c:v>7.7348299999999997</c:v>
                </c:pt>
                <c:pt idx="697">
                  <c:v>7.7348299999999997</c:v>
                </c:pt>
                <c:pt idx="698">
                  <c:v>7.73149</c:v>
                </c:pt>
                <c:pt idx="699">
                  <c:v>7.7305799999999998</c:v>
                </c:pt>
                <c:pt idx="700">
                  <c:v>7.7321900000000001</c:v>
                </c:pt>
                <c:pt idx="701">
                  <c:v>7.7308000000000003</c:v>
                </c:pt>
                <c:pt idx="702">
                  <c:v>7.7365399999999998</c:v>
                </c:pt>
                <c:pt idx="703">
                  <c:v>7.7365399999999998</c:v>
                </c:pt>
                <c:pt idx="704">
                  <c:v>7.7365399999999998</c:v>
                </c:pt>
                <c:pt idx="705">
                  <c:v>7.7281899999999997</c:v>
                </c:pt>
                <c:pt idx="706">
                  <c:v>7.7282500000000001</c:v>
                </c:pt>
                <c:pt idx="707">
                  <c:v>7.7317</c:v>
                </c:pt>
                <c:pt idx="708">
                  <c:v>7.7286000000000001</c:v>
                </c:pt>
                <c:pt idx="709">
                  <c:v>7.7324400000000004</c:v>
                </c:pt>
                <c:pt idx="710">
                  <c:v>7.7324400000000004</c:v>
                </c:pt>
                <c:pt idx="711">
                  <c:v>7.7324400000000004</c:v>
                </c:pt>
                <c:pt idx="712">
                  <c:v>7.7275999999999998</c:v>
                </c:pt>
                <c:pt idx="713">
                  <c:v>7.72471</c:v>
                </c:pt>
                <c:pt idx="714">
                  <c:v>7.72525</c:v>
                </c:pt>
                <c:pt idx="715">
                  <c:v>7.7237400000000003</c:v>
                </c:pt>
                <c:pt idx="716">
                  <c:v>7.72464</c:v>
                </c:pt>
                <c:pt idx="717">
                  <c:v>7.72464</c:v>
                </c:pt>
                <c:pt idx="718">
                  <c:v>7.72464</c:v>
                </c:pt>
                <c:pt idx="719">
                  <c:v>7.7221000000000002</c:v>
                </c:pt>
                <c:pt idx="720">
                  <c:v>7.7176900000000002</c:v>
                </c:pt>
                <c:pt idx="721">
                  <c:v>7.7208199999999998</c:v>
                </c:pt>
                <c:pt idx="722">
                  <c:v>7.7182700000000004</c:v>
                </c:pt>
                <c:pt idx="723">
                  <c:v>7.7162800000000002</c:v>
                </c:pt>
                <c:pt idx="724">
                  <c:v>7.7162800000000002</c:v>
                </c:pt>
                <c:pt idx="725">
                  <c:v>7.7162800000000002</c:v>
                </c:pt>
                <c:pt idx="726">
                  <c:v>7.7162800000000002</c:v>
                </c:pt>
                <c:pt idx="727">
                  <c:v>7.7244700000000002</c:v>
                </c:pt>
                <c:pt idx="728">
                  <c:v>7.7192400000000001</c:v>
                </c:pt>
                <c:pt idx="729">
                  <c:v>7.7191200000000002</c:v>
                </c:pt>
                <c:pt idx="730">
                  <c:v>7.7191200000000002</c:v>
                </c:pt>
                <c:pt idx="731">
                  <c:v>7.7191200000000002</c:v>
                </c:pt>
                <c:pt idx="732">
                  <c:v>7.7191200000000002</c:v>
                </c:pt>
                <c:pt idx="733">
                  <c:v>7.7191200000000002</c:v>
                </c:pt>
                <c:pt idx="734">
                  <c:v>7.7174500000000004</c:v>
                </c:pt>
                <c:pt idx="735">
                  <c:v>7.7155800000000001</c:v>
                </c:pt>
                <c:pt idx="736">
                  <c:v>7.7182300000000001</c:v>
                </c:pt>
                <c:pt idx="737">
                  <c:v>7.7134299999999998</c:v>
                </c:pt>
                <c:pt idx="738">
                  <c:v>7.7134299999999998</c:v>
                </c:pt>
                <c:pt idx="739">
                  <c:v>7.7134299999999998</c:v>
                </c:pt>
                <c:pt idx="740">
                  <c:v>7.7110099999999999</c:v>
                </c:pt>
                <c:pt idx="741">
                  <c:v>7.7083199999999996</c:v>
                </c:pt>
                <c:pt idx="742">
                  <c:v>7.7089800000000004</c:v>
                </c:pt>
                <c:pt idx="743">
                  <c:v>7.7061999999999999</c:v>
                </c:pt>
                <c:pt idx="744">
                  <c:v>7.70777</c:v>
                </c:pt>
                <c:pt idx="745">
                  <c:v>7.70777</c:v>
                </c:pt>
                <c:pt idx="746">
                  <c:v>7.70777</c:v>
                </c:pt>
                <c:pt idx="747">
                  <c:v>7.7004599999999996</c:v>
                </c:pt>
                <c:pt idx="748">
                  <c:v>7.7045300000000001</c:v>
                </c:pt>
                <c:pt idx="749">
                  <c:v>7.6995800000000001</c:v>
                </c:pt>
                <c:pt idx="750">
                  <c:v>7.6953699999999996</c:v>
                </c:pt>
                <c:pt idx="751">
                  <c:v>7.6919500000000003</c:v>
                </c:pt>
                <c:pt idx="752">
                  <c:v>7.6919500000000003</c:v>
                </c:pt>
                <c:pt idx="753">
                  <c:v>7.6919500000000003</c:v>
                </c:pt>
                <c:pt idx="754">
                  <c:v>7.6885500000000002</c:v>
                </c:pt>
                <c:pt idx="755">
                  <c:v>7.68581</c:v>
                </c:pt>
                <c:pt idx="756">
                  <c:v>7.6854100000000001</c:v>
                </c:pt>
                <c:pt idx="757">
                  <c:v>7.68649</c:v>
                </c:pt>
                <c:pt idx="758">
                  <c:v>7.6899499999999996</c:v>
                </c:pt>
                <c:pt idx="759">
                  <c:v>7.6899499999999996</c:v>
                </c:pt>
                <c:pt idx="760">
                  <c:v>7.6899499999999996</c:v>
                </c:pt>
                <c:pt idx="761">
                  <c:v>7.6898099999999996</c:v>
                </c:pt>
                <c:pt idx="762">
                  <c:v>7.6855500000000001</c:v>
                </c:pt>
                <c:pt idx="763">
                  <c:v>7.6922100000000002</c:v>
                </c:pt>
                <c:pt idx="764">
                  <c:v>7.6918899999999999</c:v>
                </c:pt>
                <c:pt idx="765">
                  <c:v>7.6949500000000004</c:v>
                </c:pt>
                <c:pt idx="766">
                  <c:v>7.6949500000000004</c:v>
                </c:pt>
                <c:pt idx="767">
                  <c:v>7.6949500000000004</c:v>
                </c:pt>
                <c:pt idx="768">
                  <c:v>7.6912200000000004</c:v>
                </c:pt>
                <c:pt idx="769">
                  <c:v>7.6886000000000001</c:v>
                </c:pt>
                <c:pt idx="770">
                  <c:v>7.6922899999999998</c:v>
                </c:pt>
                <c:pt idx="771">
                  <c:v>7.6953100000000001</c:v>
                </c:pt>
                <c:pt idx="772">
                  <c:v>7.6922600000000001</c:v>
                </c:pt>
                <c:pt idx="773">
                  <c:v>7.6922600000000001</c:v>
                </c:pt>
                <c:pt idx="774">
                  <c:v>7.6922600000000001</c:v>
                </c:pt>
                <c:pt idx="775">
                  <c:v>7.6925499999999998</c:v>
                </c:pt>
                <c:pt idx="776">
                  <c:v>7.6884100000000002</c:v>
                </c:pt>
                <c:pt idx="777">
                  <c:v>7.6956199999999999</c:v>
                </c:pt>
                <c:pt idx="778">
                  <c:v>7.6934899999999997</c:v>
                </c:pt>
                <c:pt idx="779">
                  <c:v>7.7003899999999996</c:v>
                </c:pt>
                <c:pt idx="780">
                  <c:v>7.7003899999999996</c:v>
                </c:pt>
                <c:pt idx="781">
                  <c:v>7.7003899999999996</c:v>
                </c:pt>
                <c:pt idx="782">
                  <c:v>7.6984899999999996</c:v>
                </c:pt>
                <c:pt idx="783">
                  <c:v>7.7078800000000003</c:v>
                </c:pt>
                <c:pt idx="784">
                  <c:v>7.7046799999999998</c:v>
                </c:pt>
                <c:pt idx="785">
                  <c:v>7.7128500000000004</c:v>
                </c:pt>
                <c:pt idx="786">
                  <c:v>7.7168999999999999</c:v>
                </c:pt>
                <c:pt idx="787">
                  <c:v>7.7168999999999999</c:v>
                </c:pt>
                <c:pt idx="788">
                  <c:v>7.7168999999999999</c:v>
                </c:pt>
                <c:pt idx="789">
                  <c:v>7.7132199999999997</c:v>
                </c:pt>
                <c:pt idx="790">
                  <c:v>7.7043999999999997</c:v>
                </c:pt>
                <c:pt idx="791">
                  <c:v>7.7054299999999998</c:v>
                </c:pt>
                <c:pt idx="792">
                  <c:v>7.7119900000000001</c:v>
                </c:pt>
                <c:pt idx="793">
                  <c:v>7.7100200000000001</c:v>
                </c:pt>
                <c:pt idx="794">
                  <c:v>7.7100200000000001</c:v>
                </c:pt>
                <c:pt idx="795">
                  <c:v>7.7100200000000001</c:v>
                </c:pt>
                <c:pt idx="796">
                  <c:v>7.7043100000000004</c:v>
                </c:pt>
                <c:pt idx="797">
                  <c:v>7.6993200000000002</c:v>
                </c:pt>
                <c:pt idx="798">
                  <c:v>7.7011000000000003</c:v>
                </c:pt>
                <c:pt idx="799">
                  <c:v>7.7016400000000003</c:v>
                </c:pt>
                <c:pt idx="800">
                  <c:v>7.7010500000000004</c:v>
                </c:pt>
                <c:pt idx="801">
                  <c:v>7.7010500000000004</c:v>
                </c:pt>
                <c:pt idx="802">
                  <c:v>7.7010500000000004</c:v>
                </c:pt>
                <c:pt idx="803">
                  <c:v>7.6979300000000004</c:v>
                </c:pt>
                <c:pt idx="804">
                  <c:v>7.6914600000000002</c:v>
                </c:pt>
                <c:pt idx="805">
                  <c:v>7.6951000000000001</c:v>
                </c:pt>
                <c:pt idx="806">
                  <c:v>7.6938000000000004</c:v>
                </c:pt>
                <c:pt idx="807">
                  <c:v>7.6915899999999997</c:v>
                </c:pt>
                <c:pt idx="808">
                  <c:v>7.6915899999999997</c:v>
                </c:pt>
                <c:pt idx="809">
                  <c:v>7.6915899999999997</c:v>
                </c:pt>
                <c:pt idx="810">
                  <c:v>7.6883699999999999</c:v>
                </c:pt>
                <c:pt idx="811">
                  <c:v>7.6846399999999999</c:v>
                </c:pt>
                <c:pt idx="812">
                  <c:v>7.68438</c:v>
                </c:pt>
                <c:pt idx="813">
                  <c:v>7.6826999999999996</c:v>
                </c:pt>
                <c:pt idx="814">
                  <c:v>7.6816899999999997</c:v>
                </c:pt>
                <c:pt idx="815">
                  <c:v>7.6816899999999997</c:v>
                </c:pt>
                <c:pt idx="816">
                  <c:v>7.6816899999999997</c:v>
                </c:pt>
                <c:pt idx="817">
                  <c:v>7.67889</c:v>
                </c:pt>
                <c:pt idx="818">
                  <c:v>7.6783000000000001</c:v>
                </c:pt>
                <c:pt idx="819">
                  <c:v>7.6805199999999996</c:v>
                </c:pt>
                <c:pt idx="820">
                  <c:v>7.68025</c:v>
                </c:pt>
                <c:pt idx="821">
                  <c:v>7.6794700000000002</c:v>
                </c:pt>
                <c:pt idx="822">
                  <c:v>7.6794700000000002</c:v>
                </c:pt>
                <c:pt idx="823">
                  <c:v>7.6794700000000002</c:v>
                </c:pt>
                <c:pt idx="824">
                  <c:v>7.6749900000000002</c:v>
                </c:pt>
                <c:pt idx="825">
                  <c:v>7.6729799999999999</c:v>
                </c:pt>
                <c:pt idx="826">
                  <c:v>7.6749999999999998</c:v>
                </c:pt>
                <c:pt idx="827">
                  <c:v>7.6699299999999999</c:v>
                </c:pt>
                <c:pt idx="828">
                  <c:v>7.6687399999999997</c:v>
                </c:pt>
                <c:pt idx="829">
                  <c:v>7.6687399999999997</c:v>
                </c:pt>
                <c:pt idx="830">
                  <c:v>7.6687399999999997</c:v>
                </c:pt>
                <c:pt idx="831">
                  <c:v>7.6651199999999999</c:v>
                </c:pt>
                <c:pt idx="832">
                  <c:v>7.6635600000000004</c:v>
                </c:pt>
                <c:pt idx="833">
                  <c:v>7.6590100000000003</c:v>
                </c:pt>
                <c:pt idx="834">
                  <c:v>7.6590100000000003</c:v>
                </c:pt>
                <c:pt idx="835">
                  <c:v>7.6590100000000003</c:v>
                </c:pt>
                <c:pt idx="836">
                  <c:v>7.6590100000000003</c:v>
                </c:pt>
                <c:pt idx="837">
                  <c:v>7.6590100000000003</c:v>
                </c:pt>
                <c:pt idx="838">
                  <c:v>7.6584899999999996</c:v>
                </c:pt>
                <c:pt idx="839">
                  <c:v>7.6559900000000001</c:v>
                </c:pt>
                <c:pt idx="840">
                  <c:v>7.6557599999999999</c:v>
                </c:pt>
                <c:pt idx="841">
                  <c:v>7.6544600000000003</c:v>
                </c:pt>
                <c:pt idx="842">
                  <c:v>7.6530899999999997</c:v>
                </c:pt>
                <c:pt idx="843">
                  <c:v>7.6530899999999997</c:v>
                </c:pt>
                <c:pt idx="844">
                  <c:v>7.6530899999999997</c:v>
                </c:pt>
                <c:pt idx="845">
                  <c:v>7.6509</c:v>
                </c:pt>
                <c:pt idx="846">
                  <c:v>7.65144</c:v>
                </c:pt>
                <c:pt idx="847">
                  <c:v>7.6535299999999999</c:v>
                </c:pt>
                <c:pt idx="848">
                  <c:v>7.6577500000000001</c:v>
                </c:pt>
                <c:pt idx="849">
                  <c:v>7.6651699999999998</c:v>
                </c:pt>
                <c:pt idx="850">
                  <c:v>7.6651699999999998</c:v>
                </c:pt>
                <c:pt idx="851">
                  <c:v>7.6651699999999998</c:v>
                </c:pt>
                <c:pt idx="852">
                  <c:v>7.6651699999999998</c:v>
                </c:pt>
                <c:pt idx="853">
                  <c:v>7.6614000000000004</c:v>
                </c:pt>
                <c:pt idx="854">
                  <c:v>7.6658200000000001</c:v>
                </c:pt>
                <c:pt idx="855">
                  <c:v>7.67075</c:v>
                </c:pt>
                <c:pt idx="856">
                  <c:v>7.6679500000000003</c:v>
                </c:pt>
                <c:pt idx="857">
                  <c:v>7.6679500000000003</c:v>
                </c:pt>
                <c:pt idx="858">
                  <c:v>7.6679500000000003</c:v>
                </c:pt>
                <c:pt idx="859">
                  <c:v>7.6670600000000002</c:v>
                </c:pt>
                <c:pt idx="860">
                  <c:v>7.6632600000000002</c:v>
                </c:pt>
                <c:pt idx="861">
                  <c:v>7.6676399999999996</c:v>
                </c:pt>
                <c:pt idx="862">
                  <c:v>7.6694500000000003</c:v>
                </c:pt>
                <c:pt idx="863">
                  <c:v>7.6691500000000001</c:v>
                </c:pt>
                <c:pt idx="864">
                  <c:v>7.6691500000000001</c:v>
                </c:pt>
                <c:pt idx="865">
                  <c:v>7.6691500000000001</c:v>
                </c:pt>
                <c:pt idx="866">
                  <c:v>7.6647499999999997</c:v>
                </c:pt>
                <c:pt idx="867">
                  <c:v>7.6661200000000003</c:v>
                </c:pt>
                <c:pt idx="868">
                  <c:v>7.6664199999999996</c:v>
                </c:pt>
                <c:pt idx="869">
                  <c:v>7.6670299999999996</c:v>
                </c:pt>
                <c:pt idx="870">
                  <c:v>7.6669200000000002</c:v>
                </c:pt>
                <c:pt idx="871">
                  <c:v>7.6669200000000002</c:v>
                </c:pt>
                <c:pt idx="872">
                  <c:v>7.6669200000000002</c:v>
                </c:pt>
                <c:pt idx="873">
                  <c:v>7.6690300000000002</c:v>
                </c:pt>
                <c:pt idx="874">
                  <c:v>7.6677400000000002</c:v>
                </c:pt>
                <c:pt idx="875">
                  <c:v>7.67577</c:v>
                </c:pt>
                <c:pt idx="876">
                  <c:v>7.6731800000000003</c:v>
                </c:pt>
                <c:pt idx="877">
                  <c:v>7.6818999999999997</c:v>
                </c:pt>
                <c:pt idx="878">
                  <c:v>7.6818999999999997</c:v>
                </c:pt>
                <c:pt idx="879">
                  <c:v>7.6818999999999997</c:v>
                </c:pt>
                <c:pt idx="880">
                  <c:v>7.6776499999999999</c:v>
                </c:pt>
                <c:pt idx="881">
                  <c:v>7.6843399999999997</c:v>
                </c:pt>
                <c:pt idx="882">
                  <c:v>7.6955200000000001</c:v>
                </c:pt>
                <c:pt idx="883">
                  <c:v>7.7075800000000001</c:v>
                </c:pt>
                <c:pt idx="884">
                  <c:v>7.7124199999999998</c:v>
                </c:pt>
                <c:pt idx="885">
                  <c:v>7.7124199999999998</c:v>
                </c:pt>
                <c:pt idx="886">
                  <c:v>7.7124199999999998</c:v>
                </c:pt>
                <c:pt idx="887">
                  <c:v>7.7046599999999996</c:v>
                </c:pt>
                <c:pt idx="888">
                  <c:v>7.7070299999999996</c:v>
                </c:pt>
                <c:pt idx="889">
                  <c:v>7.7207400000000002</c:v>
                </c:pt>
                <c:pt idx="890">
                  <c:v>7.7260900000000001</c:v>
                </c:pt>
                <c:pt idx="891">
                  <c:v>7.7320599999999997</c:v>
                </c:pt>
                <c:pt idx="892">
                  <c:v>7.7320599999999997</c:v>
                </c:pt>
                <c:pt idx="893">
                  <c:v>7.7320599999999997</c:v>
                </c:pt>
                <c:pt idx="894">
                  <c:v>7.7310400000000001</c:v>
                </c:pt>
                <c:pt idx="895">
                  <c:v>7.7328099999999997</c:v>
                </c:pt>
                <c:pt idx="896">
                  <c:v>7.7388599999999999</c:v>
                </c:pt>
                <c:pt idx="897">
                  <c:v>7.7388899999999996</c:v>
                </c:pt>
                <c:pt idx="898">
                  <c:v>7.7404599999999997</c:v>
                </c:pt>
                <c:pt idx="899">
                  <c:v>7.7404599999999997</c:v>
                </c:pt>
                <c:pt idx="900">
                  <c:v>7.7404599999999997</c:v>
                </c:pt>
                <c:pt idx="901">
                  <c:v>7.7410199999999998</c:v>
                </c:pt>
                <c:pt idx="902">
                  <c:v>7.7496900000000002</c:v>
                </c:pt>
                <c:pt idx="903">
                  <c:v>7.7474499999999997</c:v>
                </c:pt>
                <c:pt idx="904">
                  <c:v>7.7510399999999997</c:v>
                </c:pt>
                <c:pt idx="905">
                  <c:v>7.7588999999999997</c:v>
                </c:pt>
                <c:pt idx="906">
                  <c:v>7.7588999999999997</c:v>
                </c:pt>
                <c:pt idx="907">
                  <c:v>7.7588999999999997</c:v>
                </c:pt>
                <c:pt idx="908">
                  <c:v>7.7540399999999998</c:v>
                </c:pt>
                <c:pt idx="909">
                  <c:v>7.7598000000000003</c:v>
                </c:pt>
                <c:pt idx="910">
                  <c:v>7.7581899999999999</c:v>
                </c:pt>
                <c:pt idx="911">
                  <c:v>7.7560799999999999</c:v>
                </c:pt>
                <c:pt idx="912">
                  <c:v>7.7560799999999999</c:v>
                </c:pt>
                <c:pt idx="913">
                  <c:v>7.7560799999999999</c:v>
                </c:pt>
                <c:pt idx="914">
                  <c:v>7.7560799999999999</c:v>
                </c:pt>
                <c:pt idx="915">
                  <c:v>7.7560799999999999</c:v>
                </c:pt>
                <c:pt idx="916">
                  <c:v>7.7528100000000002</c:v>
                </c:pt>
                <c:pt idx="917">
                  <c:v>7.74979</c:v>
                </c:pt>
                <c:pt idx="918">
                  <c:v>7.7465900000000003</c:v>
                </c:pt>
                <c:pt idx="919">
                  <c:v>7.7471199999999998</c:v>
                </c:pt>
                <c:pt idx="920">
                  <c:v>7.7471199999999998</c:v>
                </c:pt>
                <c:pt idx="921">
                  <c:v>7.7471199999999998</c:v>
                </c:pt>
                <c:pt idx="922">
                  <c:v>7.7436999999999996</c:v>
                </c:pt>
                <c:pt idx="923">
                  <c:v>7.7402800000000003</c:v>
                </c:pt>
                <c:pt idx="924">
                  <c:v>7.7385900000000003</c:v>
                </c:pt>
                <c:pt idx="925">
                  <c:v>7.7352600000000002</c:v>
                </c:pt>
                <c:pt idx="926">
                  <c:v>7.7355600000000004</c:v>
                </c:pt>
                <c:pt idx="927">
                  <c:v>7.7355600000000004</c:v>
                </c:pt>
                <c:pt idx="928">
                  <c:v>7.7355600000000004</c:v>
                </c:pt>
                <c:pt idx="929">
                  <c:v>7.7315899999999997</c:v>
                </c:pt>
                <c:pt idx="930">
                  <c:v>7.7279299999999997</c:v>
                </c:pt>
                <c:pt idx="931">
                  <c:v>7.7317400000000003</c:v>
                </c:pt>
                <c:pt idx="932">
                  <c:v>7.7292399999999999</c:v>
                </c:pt>
                <c:pt idx="933">
                  <c:v>7.7305200000000003</c:v>
                </c:pt>
                <c:pt idx="934">
                  <c:v>7.7305200000000003</c:v>
                </c:pt>
                <c:pt idx="935">
                  <c:v>7.7305200000000003</c:v>
                </c:pt>
                <c:pt idx="936">
                  <c:v>7.7278000000000002</c:v>
                </c:pt>
                <c:pt idx="937">
                  <c:v>7.7283299999999997</c:v>
                </c:pt>
                <c:pt idx="938">
                  <c:v>7.7317099999999996</c:v>
                </c:pt>
                <c:pt idx="939">
                  <c:v>7.7348499999999998</c:v>
                </c:pt>
                <c:pt idx="940">
                  <c:v>7.7365399999999998</c:v>
                </c:pt>
                <c:pt idx="941">
                  <c:v>7.7365399999999998</c:v>
                </c:pt>
                <c:pt idx="942">
                  <c:v>7.7365399999999998</c:v>
                </c:pt>
                <c:pt idx="943">
                  <c:v>7.7294600000000004</c:v>
                </c:pt>
                <c:pt idx="944">
                  <c:v>7.7284800000000002</c:v>
                </c:pt>
                <c:pt idx="945">
                  <c:v>7.73292</c:v>
                </c:pt>
                <c:pt idx="946">
                  <c:v>7.7332999999999998</c:v>
                </c:pt>
                <c:pt idx="947">
                  <c:v>7.7333699999999999</c:v>
                </c:pt>
                <c:pt idx="948">
                  <c:v>7.7333699999999999</c:v>
                </c:pt>
                <c:pt idx="949">
                  <c:v>7.7333699999999999</c:v>
                </c:pt>
                <c:pt idx="950">
                  <c:v>7.7298900000000001</c:v>
                </c:pt>
                <c:pt idx="951">
                  <c:v>7.7257999999999996</c:v>
                </c:pt>
                <c:pt idx="952">
                  <c:v>7.7324799999999998</c:v>
                </c:pt>
                <c:pt idx="953">
                  <c:v>7.7313200000000002</c:v>
                </c:pt>
                <c:pt idx="954">
                  <c:v>7.734</c:v>
                </c:pt>
                <c:pt idx="955">
                  <c:v>7.734</c:v>
                </c:pt>
                <c:pt idx="956">
                  <c:v>7.734</c:v>
                </c:pt>
                <c:pt idx="957">
                  <c:v>7.734</c:v>
                </c:pt>
                <c:pt idx="958">
                  <c:v>7.7264900000000001</c:v>
                </c:pt>
                <c:pt idx="959">
                  <c:v>7.72851</c:v>
                </c:pt>
                <c:pt idx="960">
                  <c:v>7.73095</c:v>
                </c:pt>
                <c:pt idx="961">
                  <c:v>7.7278000000000002</c:v>
                </c:pt>
                <c:pt idx="962">
                  <c:v>7.7278000000000002</c:v>
                </c:pt>
                <c:pt idx="963">
                  <c:v>7.7278000000000002</c:v>
                </c:pt>
                <c:pt idx="964">
                  <c:v>7.7271599999999996</c:v>
                </c:pt>
                <c:pt idx="965">
                  <c:v>7.7281500000000003</c:v>
                </c:pt>
                <c:pt idx="966">
                  <c:v>7.7305299999999999</c:v>
                </c:pt>
                <c:pt idx="967">
                  <c:v>7.7337999999999996</c:v>
                </c:pt>
                <c:pt idx="968">
                  <c:v>7.7336799999999997</c:v>
                </c:pt>
                <c:pt idx="969">
                  <c:v>7.7336799999999997</c:v>
                </c:pt>
                <c:pt idx="970">
                  <c:v>7.7336799999999997</c:v>
                </c:pt>
                <c:pt idx="971">
                  <c:v>7.7314699999999998</c:v>
                </c:pt>
                <c:pt idx="972">
                  <c:v>7.7309900000000003</c:v>
                </c:pt>
                <c:pt idx="973">
                  <c:v>7.7381900000000003</c:v>
                </c:pt>
                <c:pt idx="974">
                  <c:v>7.7408000000000001</c:v>
                </c:pt>
                <c:pt idx="975">
                  <c:v>7.74268</c:v>
                </c:pt>
                <c:pt idx="976">
                  <c:v>7.74268</c:v>
                </c:pt>
                <c:pt idx="977">
                  <c:v>7.74268</c:v>
                </c:pt>
                <c:pt idx="978">
                  <c:v>7.7410800000000002</c:v>
                </c:pt>
                <c:pt idx="979">
                  <c:v>7.7575500000000002</c:v>
                </c:pt>
                <c:pt idx="980">
                  <c:v>7.7584200000000001</c:v>
                </c:pt>
                <c:pt idx="981">
                  <c:v>7.7789299999999999</c:v>
                </c:pt>
                <c:pt idx="982">
                  <c:v>7.7968799999999998</c:v>
                </c:pt>
                <c:pt idx="983">
                  <c:v>7.7968799999999998</c:v>
                </c:pt>
                <c:pt idx="984">
                  <c:v>7.7968799999999998</c:v>
                </c:pt>
                <c:pt idx="985">
                  <c:v>7.7877400000000003</c:v>
                </c:pt>
                <c:pt idx="986">
                  <c:v>7.7889799999999996</c:v>
                </c:pt>
                <c:pt idx="987">
                  <c:v>7.7958499999999997</c:v>
                </c:pt>
                <c:pt idx="988">
                  <c:v>7.7958499999999997</c:v>
                </c:pt>
                <c:pt idx="989">
                  <c:v>7.7962600000000002</c:v>
                </c:pt>
                <c:pt idx="990">
                  <c:v>7.7962600000000002</c:v>
                </c:pt>
                <c:pt idx="991">
                  <c:v>7.7962600000000002</c:v>
                </c:pt>
                <c:pt idx="992">
                  <c:v>7.7998599999999998</c:v>
                </c:pt>
                <c:pt idx="993">
                  <c:v>7.80091</c:v>
                </c:pt>
                <c:pt idx="994">
                  <c:v>7.8138399999999999</c:v>
                </c:pt>
                <c:pt idx="995">
                  <c:v>7.8297499999999998</c:v>
                </c:pt>
                <c:pt idx="996">
                  <c:v>7.8419999999999996</c:v>
                </c:pt>
                <c:pt idx="997">
                  <c:v>7.8419999999999996</c:v>
                </c:pt>
                <c:pt idx="998">
                  <c:v>7.8419999999999996</c:v>
                </c:pt>
                <c:pt idx="999">
                  <c:v>7.8421799999999999</c:v>
                </c:pt>
                <c:pt idx="1000">
                  <c:v>7.8457800000000004</c:v>
                </c:pt>
                <c:pt idx="1001">
                  <c:v>7.85501</c:v>
                </c:pt>
                <c:pt idx="1002">
                  <c:v>7.8628400000000003</c:v>
                </c:pt>
                <c:pt idx="1003">
                  <c:v>7.88368</c:v>
                </c:pt>
                <c:pt idx="1004">
                  <c:v>7.88368</c:v>
                </c:pt>
                <c:pt idx="1005">
                  <c:v>7.88368</c:v>
                </c:pt>
                <c:pt idx="1006">
                  <c:v>7.8985599999999998</c:v>
                </c:pt>
                <c:pt idx="1007">
                  <c:v>7.9096299999999999</c:v>
                </c:pt>
                <c:pt idx="1008">
                  <c:v>7.9123299999999999</c:v>
                </c:pt>
                <c:pt idx="1009">
                  <c:v>7.9025999999999996</c:v>
                </c:pt>
                <c:pt idx="1010">
                  <c:v>7.8933400000000002</c:v>
                </c:pt>
                <c:pt idx="1011">
                  <c:v>7.8933400000000002</c:v>
                </c:pt>
                <c:pt idx="1012">
                  <c:v>7.8933400000000002</c:v>
                </c:pt>
                <c:pt idx="1013">
                  <c:v>7.87662</c:v>
                </c:pt>
                <c:pt idx="1014">
                  <c:v>7.8757000000000001</c:v>
                </c:pt>
                <c:pt idx="1015">
                  <c:v>7.8757000000000001</c:v>
                </c:pt>
                <c:pt idx="1016">
                  <c:v>7.86625</c:v>
                </c:pt>
                <c:pt idx="1017">
                  <c:v>7.86252</c:v>
                </c:pt>
                <c:pt idx="1018">
                  <c:v>7.86252</c:v>
                </c:pt>
                <c:pt idx="1019">
                  <c:v>7.86252</c:v>
                </c:pt>
                <c:pt idx="1020">
                  <c:v>7.8576800000000002</c:v>
                </c:pt>
                <c:pt idx="1021">
                  <c:v>7.8527500000000003</c:v>
                </c:pt>
                <c:pt idx="1022">
                  <c:v>7.8515699999999997</c:v>
                </c:pt>
                <c:pt idx="1023">
                  <c:v>7.8515699999999997</c:v>
                </c:pt>
                <c:pt idx="1024">
                  <c:v>7.8483099999999997</c:v>
                </c:pt>
                <c:pt idx="1025">
                  <c:v>7.8483099999999997</c:v>
                </c:pt>
                <c:pt idx="1026">
                  <c:v>7.8483099999999997</c:v>
                </c:pt>
                <c:pt idx="1027">
                  <c:v>7.8424800000000001</c:v>
                </c:pt>
                <c:pt idx="1028">
                  <c:v>7.84511</c:v>
                </c:pt>
                <c:pt idx="1029">
                  <c:v>7.8439899999999998</c:v>
                </c:pt>
                <c:pt idx="1030">
                  <c:v>7.8365499999999999</c:v>
                </c:pt>
                <c:pt idx="1031">
                  <c:v>7.83772</c:v>
                </c:pt>
                <c:pt idx="1032">
                  <c:v>7.83772</c:v>
                </c:pt>
                <c:pt idx="1033">
                  <c:v>7.83772</c:v>
                </c:pt>
                <c:pt idx="1034">
                  <c:v>7.82857</c:v>
                </c:pt>
                <c:pt idx="1035">
                  <c:v>7.82857</c:v>
                </c:pt>
                <c:pt idx="1036">
                  <c:v>7.8249700000000004</c:v>
                </c:pt>
                <c:pt idx="1037">
                  <c:v>7.8278400000000001</c:v>
                </c:pt>
                <c:pt idx="1038">
                  <c:v>7.8219599999999998</c:v>
                </c:pt>
                <c:pt idx="1039">
                  <c:v>7.8219599999999998</c:v>
                </c:pt>
                <c:pt idx="1040">
                  <c:v>7.8219599999999998</c:v>
                </c:pt>
                <c:pt idx="1041">
                  <c:v>7.8189799999999998</c:v>
                </c:pt>
                <c:pt idx="1042">
                  <c:v>7.8131399999999998</c:v>
                </c:pt>
                <c:pt idx="1043">
                  <c:v>7.8125900000000001</c:v>
                </c:pt>
                <c:pt idx="1044">
                  <c:v>7.8116000000000003</c:v>
                </c:pt>
                <c:pt idx="1045">
                  <c:v>7.8069199999999999</c:v>
                </c:pt>
                <c:pt idx="1046">
                  <c:v>7.8069199999999999</c:v>
                </c:pt>
                <c:pt idx="1047">
                  <c:v>7.8069199999999999</c:v>
                </c:pt>
                <c:pt idx="1048">
                  <c:v>7.8053600000000003</c:v>
                </c:pt>
                <c:pt idx="1049">
                  <c:v>7.7982300000000002</c:v>
                </c:pt>
                <c:pt idx="1050">
                  <c:v>7.7983900000000004</c:v>
                </c:pt>
                <c:pt idx="1051">
                  <c:v>7.7993600000000001</c:v>
                </c:pt>
                <c:pt idx="1052">
                  <c:v>7.7977299999999996</c:v>
                </c:pt>
                <c:pt idx="1053">
                  <c:v>7.7977299999999996</c:v>
                </c:pt>
                <c:pt idx="1054">
                  <c:v>7.7977299999999996</c:v>
                </c:pt>
                <c:pt idx="1055">
                  <c:v>7.7937200000000004</c:v>
                </c:pt>
                <c:pt idx="1056">
                  <c:v>7.80497</c:v>
                </c:pt>
                <c:pt idx="1057">
                  <c:v>7.8146800000000001</c:v>
                </c:pt>
                <c:pt idx="1058">
                  <c:v>7.8182999999999998</c:v>
                </c:pt>
                <c:pt idx="1059">
                  <c:v>7.8261900000000004</c:v>
                </c:pt>
                <c:pt idx="1060">
                  <c:v>7.8261900000000004</c:v>
                </c:pt>
                <c:pt idx="1061">
                  <c:v>7.8261900000000004</c:v>
                </c:pt>
                <c:pt idx="1062">
                  <c:v>7.8199800000000002</c:v>
                </c:pt>
                <c:pt idx="1063">
                  <c:v>7.8276599999999998</c:v>
                </c:pt>
                <c:pt idx="1064">
                  <c:v>7.8413399999999998</c:v>
                </c:pt>
                <c:pt idx="1065">
                  <c:v>7.8414299999999999</c:v>
                </c:pt>
                <c:pt idx="1066">
                  <c:v>7.8587499999999997</c:v>
                </c:pt>
                <c:pt idx="1067">
                  <c:v>7.8587499999999997</c:v>
                </c:pt>
                <c:pt idx="1068">
                  <c:v>7.8587499999999997</c:v>
                </c:pt>
                <c:pt idx="1069">
                  <c:v>7.8753399999999996</c:v>
                </c:pt>
                <c:pt idx="1070">
                  <c:v>7.9091199999999997</c:v>
                </c:pt>
                <c:pt idx="1071">
                  <c:v>7.9302400000000004</c:v>
                </c:pt>
                <c:pt idx="1072">
                  <c:v>7.9090100000000003</c:v>
                </c:pt>
                <c:pt idx="1073">
                  <c:v>7.8963400000000004</c:v>
                </c:pt>
                <c:pt idx="1074">
                  <c:v>7.8963400000000004</c:v>
                </c:pt>
                <c:pt idx="1075">
                  <c:v>7.8963400000000004</c:v>
                </c:pt>
                <c:pt idx="1076">
                  <c:v>7.8817399999999997</c:v>
                </c:pt>
                <c:pt idx="1077">
                  <c:v>7.8740199999999998</c:v>
                </c:pt>
                <c:pt idx="1078">
                  <c:v>7.8770199999999999</c:v>
                </c:pt>
                <c:pt idx="1079">
                  <c:v>7.8662700000000001</c:v>
                </c:pt>
                <c:pt idx="1080">
                  <c:v>7.8691199999999997</c:v>
                </c:pt>
                <c:pt idx="1081">
                  <c:v>7.8691199999999997</c:v>
                </c:pt>
                <c:pt idx="1082">
                  <c:v>7.8691199999999997</c:v>
                </c:pt>
                <c:pt idx="1083">
                  <c:v>7.8583600000000002</c:v>
                </c:pt>
                <c:pt idx="1084">
                  <c:v>7.8559900000000003</c:v>
                </c:pt>
                <c:pt idx="1085">
                  <c:v>7.85419</c:v>
                </c:pt>
                <c:pt idx="1086">
                  <c:v>7.85527</c:v>
                </c:pt>
                <c:pt idx="1087">
                  <c:v>7.8491400000000002</c:v>
                </c:pt>
                <c:pt idx="1088">
                  <c:v>7.8491400000000002</c:v>
                </c:pt>
                <c:pt idx="1089">
                  <c:v>7.8491400000000002</c:v>
                </c:pt>
                <c:pt idx="1090">
                  <c:v>7.8491400000000002</c:v>
                </c:pt>
                <c:pt idx="1091">
                  <c:v>7.8473899999999999</c:v>
                </c:pt>
                <c:pt idx="1092">
                  <c:v>7.8502799999999997</c:v>
                </c:pt>
                <c:pt idx="1093">
                  <c:v>7.85222</c:v>
                </c:pt>
                <c:pt idx="1094">
                  <c:v>7.85222</c:v>
                </c:pt>
                <c:pt idx="1095">
                  <c:v>7.85222</c:v>
                </c:pt>
                <c:pt idx="1096">
                  <c:v>7.85222</c:v>
                </c:pt>
                <c:pt idx="1097">
                  <c:v>7.85222</c:v>
                </c:pt>
                <c:pt idx="1098">
                  <c:v>7.8477300000000003</c:v>
                </c:pt>
                <c:pt idx="1099">
                  <c:v>7.8490599999999997</c:v>
                </c:pt>
                <c:pt idx="1100">
                  <c:v>7.8522100000000004</c:v>
                </c:pt>
                <c:pt idx="1101">
                  <c:v>7.84856</c:v>
                </c:pt>
                <c:pt idx="1102">
                  <c:v>7.84856</c:v>
                </c:pt>
                <c:pt idx="1103">
                  <c:v>7.84856</c:v>
                </c:pt>
                <c:pt idx="1104">
                  <c:v>7.8462800000000001</c:v>
                </c:pt>
                <c:pt idx="1105">
                  <c:v>7.8439500000000004</c:v>
                </c:pt>
                <c:pt idx="1106">
                  <c:v>7.8487999999999998</c:v>
                </c:pt>
                <c:pt idx="1107">
                  <c:v>7.85</c:v>
                </c:pt>
                <c:pt idx="1108">
                  <c:v>7.8494200000000003</c:v>
                </c:pt>
                <c:pt idx="1109">
                  <c:v>7.8494200000000003</c:v>
                </c:pt>
                <c:pt idx="1110">
                  <c:v>7.8494200000000003</c:v>
                </c:pt>
                <c:pt idx="1111">
                  <c:v>7.8431899999999999</c:v>
                </c:pt>
                <c:pt idx="1112">
                  <c:v>7.84762</c:v>
                </c:pt>
                <c:pt idx="1113">
                  <c:v>7.8483400000000003</c:v>
                </c:pt>
                <c:pt idx="1114">
                  <c:v>7.8500699999999997</c:v>
                </c:pt>
                <c:pt idx="1115">
                  <c:v>7.8507800000000003</c:v>
                </c:pt>
                <c:pt idx="1116">
                  <c:v>7.8507800000000003</c:v>
                </c:pt>
                <c:pt idx="1117">
                  <c:v>7.8507800000000003</c:v>
                </c:pt>
                <c:pt idx="1118">
                  <c:v>7.8429500000000001</c:v>
                </c:pt>
                <c:pt idx="1119">
                  <c:v>7.8437900000000003</c:v>
                </c:pt>
                <c:pt idx="1120">
                  <c:v>7.8488300000000004</c:v>
                </c:pt>
                <c:pt idx="1121">
                  <c:v>7.8506900000000002</c:v>
                </c:pt>
                <c:pt idx="1122">
                  <c:v>7.8521200000000002</c:v>
                </c:pt>
                <c:pt idx="1123">
                  <c:v>7.8521200000000002</c:v>
                </c:pt>
                <c:pt idx="1124">
                  <c:v>7.8521200000000002</c:v>
                </c:pt>
                <c:pt idx="1125">
                  <c:v>7.8488600000000002</c:v>
                </c:pt>
                <c:pt idx="1126">
                  <c:v>7.8485500000000004</c:v>
                </c:pt>
                <c:pt idx="1127">
                  <c:v>7.8495699999999999</c:v>
                </c:pt>
                <c:pt idx="1128">
                  <c:v>7.8466699999999996</c:v>
                </c:pt>
                <c:pt idx="1129">
                  <c:v>7.8471399999999996</c:v>
                </c:pt>
                <c:pt idx="1130">
                  <c:v>7.8471399999999996</c:v>
                </c:pt>
                <c:pt idx="1131">
                  <c:v>7.8471399999999996</c:v>
                </c:pt>
                <c:pt idx="1132">
                  <c:v>7.8430600000000004</c:v>
                </c:pt>
                <c:pt idx="1133">
                  <c:v>7.8429799999999998</c:v>
                </c:pt>
                <c:pt idx="1134">
                  <c:v>7.8428199999999997</c:v>
                </c:pt>
                <c:pt idx="1135">
                  <c:v>7.8420800000000002</c:v>
                </c:pt>
                <c:pt idx="1136">
                  <c:v>7.8379200000000004</c:v>
                </c:pt>
                <c:pt idx="1137">
                  <c:v>7.8379200000000004</c:v>
                </c:pt>
                <c:pt idx="1138">
                  <c:v>7.8379200000000004</c:v>
                </c:pt>
                <c:pt idx="1139">
                  <c:v>7.8356700000000004</c:v>
                </c:pt>
                <c:pt idx="1140">
                  <c:v>7.83256</c:v>
                </c:pt>
                <c:pt idx="1141">
                  <c:v>7.8312999999999997</c:v>
                </c:pt>
                <c:pt idx="1142">
                  <c:v>7.82864</c:v>
                </c:pt>
                <c:pt idx="1143">
                  <c:v>7.8263800000000003</c:v>
                </c:pt>
                <c:pt idx="1144">
                  <c:v>7.8263800000000003</c:v>
                </c:pt>
                <c:pt idx="1145">
                  <c:v>7.8263800000000003</c:v>
                </c:pt>
                <c:pt idx="1146">
                  <c:v>7.8182099999999997</c:v>
                </c:pt>
                <c:pt idx="1147">
                  <c:v>7.8212900000000003</c:v>
                </c:pt>
                <c:pt idx="1148">
                  <c:v>7.8159599999999996</c:v>
                </c:pt>
                <c:pt idx="1149">
                  <c:v>7.8169599999999999</c:v>
                </c:pt>
                <c:pt idx="1150">
                  <c:v>7.8178999999999998</c:v>
                </c:pt>
                <c:pt idx="1151">
                  <c:v>7.8178999999999998</c:v>
                </c:pt>
                <c:pt idx="1152">
                  <c:v>7.8178999999999998</c:v>
                </c:pt>
                <c:pt idx="1153">
                  <c:v>7.8154899999999996</c:v>
                </c:pt>
                <c:pt idx="1154">
                  <c:v>7.8149300000000004</c:v>
                </c:pt>
                <c:pt idx="1155">
                  <c:v>7.8152499999999998</c:v>
                </c:pt>
                <c:pt idx="1156">
                  <c:v>7.8185900000000004</c:v>
                </c:pt>
                <c:pt idx="1157">
                  <c:v>7.8135899999999996</c:v>
                </c:pt>
                <c:pt idx="1158">
                  <c:v>7.8135899999999996</c:v>
                </c:pt>
                <c:pt idx="1159">
                  <c:v>7.8135899999999996</c:v>
                </c:pt>
                <c:pt idx="1160">
                  <c:v>7.8119899999999998</c:v>
                </c:pt>
                <c:pt idx="1161">
                  <c:v>7.8039699999999996</c:v>
                </c:pt>
                <c:pt idx="1162">
                  <c:v>7.8097300000000001</c:v>
                </c:pt>
                <c:pt idx="1163">
                  <c:v>7.8075400000000004</c:v>
                </c:pt>
                <c:pt idx="1164">
                  <c:v>7.80715</c:v>
                </c:pt>
                <c:pt idx="1165">
                  <c:v>7.80715</c:v>
                </c:pt>
                <c:pt idx="1166">
                  <c:v>7.80715</c:v>
                </c:pt>
                <c:pt idx="1167">
                  <c:v>7.7994700000000003</c:v>
                </c:pt>
                <c:pt idx="1168">
                  <c:v>7.7973100000000004</c:v>
                </c:pt>
                <c:pt idx="1169">
                  <c:v>7.7983399999999996</c:v>
                </c:pt>
                <c:pt idx="1170">
                  <c:v>7.8041200000000002</c:v>
                </c:pt>
                <c:pt idx="1171">
                  <c:v>7.8024300000000002</c:v>
                </c:pt>
                <c:pt idx="1172">
                  <c:v>7.8024300000000002</c:v>
                </c:pt>
                <c:pt idx="1173">
                  <c:v>7.8024300000000002</c:v>
                </c:pt>
                <c:pt idx="1174">
                  <c:v>7.7963100000000001</c:v>
                </c:pt>
                <c:pt idx="1175">
                  <c:v>7.79352</c:v>
                </c:pt>
                <c:pt idx="1176">
                  <c:v>7.8025599999999997</c:v>
                </c:pt>
                <c:pt idx="1177">
                  <c:v>7.8038699999999999</c:v>
                </c:pt>
                <c:pt idx="1178">
                  <c:v>7.80518</c:v>
                </c:pt>
                <c:pt idx="1179">
                  <c:v>7.80518</c:v>
                </c:pt>
                <c:pt idx="1180">
                  <c:v>7.80518</c:v>
                </c:pt>
                <c:pt idx="1181">
                  <c:v>7.7986899999999997</c:v>
                </c:pt>
                <c:pt idx="1182">
                  <c:v>7.7991200000000003</c:v>
                </c:pt>
                <c:pt idx="1183">
                  <c:v>7.8031699999999997</c:v>
                </c:pt>
                <c:pt idx="1184">
                  <c:v>7.8023400000000001</c:v>
                </c:pt>
                <c:pt idx="1185">
                  <c:v>7.80335</c:v>
                </c:pt>
                <c:pt idx="1186">
                  <c:v>7.80335</c:v>
                </c:pt>
                <c:pt idx="1187">
                  <c:v>7.80335</c:v>
                </c:pt>
                <c:pt idx="1188">
                  <c:v>7.7969099999999996</c:v>
                </c:pt>
                <c:pt idx="1189">
                  <c:v>7.7943100000000003</c:v>
                </c:pt>
                <c:pt idx="1190">
                  <c:v>7.7932899999999998</c:v>
                </c:pt>
                <c:pt idx="1191">
                  <c:v>7.7932899999999998</c:v>
                </c:pt>
                <c:pt idx="1192">
                  <c:v>7.7932899999999998</c:v>
                </c:pt>
                <c:pt idx="1193">
                  <c:v>7.7932899999999998</c:v>
                </c:pt>
                <c:pt idx="1194">
                  <c:v>7.7932899999999998</c:v>
                </c:pt>
                <c:pt idx="1195">
                  <c:v>7.7992100000000004</c:v>
                </c:pt>
                <c:pt idx="1196">
                  <c:v>7.7950100000000004</c:v>
                </c:pt>
                <c:pt idx="1197">
                  <c:v>7.7986599999999999</c:v>
                </c:pt>
                <c:pt idx="1198">
                  <c:v>7.7962499999999997</c:v>
                </c:pt>
                <c:pt idx="1199">
                  <c:v>7.8026099999999996</c:v>
                </c:pt>
                <c:pt idx="1200">
                  <c:v>7.8026099999999996</c:v>
                </c:pt>
                <c:pt idx="1201">
                  <c:v>7.8026099999999996</c:v>
                </c:pt>
                <c:pt idx="1202">
                  <c:v>7.8006000000000002</c:v>
                </c:pt>
                <c:pt idx="1203">
                  <c:v>7.7967000000000004</c:v>
                </c:pt>
                <c:pt idx="1204">
                  <c:v>7.7989800000000002</c:v>
                </c:pt>
                <c:pt idx="1205">
                  <c:v>7.7992499999999998</c:v>
                </c:pt>
                <c:pt idx="1206">
                  <c:v>7.7996400000000001</c:v>
                </c:pt>
                <c:pt idx="1207">
                  <c:v>7.7996400000000001</c:v>
                </c:pt>
                <c:pt idx="1208">
                  <c:v>7.7996400000000001</c:v>
                </c:pt>
                <c:pt idx="1209">
                  <c:v>7.7970199999999998</c:v>
                </c:pt>
                <c:pt idx="1210">
                  <c:v>7.7957200000000002</c:v>
                </c:pt>
                <c:pt idx="1211">
                  <c:v>7.8019800000000004</c:v>
                </c:pt>
                <c:pt idx="1212">
                  <c:v>7.8042400000000001</c:v>
                </c:pt>
                <c:pt idx="1213">
                  <c:v>7.8082599999999998</c:v>
                </c:pt>
                <c:pt idx="1214">
                  <c:v>7.8082599999999998</c:v>
                </c:pt>
                <c:pt idx="1215">
                  <c:v>7.8082599999999998</c:v>
                </c:pt>
                <c:pt idx="1216">
                  <c:v>7.8082599999999998</c:v>
                </c:pt>
                <c:pt idx="1217">
                  <c:v>7.8005500000000003</c:v>
                </c:pt>
                <c:pt idx="1218">
                  <c:v>7.8067299999999999</c:v>
                </c:pt>
                <c:pt idx="1219">
                  <c:v>7.80938</c:v>
                </c:pt>
                <c:pt idx="1220">
                  <c:v>7.8073899999999998</c:v>
                </c:pt>
                <c:pt idx="1221">
                  <c:v>7.8073899999999998</c:v>
                </c:pt>
                <c:pt idx="1222">
                  <c:v>7.8073899999999998</c:v>
                </c:pt>
                <c:pt idx="1223">
                  <c:v>7.8028000000000004</c:v>
                </c:pt>
                <c:pt idx="1224">
                  <c:v>7.8056799999999997</c:v>
                </c:pt>
                <c:pt idx="1225">
                  <c:v>7.8060099999999997</c:v>
                </c:pt>
                <c:pt idx="1226">
                  <c:v>7.8037900000000002</c:v>
                </c:pt>
                <c:pt idx="1227">
                  <c:v>7.8064900000000002</c:v>
                </c:pt>
                <c:pt idx="1228">
                  <c:v>7.8064900000000002</c:v>
                </c:pt>
                <c:pt idx="1229">
                  <c:v>7.8064900000000002</c:v>
                </c:pt>
                <c:pt idx="1230">
                  <c:v>7.8022299999999998</c:v>
                </c:pt>
                <c:pt idx="1231">
                  <c:v>7.8032300000000001</c:v>
                </c:pt>
                <c:pt idx="1232">
                  <c:v>7.8015600000000003</c:v>
                </c:pt>
                <c:pt idx="1233">
                  <c:v>7.8049499999999998</c:v>
                </c:pt>
                <c:pt idx="1234">
                  <c:v>7.8039899999999998</c:v>
                </c:pt>
                <c:pt idx="1235">
                  <c:v>7.8039899999999998</c:v>
                </c:pt>
                <c:pt idx="1236">
                  <c:v>7.8039899999999998</c:v>
                </c:pt>
                <c:pt idx="1237">
                  <c:v>7.8045299999999997</c:v>
                </c:pt>
                <c:pt idx="1238">
                  <c:v>7.8035399999999999</c:v>
                </c:pt>
                <c:pt idx="1239">
                  <c:v>7.8097399999999997</c:v>
                </c:pt>
                <c:pt idx="1240">
                  <c:v>7.8168499999999996</c:v>
                </c:pt>
                <c:pt idx="1241">
                  <c:v>7.8214499999999996</c:v>
                </c:pt>
                <c:pt idx="1242">
                  <c:v>7.8214499999999996</c:v>
                </c:pt>
                <c:pt idx="1243">
                  <c:v>7.8214499999999996</c:v>
                </c:pt>
                <c:pt idx="1244">
                  <c:v>7.82029</c:v>
                </c:pt>
                <c:pt idx="1245">
                  <c:v>7.8288599999999997</c:v>
                </c:pt>
                <c:pt idx="1246">
                  <c:v>7.8301400000000001</c:v>
                </c:pt>
                <c:pt idx="1247">
                  <c:v>7.8365999999999998</c:v>
                </c:pt>
                <c:pt idx="1248">
                  <c:v>7.8380900000000002</c:v>
                </c:pt>
                <c:pt idx="1249">
                  <c:v>7.8380900000000002</c:v>
                </c:pt>
                <c:pt idx="1250">
                  <c:v>7.8380900000000002</c:v>
                </c:pt>
                <c:pt idx="1251">
                  <c:v>7.8295899999999996</c:v>
                </c:pt>
                <c:pt idx="1252">
                  <c:v>7.8291899999999996</c:v>
                </c:pt>
                <c:pt idx="1253">
                  <c:v>7.8374300000000003</c:v>
                </c:pt>
                <c:pt idx="1254">
                  <c:v>7.8375500000000002</c:v>
                </c:pt>
                <c:pt idx="1255">
                  <c:v>7.8385199999999999</c:v>
                </c:pt>
                <c:pt idx="1256">
                  <c:v>7.8385199999999999</c:v>
                </c:pt>
                <c:pt idx="1257">
                  <c:v>7.8385199999999999</c:v>
                </c:pt>
                <c:pt idx="1258">
                  <c:v>7.83317</c:v>
                </c:pt>
                <c:pt idx="1259">
                  <c:v>7.8332100000000002</c:v>
                </c:pt>
                <c:pt idx="1260">
                  <c:v>7.8337899999999996</c:v>
                </c:pt>
                <c:pt idx="1261">
                  <c:v>7.8390899999999997</c:v>
                </c:pt>
                <c:pt idx="1262">
                  <c:v>7.8392400000000002</c:v>
                </c:pt>
                <c:pt idx="1263">
                  <c:v>7.8392400000000002</c:v>
                </c:pt>
                <c:pt idx="1264">
                  <c:v>7.8392400000000002</c:v>
                </c:pt>
                <c:pt idx="1265">
                  <c:v>7.8337300000000001</c:v>
                </c:pt>
                <c:pt idx="1266">
                  <c:v>7.8421500000000002</c:v>
                </c:pt>
                <c:pt idx="1267">
                  <c:v>7.8376999999999999</c:v>
                </c:pt>
                <c:pt idx="1268">
                  <c:v>7.8396299999999997</c:v>
                </c:pt>
                <c:pt idx="1269">
                  <c:v>7.8430799999999996</c:v>
                </c:pt>
                <c:pt idx="1270">
                  <c:v>7.8430799999999996</c:v>
                </c:pt>
                <c:pt idx="1271">
                  <c:v>7.8430799999999996</c:v>
                </c:pt>
                <c:pt idx="1272">
                  <c:v>7.8344500000000004</c:v>
                </c:pt>
                <c:pt idx="1273">
                  <c:v>7.8406900000000004</c:v>
                </c:pt>
                <c:pt idx="1274">
                  <c:v>7.8432599999999999</c:v>
                </c:pt>
                <c:pt idx="1275">
                  <c:v>7.8457600000000003</c:v>
                </c:pt>
                <c:pt idx="1276">
                  <c:v>7.8457600000000003</c:v>
                </c:pt>
              </c:numCache>
            </c:numRef>
          </c:val>
          <c:smooth val="0"/>
          <c:extLst>
            <c:ext xmlns:c16="http://schemas.microsoft.com/office/drawing/2014/chart" uri="{C3380CC4-5D6E-409C-BE32-E72D297353CC}">
              <c16:uniqueId val="{00000002-9991-4FF5-A676-D38C9932C462}"/>
            </c:ext>
          </c:extLst>
        </c:ser>
        <c:dLbls>
          <c:showLegendKey val="0"/>
          <c:showVal val="0"/>
          <c:showCatName val="0"/>
          <c:showSerName val="0"/>
          <c:showPercent val="0"/>
          <c:showBubbleSize val="0"/>
        </c:dLbls>
        <c:smooth val="0"/>
        <c:axId val="304137936"/>
        <c:axId val="304134608"/>
      </c:lineChart>
      <c:dateAx>
        <c:axId val="304137936"/>
        <c:scaling>
          <c:orientation val="minMax"/>
          <c:min val="43862"/>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34608"/>
        <c:crosses val="autoZero"/>
        <c:auto val="1"/>
        <c:lblOffset val="100"/>
        <c:baseTimeUnit val="days"/>
        <c:majorUnit val="5"/>
        <c:majorTimeUnit val="months"/>
      </c:dateAx>
      <c:valAx>
        <c:axId val="304134608"/>
        <c:scaling>
          <c:orientation val="minMax"/>
          <c:max val="7.95"/>
          <c:min val="7.6"/>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Quetzales por USD$</a:t>
                </a:r>
              </a:p>
            </c:rich>
          </c:tx>
          <c:layout>
            <c:manualLayout>
              <c:xMode val="edge"/>
              <c:yMode val="edge"/>
              <c:x val="0"/>
              <c:y val="0.1445648028953821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37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DDDDDD">
          <a:lumMod val="50000"/>
        </a:srgb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43307086614173"/>
          <c:y val="6.4572938068682126E-2"/>
          <c:w val="0.84576109932661803"/>
          <c:h val="0.74937888414080323"/>
        </c:manualLayout>
      </c:layout>
      <c:lineChart>
        <c:grouping val="standard"/>
        <c:varyColors val="0"/>
        <c:ser>
          <c:idx val="0"/>
          <c:order val="0"/>
          <c:tx>
            <c:strRef>
              <c:f>TPM!$B$1</c:f>
              <c:strCache>
                <c:ptCount val="1"/>
                <c:pt idx="0">
                  <c:v>valor</c:v>
                </c:pt>
              </c:strCache>
            </c:strRef>
          </c:tx>
          <c:spPr>
            <a:ln w="19050" cap="rnd">
              <a:solidFill>
                <a:schemeClr val="accent1">
                  <a:lumMod val="50000"/>
                </a:schemeClr>
              </a:solidFill>
              <a:round/>
            </a:ln>
            <a:effectLst/>
          </c:spPr>
          <c:marker>
            <c:symbol val="none"/>
          </c:marker>
          <c:dLbls>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C3-482F-A6D8-2BC66A034412}"/>
                </c:ext>
              </c:extLst>
            </c:dLbl>
            <c:dLbl>
              <c:idx val="1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C3-482F-A6D8-2BC66A034412}"/>
                </c:ext>
              </c:extLst>
            </c:dLbl>
            <c:dLbl>
              <c:idx val="34"/>
              <c:layout>
                <c:manualLayout>
                  <c:x val="-0.11465296296296296"/>
                  <c:y val="-7.15699074074074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C3-482F-A6D8-2BC66A034412}"/>
                </c:ext>
              </c:extLst>
            </c:dLbl>
            <c:dLbl>
              <c:idx val="4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C3-482F-A6D8-2BC66A034412}"/>
                </c:ext>
              </c:extLst>
            </c:dLbl>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0"/>
            <c:showCatName val="0"/>
            <c:showSerName val="0"/>
            <c:showPercent val="0"/>
            <c:showBubbleSize val="0"/>
            <c:extLst>
              <c:ext xmlns:c15="http://schemas.microsoft.com/office/drawing/2012/chart" uri="{CE6537A1-D6FC-4f65-9D91-7224C49458BB}">
                <c15:showLeaderLines val="0"/>
              </c:ext>
            </c:extLst>
          </c:dLbls>
          <c:cat>
            <c:numRef>
              <c:f>TPM!$A$2:$A$43</c:f>
              <c:numCache>
                <c:formatCode>mmm\-yy</c:formatCode>
                <c:ptCount val="4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pt idx="32">
                  <c:v>44805</c:v>
                </c:pt>
                <c:pt idx="33">
                  <c:v>44835</c:v>
                </c:pt>
                <c:pt idx="34">
                  <c:v>44866</c:v>
                </c:pt>
                <c:pt idx="35">
                  <c:v>44896</c:v>
                </c:pt>
                <c:pt idx="36">
                  <c:v>44927</c:v>
                </c:pt>
                <c:pt idx="37">
                  <c:v>44958</c:v>
                </c:pt>
                <c:pt idx="38">
                  <c:v>44986</c:v>
                </c:pt>
                <c:pt idx="39">
                  <c:v>45017</c:v>
                </c:pt>
                <c:pt idx="40">
                  <c:v>45047</c:v>
                </c:pt>
                <c:pt idx="41">
                  <c:v>45078</c:v>
                </c:pt>
              </c:numCache>
            </c:numRef>
          </c:cat>
          <c:val>
            <c:numRef>
              <c:f>TPM!$B$2:$B$43</c:f>
              <c:numCache>
                <c:formatCode>General</c:formatCode>
                <c:ptCount val="42"/>
                <c:pt idx="0">
                  <c:v>2.75</c:v>
                </c:pt>
                <c:pt idx="1">
                  <c:v>2.75</c:v>
                </c:pt>
                <c:pt idx="2">
                  <c:v>2</c:v>
                </c:pt>
                <c:pt idx="3">
                  <c:v>2</c:v>
                </c:pt>
                <c:pt idx="4">
                  <c:v>2</c:v>
                </c:pt>
                <c:pt idx="5">
                  <c:v>1.75</c:v>
                </c:pt>
                <c:pt idx="6">
                  <c:v>1.75</c:v>
                </c:pt>
                <c:pt idx="7">
                  <c:v>1.75</c:v>
                </c:pt>
                <c:pt idx="8">
                  <c:v>1.75</c:v>
                </c:pt>
                <c:pt idx="9">
                  <c:v>1.75</c:v>
                </c:pt>
                <c:pt idx="10">
                  <c:v>1.75</c:v>
                </c:pt>
                <c:pt idx="11">
                  <c:v>1.75</c:v>
                </c:pt>
                <c:pt idx="12">
                  <c:v>1.75</c:v>
                </c:pt>
                <c:pt idx="13">
                  <c:v>1.75</c:v>
                </c:pt>
                <c:pt idx="14">
                  <c:v>1.75</c:v>
                </c:pt>
                <c:pt idx="15">
                  <c:v>1.75</c:v>
                </c:pt>
                <c:pt idx="16">
                  <c:v>1.75</c:v>
                </c:pt>
                <c:pt idx="17">
                  <c:v>1.75</c:v>
                </c:pt>
                <c:pt idx="18">
                  <c:v>1.75</c:v>
                </c:pt>
                <c:pt idx="19">
                  <c:v>1.75</c:v>
                </c:pt>
                <c:pt idx="20">
                  <c:v>1.75</c:v>
                </c:pt>
                <c:pt idx="21">
                  <c:v>1.75</c:v>
                </c:pt>
                <c:pt idx="22">
                  <c:v>1.75</c:v>
                </c:pt>
                <c:pt idx="23">
                  <c:v>1.75</c:v>
                </c:pt>
                <c:pt idx="24">
                  <c:v>1.75</c:v>
                </c:pt>
                <c:pt idx="25">
                  <c:v>1.75</c:v>
                </c:pt>
                <c:pt idx="26">
                  <c:v>1.75</c:v>
                </c:pt>
                <c:pt idx="27">
                  <c:v>1.75</c:v>
                </c:pt>
                <c:pt idx="28">
                  <c:v>2</c:v>
                </c:pt>
                <c:pt idx="29">
                  <c:v>2.25</c:v>
                </c:pt>
                <c:pt idx="30">
                  <c:v>2.25</c:v>
                </c:pt>
                <c:pt idx="31">
                  <c:v>2.75</c:v>
                </c:pt>
                <c:pt idx="32">
                  <c:v>3</c:v>
                </c:pt>
                <c:pt idx="33">
                  <c:v>3</c:v>
                </c:pt>
                <c:pt idx="34">
                  <c:v>3</c:v>
                </c:pt>
                <c:pt idx="35">
                  <c:v>3.75</c:v>
                </c:pt>
                <c:pt idx="36">
                  <c:v>4.25</c:v>
                </c:pt>
                <c:pt idx="37">
                  <c:v>4.5</c:v>
                </c:pt>
                <c:pt idx="38">
                  <c:v>4.75</c:v>
                </c:pt>
                <c:pt idx="39">
                  <c:v>5</c:v>
                </c:pt>
                <c:pt idx="40">
                  <c:v>5</c:v>
                </c:pt>
                <c:pt idx="41">
                  <c:v>5</c:v>
                </c:pt>
              </c:numCache>
            </c:numRef>
          </c:val>
          <c:smooth val="0"/>
          <c:extLst>
            <c:ext xmlns:c16="http://schemas.microsoft.com/office/drawing/2014/chart" uri="{C3380CC4-5D6E-409C-BE32-E72D297353CC}">
              <c16:uniqueId val="{00000004-F3C3-482F-A6D8-2BC66A034412}"/>
            </c:ext>
          </c:extLst>
        </c:ser>
        <c:dLbls>
          <c:showLegendKey val="0"/>
          <c:showVal val="0"/>
          <c:showCatName val="0"/>
          <c:showSerName val="0"/>
          <c:showPercent val="0"/>
          <c:showBubbleSize val="0"/>
        </c:dLbls>
        <c:smooth val="0"/>
        <c:axId val="304136688"/>
        <c:axId val="304161648"/>
      </c:lineChart>
      <c:dateAx>
        <c:axId val="304136688"/>
        <c:scaling>
          <c:orientation val="minMax"/>
          <c:min val="43862"/>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61648"/>
        <c:crosses val="autoZero"/>
        <c:auto val="1"/>
        <c:lblOffset val="100"/>
        <c:baseTimeUnit val="months"/>
      </c:dateAx>
      <c:valAx>
        <c:axId val="3041616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Porcentaje (%)</a:t>
                </a:r>
              </a:p>
            </c:rich>
          </c:tx>
          <c:layout>
            <c:manualLayout>
              <c:xMode val="edge"/>
              <c:yMode val="edge"/>
              <c:x val="0"/>
              <c:y val="0.2298454548185879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136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DDDDDD">
          <a:lumMod val="50000"/>
        </a:srgb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650940735809869E-3"/>
          <c:y val="5.1849428973070329E-2"/>
          <c:w val="0.99320590988773738"/>
          <c:h val="0.85944854326114717"/>
        </c:manualLayout>
      </c:layout>
      <c:barChart>
        <c:barDir val="col"/>
        <c:grouping val="stacked"/>
        <c:varyColors val="0"/>
        <c:ser>
          <c:idx val="0"/>
          <c:order val="0"/>
          <c:tx>
            <c:strRef>
              <c:f>Hoja1!$Q$3</c:f>
              <c:strCache>
                <c:ptCount val="1"/>
                <c:pt idx="0">
                  <c:v>Bajo</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Hoja1!$P$4:$P$8</c:f>
              <c:strCache>
                <c:ptCount val="5"/>
                <c:pt idx="0">
                  <c:v>PIB Real </c:v>
                </c:pt>
                <c:pt idx="1">
                  <c:v>PIB Nominal</c:v>
                </c:pt>
                <c:pt idx="2">
                  <c:v>Importaciones FOB</c:v>
                </c:pt>
                <c:pt idx="3">
                  <c:v>Exportaciones FOB</c:v>
                </c:pt>
                <c:pt idx="4">
                  <c:v>Inflación </c:v>
                </c:pt>
              </c:strCache>
            </c:strRef>
          </c:cat>
          <c:val>
            <c:numRef>
              <c:f>Hoja1!$Q$4:$Q$8</c:f>
              <c:numCache>
                <c:formatCode>General</c:formatCode>
                <c:ptCount val="5"/>
                <c:pt idx="0">
                  <c:v>2.5</c:v>
                </c:pt>
                <c:pt idx="1">
                  <c:v>7.2</c:v>
                </c:pt>
                <c:pt idx="2">
                  <c:v>6.5</c:v>
                </c:pt>
                <c:pt idx="3">
                  <c:v>4.5</c:v>
                </c:pt>
                <c:pt idx="4">
                  <c:v>3</c:v>
                </c:pt>
              </c:numCache>
            </c:numRef>
          </c:val>
          <c:extLst>
            <c:ext xmlns:c16="http://schemas.microsoft.com/office/drawing/2014/chart" uri="{C3380CC4-5D6E-409C-BE32-E72D297353CC}">
              <c16:uniqueId val="{00000000-3BDF-4F86-A282-2ED77B322B18}"/>
            </c:ext>
          </c:extLst>
        </c:ser>
        <c:ser>
          <c:idx val="1"/>
          <c:order val="1"/>
          <c:tx>
            <c:strRef>
              <c:f>Hoja1!$R$3</c:f>
              <c:strCache>
                <c:ptCount val="1"/>
                <c:pt idx="0">
                  <c:v>Medio</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Hoja1!$P$4:$P$8</c:f>
              <c:strCache>
                <c:ptCount val="5"/>
                <c:pt idx="0">
                  <c:v>PIB Real </c:v>
                </c:pt>
                <c:pt idx="1">
                  <c:v>PIB Nominal</c:v>
                </c:pt>
                <c:pt idx="2">
                  <c:v>Importaciones FOB</c:v>
                </c:pt>
                <c:pt idx="3">
                  <c:v>Exportaciones FOB</c:v>
                </c:pt>
                <c:pt idx="4">
                  <c:v>Inflación </c:v>
                </c:pt>
              </c:strCache>
            </c:strRef>
          </c:cat>
          <c:val>
            <c:numRef>
              <c:f>Hoja1!$R$4:$R$8</c:f>
              <c:numCache>
                <c:formatCode>General</c:formatCode>
                <c:ptCount val="5"/>
                <c:pt idx="0">
                  <c:v>3.5</c:v>
                </c:pt>
                <c:pt idx="1">
                  <c:v>8.1999999999999993</c:v>
                </c:pt>
                <c:pt idx="2">
                  <c:v>8</c:v>
                </c:pt>
                <c:pt idx="3">
                  <c:v>6</c:v>
                </c:pt>
                <c:pt idx="4">
                  <c:v>4</c:v>
                </c:pt>
              </c:numCache>
            </c:numRef>
          </c:val>
          <c:extLst>
            <c:ext xmlns:c16="http://schemas.microsoft.com/office/drawing/2014/chart" uri="{C3380CC4-5D6E-409C-BE32-E72D297353CC}">
              <c16:uniqueId val="{00000001-3BDF-4F86-A282-2ED77B322B18}"/>
            </c:ext>
          </c:extLst>
        </c:ser>
        <c:ser>
          <c:idx val="2"/>
          <c:order val="2"/>
          <c:tx>
            <c:strRef>
              <c:f>Hoja1!$S$3</c:f>
              <c:strCache>
                <c:ptCount val="1"/>
                <c:pt idx="0">
                  <c:v>Alto</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Hoja1!$P$4:$P$8</c:f>
              <c:strCache>
                <c:ptCount val="5"/>
                <c:pt idx="0">
                  <c:v>PIB Real </c:v>
                </c:pt>
                <c:pt idx="1">
                  <c:v>PIB Nominal</c:v>
                </c:pt>
                <c:pt idx="2">
                  <c:v>Importaciones FOB</c:v>
                </c:pt>
                <c:pt idx="3">
                  <c:v>Exportaciones FOB</c:v>
                </c:pt>
                <c:pt idx="4">
                  <c:v>Inflación </c:v>
                </c:pt>
              </c:strCache>
            </c:strRef>
          </c:cat>
          <c:val>
            <c:numRef>
              <c:f>Hoja1!$S$4:$S$8</c:f>
              <c:numCache>
                <c:formatCode>General</c:formatCode>
                <c:ptCount val="5"/>
                <c:pt idx="0">
                  <c:v>4.5</c:v>
                </c:pt>
                <c:pt idx="1">
                  <c:v>9.1999999999999993</c:v>
                </c:pt>
                <c:pt idx="2">
                  <c:v>9.5</c:v>
                </c:pt>
                <c:pt idx="3">
                  <c:v>7.5</c:v>
                </c:pt>
                <c:pt idx="4">
                  <c:v>5</c:v>
                </c:pt>
              </c:numCache>
            </c:numRef>
          </c:val>
          <c:extLst>
            <c:ext xmlns:c16="http://schemas.microsoft.com/office/drawing/2014/chart" uri="{C3380CC4-5D6E-409C-BE32-E72D297353CC}">
              <c16:uniqueId val="{00000002-3BDF-4F86-A282-2ED77B322B18}"/>
            </c:ext>
          </c:extLst>
        </c:ser>
        <c:dLbls>
          <c:showLegendKey val="0"/>
          <c:showVal val="0"/>
          <c:showCatName val="0"/>
          <c:showSerName val="0"/>
          <c:showPercent val="0"/>
          <c:showBubbleSize val="0"/>
        </c:dLbls>
        <c:gapWidth val="150"/>
        <c:overlap val="100"/>
        <c:axId val="304062640"/>
        <c:axId val="304063056"/>
      </c:barChart>
      <c:catAx>
        <c:axId val="30406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04063056"/>
        <c:crosses val="autoZero"/>
        <c:auto val="1"/>
        <c:lblAlgn val="ctr"/>
        <c:lblOffset val="100"/>
        <c:noMultiLvlLbl val="0"/>
      </c:catAx>
      <c:valAx>
        <c:axId val="304063056"/>
        <c:scaling>
          <c:orientation val="minMax"/>
        </c:scaling>
        <c:delete val="1"/>
        <c:axPos val="l"/>
        <c:numFmt formatCode="General" sourceLinked="1"/>
        <c:majorTickMark val="none"/>
        <c:minorTickMark val="none"/>
        <c:tickLblPos val="nextTo"/>
        <c:crossAx val="304062640"/>
        <c:crosses val="autoZero"/>
        <c:crossBetween val="between"/>
      </c:valAx>
      <c:spPr>
        <a:noFill/>
        <a:ln>
          <a:noFill/>
        </a:ln>
        <a:effectLst/>
      </c:spPr>
    </c:plotArea>
    <c:legend>
      <c:legendPos val="t"/>
      <c:layout>
        <c:manualLayout>
          <c:xMode val="edge"/>
          <c:yMode val="edge"/>
          <c:x val="0.39212898993890499"/>
          <c:y val="0"/>
          <c:w val="0.22472371990887463"/>
          <c:h val="7.405066198697157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DDDDDD">
          <a:lumMod val="50000"/>
        </a:srgbClr>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715129757021303E-2"/>
          <c:y val="4.0172184628514261E-2"/>
          <c:w val="0.93373408108323674"/>
          <c:h val="0.79822462619452772"/>
        </c:manualLayout>
      </c:layout>
      <c:barChart>
        <c:barDir val="col"/>
        <c:grouping val="clustered"/>
        <c:varyColors val="0"/>
        <c:ser>
          <c:idx val="0"/>
          <c:order val="0"/>
          <c:tx>
            <c:strRef>
              <c:f>Hoja1!$B$1</c:f>
              <c:strCache>
                <c:ptCount val="1"/>
                <c:pt idx="0">
                  <c:v>Meta</c:v>
                </c:pt>
              </c:strCache>
            </c:strRef>
          </c:tx>
          <c:spPr>
            <a:solidFill>
              <a:schemeClr val="accent1"/>
            </a:solidFill>
            <a:ln>
              <a:noFill/>
            </a:ln>
            <a:effectLst>
              <a:outerShdw blurRad="50800" dist="38100" dir="5400000" algn="t" rotWithShape="0">
                <a:prstClr val="black">
                  <a:alpha val="40000"/>
                </a:prstClr>
              </a:outerShdw>
            </a:effectLst>
          </c:spPr>
          <c:invertIfNegative val="0"/>
          <c:dLbls>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#,##0.0</c:formatCode>
                <c:ptCount val="6"/>
                <c:pt idx="0">
                  <c:v>8006.9883923214684</c:v>
                </c:pt>
                <c:pt idx="1">
                  <c:v>13399.190804586648</c:v>
                </c:pt>
                <c:pt idx="2">
                  <c:v>20893.901390386371</c:v>
                </c:pt>
                <c:pt idx="3">
                  <c:v>29481.139310436745</c:v>
                </c:pt>
                <c:pt idx="4">
                  <c:v>35700.327441830748</c:v>
                </c:pt>
                <c:pt idx="5">
                  <c:v>41782.432698885379</c:v>
                </c:pt>
              </c:numCache>
            </c:numRef>
          </c:val>
          <c:extLst>
            <c:ext xmlns:c16="http://schemas.microsoft.com/office/drawing/2014/chart" uri="{C3380CC4-5D6E-409C-BE32-E72D297353CC}">
              <c16:uniqueId val="{00000000-80F8-422B-B141-F25233FE2A54}"/>
            </c:ext>
          </c:extLst>
        </c:ser>
        <c:dLbls>
          <c:showLegendKey val="0"/>
          <c:showVal val="0"/>
          <c:showCatName val="0"/>
          <c:showSerName val="0"/>
          <c:showPercent val="0"/>
          <c:showBubbleSize val="0"/>
        </c:dLbls>
        <c:gapWidth val="30"/>
        <c:overlap val="-27"/>
        <c:axId val="643078032"/>
        <c:axId val="643078360"/>
      </c:barChart>
      <c:lineChart>
        <c:grouping val="standard"/>
        <c:varyColors val="0"/>
        <c:ser>
          <c:idx val="1"/>
          <c:order val="1"/>
          <c:tx>
            <c:strRef>
              <c:f>Hoja1!$C$1</c:f>
              <c:strCache>
                <c:ptCount val="1"/>
                <c:pt idx="0">
                  <c:v>Observado</c:v>
                </c:pt>
              </c:strCache>
            </c:strRef>
          </c:tx>
          <c:spPr>
            <a:ln w="28575" cap="rnd">
              <a:solidFill>
                <a:srgbClr val="FF0000"/>
              </a:solidFill>
              <a:round/>
            </a:ln>
            <a:effectLst/>
          </c:spPr>
          <c:marker>
            <c:symbol val="circle"/>
            <c:size val="5"/>
            <c:spPr>
              <a:solidFill>
                <a:schemeClr val="bg1"/>
              </a:solidFill>
              <a:ln w="9525">
                <a:solidFill>
                  <a:schemeClr val="accent2"/>
                </a:solidFill>
              </a:ln>
              <a:effectLst/>
            </c:spPr>
          </c:marker>
          <c:dLbls>
            <c:dLbl>
              <c:idx val="0"/>
              <c:layout>
                <c:manualLayout>
                  <c:x val="-8.0554725451904591E-2"/>
                  <c:y val="-5.124630121871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F8-422B-B141-F25233FE2A54}"/>
                </c:ext>
              </c:extLst>
            </c:dLbl>
            <c:dLbl>
              <c:idx val="1"/>
              <c:layout>
                <c:manualLayout>
                  <c:x val="-9.7657949420047116E-2"/>
                  <c:y val="-5.124630121871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0F8-422B-B141-F25233FE2A54}"/>
                </c:ext>
              </c:extLst>
            </c:dLbl>
            <c:dLbl>
              <c:idx val="2"/>
              <c:layout>
                <c:manualLayout>
                  <c:x val="-0.10387202813240586"/>
                  <c:y val="-3.97535209662197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F8-422B-B141-F25233FE2A54}"/>
                </c:ext>
              </c:extLst>
            </c:dLbl>
            <c:dLbl>
              <c:idx val="3"/>
              <c:layout>
                <c:manualLayout>
                  <c:x val="-0.12014649978108437"/>
                  <c:y val="-3.34064350815441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0F8-422B-B141-F25233FE2A54}"/>
                </c:ext>
              </c:extLst>
            </c:dLbl>
            <c:dLbl>
              <c:idx val="4"/>
              <c:layout>
                <c:manualLayout>
                  <c:x val="-9.7801634570612403E-2"/>
                  <c:y val="-3.86401251088547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F8-422B-B141-F25233FE2A54}"/>
                </c:ext>
              </c:extLst>
            </c:dLbl>
            <c:dLbl>
              <c:idx val="5"/>
              <c:layout>
                <c:manualLayout>
                  <c:x val="-1.9309678976587013E-2"/>
                  <c:y val="-4.443033957473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0F8-422B-B141-F25233FE2A54}"/>
                </c:ext>
              </c:extLst>
            </c:dLbl>
            <c:numFmt formatCode="#,##0.0" sourceLinked="0"/>
            <c:spPr>
              <a:noFill/>
              <a:ln>
                <a:noFill/>
              </a:ln>
              <a:effectLst/>
            </c:spPr>
            <c:txPr>
              <a:bodyPr rot="0" spcFirstLastPara="1" vertOverflow="ellipsis" vert="horz" wrap="square" anchor="ctr" anchorCtr="1"/>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Hoja1!$C$2:$C$7</c:f>
              <c:numCache>
                <c:formatCode>#,##0.0</c:formatCode>
                <c:ptCount val="6"/>
                <c:pt idx="0">
                  <c:v>8872.9790806299989</c:v>
                </c:pt>
                <c:pt idx="1">
                  <c:v>14618.577397669998</c:v>
                </c:pt>
                <c:pt idx="2">
                  <c:v>22981.374418299998</c:v>
                </c:pt>
                <c:pt idx="3">
                  <c:v>32821.984081139992</c:v>
                </c:pt>
                <c:pt idx="4">
                  <c:v>39681.107500089995</c:v>
                </c:pt>
                <c:pt idx="5">
                  <c:v>46252.802679430017</c:v>
                </c:pt>
              </c:numCache>
            </c:numRef>
          </c:val>
          <c:smooth val="0"/>
          <c:extLst>
            <c:ext xmlns:c16="http://schemas.microsoft.com/office/drawing/2014/chart" uri="{C3380CC4-5D6E-409C-BE32-E72D297353CC}">
              <c16:uniqueId val="{00000007-80F8-422B-B141-F25233FE2A54}"/>
            </c:ext>
          </c:extLst>
        </c:ser>
        <c:dLbls>
          <c:showLegendKey val="0"/>
          <c:showVal val="0"/>
          <c:showCatName val="0"/>
          <c:showSerName val="0"/>
          <c:showPercent val="0"/>
          <c:showBubbleSize val="0"/>
        </c:dLbls>
        <c:marker val="1"/>
        <c:smooth val="0"/>
        <c:axId val="643078032"/>
        <c:axId val="643078360"/>
      </c:lineChart>
      <c:catAx>
        <c:axId val="64307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43078360"/>
        <c:crosses val="autoZero"/>
        <c:auto val="1"/>
        <c:lblAlgn val="ctr"/>
        <c:lblOffset val="100"/>
        <c:noMultiLvlLbl val="0"/>
      </c:catAx>
      <c:valAx>
        <c:axId val="643078360"/>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43078032"/>
        <c:crosses val="autoZero"/>
        <c:crossBetween val="between"/>
      </c:valAx>
      <c:spPr>
        <a:noFill/>
        <a:ln>
          <a:noFill/>
        </a:ln>
        <a:effectLst/>
      </c:spPr>
    </c:plotArea>
    <c:legend>
      <c:legendPos val="b"/>
      <c:layout>
        <c:manualLayout>
          <c:xMode val="edge"/>
          <c:yMode val="edge"/>
          <c:x val="0.2264793689809578"/>
          <c:y val="0.91951552481576615"/>
          <c:w val="0.48579778641386123"/>
          <c:h val="8.0484492715598391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DDDDDD">
          <a:lumMod val="50000"/>
        </a:srgbClr>
      </a:solid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none" spc="0" normalizeH="0" baseline="0">
                <a:solidFill>
                  <a:schemeClr val="tx1"/>
                </a:solidFill>
                <a:effectLst/>
                <a:latin typeface="Times New Roman" panose="02020603050405020304" pitchFamily="18" charset="0"/>
                <a:ea typeface="+mj-ea"/>
                <a:cs typeface="Times New Roman" panose="02020603050405020304" pitchFamily="18" charset="0"/>
              </a:defRPr>
            </a:pPr>
            <a:r>
              <a:rPr lang="es-GT" sz="800">
                <a:solidFill>
                  <a:schemeClr val="tx1"/>
                </a:solidFill>
              </a:rPr>
              <a:t>IVA doméstico </a:t>
            </a:r>
          </a:p>
          <a:p>
            <a:pPr>
              <a:defRPr sz="800" b="1" i="0" u="none" strike="noStrike" kern="1200" cap="none" spc="0" normalizeH="0" baseline="0">
                <a:solidFill>
                  <a:schemeClr val="tx1"/>
                </a:solidFill>
                <a:effectLst/>
                <a:latin typeface="Times New Roman" panose="02020603050405020304" pitchFamily="18" charset="0"/>
                <a:ea typeface="+mj-ea"/>
                <a:cs typeface="Times New Roman" panose="02020603050405020304" pitchFamily="18" charset="0"/>
              </a:defRPr>
            </a:pPr>
            <a:r>
              <a:rPr lang="es-GT" sz="800">
                <a:solidFill>
                  <a:schemeClr val="tx1"/>
                </a:solidFill>
              </a:rPr>
              <a:t>Millones de quetzales</a:t>
            </a:r>
          </a:p>
        </c:rich>
      </c:tx>
      <c:layout>
        <c:manualLayout>
          <c:xMode val="edge"/>
          <c:yMode val="edge"/>
          <c:x val="0.29437961993474815"/>
          <c:y val="0"/>
        </c:manualLayout>
      </c:layout>
      <c:overlay val="0"/>
      <c:spPr>
        <a:noFill/>
        <a:ln>
          <a:noFill/>
        </a:ln>
        <a:effectLst/>
      </c:spPr>
    </c:title>
    <c:autoTitleDeleted val="0"/>
    <c:plotArea>
      <c:layout>
        <c:manualLayout>
          <c:layoutTarget val="inner"/>
          <c:xMode val="edge"/>
          <c:yMode val="edge"/>
          <c:x val="0.11759773881639851"/>
          <c:y val="0.13275654697948908"/>
          <c:w val="0.87934206033812157"/>
          <c:h val="0.69930347301292017"/>
        </c:manualLayout>
      </c:layout>
      <c:lineChart>
        <c:grouping val="standard"/>
        <c:varyColors val="0"/>
        <c:ser>
          <c:idx val="0"/>
          <c:order val="0"/>
          <c:tx>
            <c:strRef>
              <c:f>Hoja1!$B$1</c:f>
              <c:strCache>
                <c:ptCount val="1"/>
                <c:pt idx="0">
                  <c:v>Obs</c:v>
                </c:pt>
              </c:strCache>
            </c:strRef>
          </c:tx>
          <c:spPr>
            <a:ln>
              <a:solidFill>
                <a:srgbClr val="C00000"/>
              </a:solidFill>
            </a:ln>
            <a:effectLst/>
          </c:spPr>
          <c:marker>
            <c:symbol val="circle"/>
            <c:size val="6"/>
            <c:spPr>
              <a:solidFill>
                <a:schemeClr val="bg1"/>
              </a:solidFill>
            </c:spPr>
          </c:marker>
          <c:dLbls>
            <c:dLbl>
              <c:idx val="0"/>
              <c:layout>
                <c:manualLayout>
                  <c:x val="-2.2351363433169423E-2"/>
                  <c:y val="-3.64009228402973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21-4AE5-B19E-6A23EA65FD23}"/>
                </c:ext>
              </c:extLst>
            </c:dLbl>
            <c:dLbl>
              <c:idx val="1"/>
              <c:layout>
                <c:manualLayout>
                  <c:x val="-7.5994635672776076E-2"/>
                  <c:y val="-0.1081773904127146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21-4AE5-B19E-6A23EA65FD23}"/>
                </c:ext>
              </c:extLst>
            </c:dLbl>
            <c:numFmt formatCode="#,##0.0" sourceLinked="0"/>
            <c:spPr>
              <a:noFill/>
              <a:ln>
                <a:noFill/>
              </a:ln>
              <a:effectLst/>
            </c:spPr>
            <c:txPr>
              <a:bodyPr wrap="square" lIns="38100" tIns="19050" rIns="38100" bIns="19050" anchor="ctr">
                <a:spAutoFit/>
              </a:bodyPr>
              <a:lstStyle/>
              <a:p>
                <a:pPr>
                  <a:defRPr sz="800"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Hoja1!$B$2:$B$7</c:f>
              <c:numCache>
                <c:formatCode>_(* #,##0.00_);_(* \(#,##0.00\);_(* "-"??_);_(@_)</c:formatCode>
                <c:ptCount val="6"/>
                <c:pt idx="0">
                  <c:v>2000.1930876099998</c:v>
                </c:pt>
                <c:pt idx="1">
                  <c:v>1613.58731227</c:v>
                </c:pt>
                <c:pt idx="2">
                  <c:v>1586.38016573</c:v>
                </c:pt>
                <c:pt idx="3">
                  <c:v>1794.04671745</c:v>
                </c:pt>
                <c:pt idx="4">
                  <c:v>1753.3325340899999</c:v>
                </c:pt>
                <c:pt idx="5">
                  <c:v>1722.8267836</c:v>
                </c:pt>
              </c:numCache>
            </c:numRef>
          </c:val>
          <c:smooth val="1"/>
          <c:extLst>
            <c:ext xmlns:c16="http://schemas.microsoft.com/office/drawing/2014/chart" uri="{C3380CC4-5D6E-409C-BE32-E72D297353CC}">
              <c16:uniqueId val="{00000002-8E21-4AE5-B19E-6A23EA65FD23}"/>
            </c:ext>
          </c:extLst>
        </c:ser>
        <c:ser>
          <c:idx val="1"/>
          <c:order val="1"/>
          <c:tx>
            <c:strRef>
              <c:f>Hoja1!$C$1</c:f>
              <c:strCache>
                <c:ptCount val="1"/>
                <c:pt idx="0">
                  <c:v>Meta</c:v>
                </c:pt>
              </c:strCache>
            </c:strRef>
          </c:tx>
          <c:spPr>
            <a:ln>
              <a:solidFill>
                <a:schemeClr val="tx1"/>
              </a:solidFill>
              <a:prstDash val="sysDot"/>
            </a:ln>
            <a:effectLst>
              <a:glow rad="50800">
                <a:schemeClr val="accent6">
                  <a:satMod val="175000"/>
                  <a:alpha val="40000"/>
                </a:schemeClr>
              </a:glow>
            </a:effectLst>
          </c:spPr>
          <c:marker>
            <c:symbol val="star"/>
            <c:size val="6"/>
            <c:spPr>
              <a:solidFill>
                <a:schemeClr val="bg1"/>
              </a:solidFill>
              <a:ln>
                <a:solidFill>
                  <a:schemeClr val="tx1"/>
                </a:solidFill>
              </a:ln>
              <a:effectLst>
                <a:glow rad="50800">
                  <a:schemeClr val="accent6">
                    <a:satMod val="175000"/>
                    <a:alpha val="40000"/>
                  </a:schemeClr>
                </a:glow>
              </a:effectLst>
            </c:spPr>
          </c:marker>
          <c:dLbls>
            <c:dLbl>
              <c:idx val="0"/>
              <c:layout>
                <c:manualLayout>
                  <c:x val="-0.12069736253911491"/>
                  <c:y val="0.103050499871827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21-4AE5-B19E-6A23EA65FD23}"/>
                </c:ext>
              </c:extLst>
            </c:dLbl>
            <c:dLbl>
              <c:idx val="3"/>
              <c:numFmt formatCode="#,##0.0" sourceLinked="0"/>
              <c:spPr>
                <a:noFill/>
                <a:ln>
                  <a:noFill/>
                </a:ln>
                <a:effectLst/>
              </c:spPr>
              <c:txPr>
                <a:bodyPr wrap="square" lIns="38100" tIns="19050" rIns="38100" bIns="19050" anchor="ctr">
                  <a:noAutofit/>
                </a:bodyPr>
                <a:lstStyle/>
                <a:p>
                  <a:pPr>
                    <a:defRPr sz="800" b="1"/>
                  </a:pPr>
                  <a:endParaRPr lang="es-GT"/>
                </a:p>
              </c:txPr>
              <c:dLblPos val="b"/>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8E21-4AE5-B19E-6A23EA65FD23}"/>
                </c:ext>
              </c:extLst>
            </c:dLbl>
            <c:numFmt formatCode="#,##0.0" sourceLinked="0"/>
            <c:spPr>
              <a:noFill/>
              <a:ln>
                <a:noFill/>
              </a:ln>
              <a:effectLst/>
            </c:spPr>
            <c:txPr>
              <a:bodyPr wrap="square" lIns="38100" tIns="19050" rIns="38100" bIns="19050" anchor="ctr">
                <a:spAutoFit/>
              </a:bodyPr>
              <a:lstStyle/>
              <a:p>
                <a:pPr>
                  <a:defRPr sz="800" b="1"/>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Hoja1!$C$2:$C$7</c:f>
              <c:numCache>
                <c:formatCode>_(* #,##0.00_);_(* \(#,##0.00\);_(* "-"??_);_(@_)</c:formatCode>
                <c:ptCount val="6"/>
                <c:pt idx="0">
                  <c:v>1829.92977767</c:v>
                </c:pt>
                <c:pt idx="1">
                  <c:v>1477.2912715099999</c:v>
                </c:pt>
                <c:pt idx="2">
                  <c:v>1456.8392973099999</c:v>
                </c:pt>
                <c:pt idx="3">
                  <c:v>1534.39675132</c:v>
                </c:pt>
                <c:pt idx="4">
                  <c:v>1537.66989586</c:v>
                </c:pt>
                <c:pt idx="5">
                  <c:v>1608.0366941899999</c:v>
                </c:pt>
              </c:numCache>
            </c:numRef>
          </c:val>
          <c:smooth val="1"/>
          <c:extLst>
            <c:ext xmlns:c16="http://schemas.microsoft.com/office/drawing/2014/chart" uri="{C3380CC4-5D6E-409C-BE32-E72D297353CC}">
              <c16:uniqueId val="{00000005-8E21-4AE5-B19E-6A23EA65FD23}"/>
            </c:ext>
          </c:extLst>
        </c:ser>
        <c:dLbls>
          <c:showLegendKey val="0"/>
          <c:showVal val="0"/>
          <c:showCatName val="0"/>
          <c:showSerName val="0"/>
          <c:showPercent val="0"/>
          <c:showBubbleSize val="0"/>
        </c:dLbls>
        <c:marker val="1"/>
        <c:smooth val="0"/>
        <c:axId val="172998656"/>
        <c:axId val="173000192"/>
      </c:lineChart>
      <c:catAx>
        <c:axId val="17299865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173000192"/>
        <c:crosses val="autoZero"/>
        <c:auto val="1"/>
        <c:lblAlgn val="ctr"/>
        <c:lblOffset val="100"/>
        <c:noMultiLvlLbl val="0"/>
      </c:catAx>
      <c:valAx>
        <c:axId val="173000192"/>
        <c:scaling>
          <c:orientation val="minMax"/>
          <c:min val="12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17299865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1.6704187144392185E-2"/>
          <c:y val="0.92578795579910078"/>
          <c:w val="0.98329596373095296"/>
          <c:h val="7.3688064959293531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12700" cap="flat" cmpd="sng" algn="ctr">
      <a:solidFill>
        <a:srgbClr val="DDDDDD">
          <a:lumMod val="50000"/>
        </a:srgbClr>
      </a:solidFill>
      <a:round/>
    </a:ln>
    <a:effectLst/>
  </c:spPr>
  <c:txPr>
    <a:bodyPr/>
    <a:lstStyle/>
    <a:p>
      <a:pPr>
        <a:defRPr>
          <a:effectLst/>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s-GT" sz="800">
                <a:solidFill>
                  <a:schemeClr val="tx1"/>
                </a:solidFill>
              </a:rPr>
              <a:t>IVA importaciones</a:t>
            </a:r>
          </a:p>
          <a:p>
            <a:pPr>
              <a:defRPr sz="8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s-GT" sz="800">
                <a:solidFill>
                  <a:schemeClr val="tx1"/>
                </a:solidFill>
              </a:rPr>
              <a:t>Millones de quetzales</a:t>
            </a:r>
          </a:p>
        </c:rich>
      </c:tx>
      <c:layout>
        <c:manualLayout>
          <c:xMode val="edge"/>
          <c:yMode val="edge"/>
          <c:x val="0.3254969325153374"/>
          <c:y val="0"/>
        </c:manualLayout>
      </c:layout>
      <c:overlay val="0"/>
      <c:spPr>
        <a:noFill/>
        <a:ln>
          <a:noFill/>
        </a:ln>
        <a:effectLst/>
      </c:spPr>
    </c:title>
    <c:autoTitleDeleted val="0"/>
    <c:plotArea>
      <c:layout>
        <c:manualLayout>
          <c:layoutTarget val="inner"/>
          <c:xMode val="edge"/>
          <c:yMode val="edge"/>
          <c:x val="0.12353422950565084"/>
          <c:y val="0.16179124528865171"/>
          <c:w val="0.86371759294352135"/>
          <c:h val="0.63731354410997243"/>
        </c:manualLayout>
      </c:layout>
      <c:lineChart>
        <c:grouping val="standard"/>
        <c:varyColors val="0"/>
        <c:ser>
          <c:idx val="0"/>
          <c:order val="0"/>
          <c:tx>
            <c:strRef>
              <c:f>Hoja1!$B$1</c:f>
              <c:strCache>
                <c:ptCount val="1"/>
                <c:pt idx="0">
                  <c:v>Obs</c:v>
                </c:pt>
              </c:strCache>
            </c:strRef>
          </c:tx>
          <c:spPr>
            <a:ln>
              <a:solidFill>
                <a:srgbClr val="C00000"/>
              </a:solidFill>
            </a:ln>
            <a:effectLst/>
          </c:spPr>
          <c:marker>
            <c:symbol val="circle"/>
            <c:size val="5"/>
            <c:spPr>
              <a:solidFill>
                <a:schemeClr val="bg1"/>
              </a:solidFill>
            </c:spPr>
          </c:marker>
          <c:dLbls>
            <c:dLbl>
              <c:idx val="1"/>
              <c:layout>
                <c:manualLayout>
                  <c:x val="-0.11035454332002823"/>
                  <c:y val="-0.1423593827775012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FC-42A3-A9A8-5206FDD7DB5F}"/>
                </c:ext>
              </c:extLst>
            </c:dLbl>
            <c:dLbl>
              <c:idx val="3"/>
              <c:layout>
                <c:manualLayout>
                  <c:x val="-9.6266729279173513E-2"/>
                  <c:y val="5.17670482827277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FC-42A3-A9A8-5206FDD7DB5F}"/>
                </c:ext>
              </c:extLst>
            </c:dLbl>
            <c:numFmt formatCode="#,##0.0" sourceLinked="0"/>
            <c:spPr>
              <a:noFill/>
              <a:ln>
                <a:noFill/>
              </a:ln>
              <a:effectLst/>
            </c:spPr>
            <c:txPr>
              <a:bodyPr wrap="square" lIns="38100" tIns="19050" rIns="38100" bIns="19050" anchor="ctr">
                <a:spAutoFit/>
              </a:bodyPr>
              <a:lstStyle/>
              <a:p>
                <a:pPr>
                  <a:defRPr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Hoja1!$B$2:$B$7</c:f>
              <c:numCache>
                <c:formatCode>#,##0.0</c:formatCode>
                <c:ptCount val="6"/>
                <c:pt idx="0">
                  <c:v>1940.6491865099999</c:v>
                </c:pt>
                <c:pt idx="1">
                  <c:v>1752.0499015599999</c:v>
                </c:pt>
                <c:pt idx="2" formatCode="General">
                  <c:v>2040.5328904100002</c:v>
                </c:pt>
                <c:pt idx="3" formatCode="General">
                  <c:v>1741.8712604100001</c:v>
                </c:pt>
                <c:pt idx="4" formatCode="General">
                  <c:v>2123.0983384599999</c:v>
                </c:pt>
                <c:pt idx="5" formatCode="General">
                  <c:v>2070.7163673800001</c:v>
                </c:pt>
              </c:numCache>
            </c:numRef>
          </c:val>
          <c:smooth val="1"/>
          <c:extLst>
            <c:ext xmlns:c16="http://schemas.microsoft.com/office/drawing/2014/chart" uri="{C3380CC4-5D6E-409C-BE32-E72D297353CC}">
              <c16:uniqueId val="{00000002-54FC-42A3-A9A8-5206FDD7DB5F}"/>
            </c:ext>
          </c:extLst>
        </c:ser>
        <c:ser>
          <c:idx val="1"/>
          <c:order val="1"/>
          <c:tx>
            <c:strRef>
              <c:f>Hoja1!$C$1</c:f>
              <c:strCache>
                <c:ptCount val="1"/>
                <c:pt idx="0">
                  <c:v>Meta</c:v>
                </c:pt>
              </c:strCache>
            </c:strRef>
          </c:tx>
          <c:spPr>
            <a:ln>
              <a:solidFill>
                <a:schemeClr val="tx1"/>
              </a:solidFill>
            </a:ln>
            <a:effectLst>
              <a:glow rad="50800">
                <a:schemeClr val="accent6">
                  <a:satMod val="175000"/>
                  <a:alpha val="40000"/>
                </a:schemeClr>
              </a:glow>
            </a:effectLst>
          </c:spPr>
          <c:marker>
            <c:symbol val="star"/>
            <c:size val="6"/>
            <c:spPr>
              <a:solidFill>
                <a:schemeClr val="bg1"/>
              </a:solidFill>
              <a:ln>
                <a:solidFill>
                  <a:schemeClr val="tx1"/>
                </a:solidFill>
                <a:prstDash val="sysDot"/>
              </a:ln>
              <a:effectLst>
                <a:glow rad="50800">
                  <a:schemeClr val="accent6">
                    <a:satMod val="175000"/>
                    <a:alpha val="40000"/>
                  </a:schemeClr>
                </a:glow>
              </a:effectLst>
            </c:spPr>
          </c:marker>
          <c:dLbls>
            <c:dLbl>
              <c:idx val="3"/>
              <c:layout>
                <c:manualLayout>
                  <c:x val="-0.10331063629960092"/>
                  <c:y val="-7.41662518666002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FC-42A3-A9A8-5206FDD7DB5F}"/>
                </c:ext>
              </c:extLst>
            </c:dLbl>
            <c:numFmt formatCode="#,##0.0" sourceLinked="0"/>
            <c:spPr>
              <a:noFill/>
              <a:ln>
                <a:noFill/>
              </a:ln>
              <a:effectLst/>
            </c:spPr>
            <c:txPr>
              <a:bodyPr wrap="square" lIns="38100" tIns="19050" rIns="38100" bIns="19050" anchor="ctr">
                <a:spAutoFit/>
              </a:bodyPr>
              <a:lstStyle/>
              <a:p>
                <a:pPr>
                  <a:defRPr b="1"/>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Hoja1!$C$2:$C$7</c:f>
              <c:numCache>
                <c:formatCode>#,##0.0</c:formatCode>
                <c:ptCount val="6"/>
                <c:pt idx="0">
                  <c:v>1740.7238174200002</c:v>
                </c:pt>
                <c:pt idx="1">
                  <c:v>1676.9073837599999</c:v>
                </c:pt>
                <c:pt idx="2" formatCode="General">
                  <c:v>1893.4448267499999</c:v>
                </c:pt>
                <c:pt idx="3" formatCode="General">
                  <c:v>1870.8019994599999</c:v>
                </c:pt>
                <c:pt idx="4" formatCode="General">
                  <c:v>2013.6496494200001</c:v>
                </c:pt>
                <c:pt idx="5" formatCode="General">
                  <c:v>1916.66913277</c:v>
                </c:pt>
              </c:numCache>
            </c:numRef>
          </c:val>
          <c:smooth val="1"/>
          <c:extLst>
            <c:ext xmlns:c16="http://schemas.microsoft.com/office/drawing/2014/chart" uri="{C3380CC4-5D6E-409C-BE32-E72D297353CC}">
              <c16:uniqueId val="{00000004-54FC-42A3-A9A8-5206FDD7DB5F}"/>
            </c:ext>
          </c:extLst>
        </c:ser>
        <c:dLbls>
          <c:showLegendKey val="0"/>
          <c:showVal val="0"/>
          <c:showCatName val="0"/>
          <c:showSerName val="0"/>
          <c:showPercent val="0"/>
          <c:showBubbleSize val="0"/>
        </c:dLbls>
        <c:marker val="1"/>
        <c:smooth val="0"/>
        <c:axId val="210309120"/>
        <c:axId val="210310656"/>
      </c:lineChart>
      <c:catAx>
        <c:axId val="21030912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0310656"/>
        <c:crosses val="autoZero"/>
        <c:auto val="1"/>
        <c:lblAlgn val="ctr"/>
        <c:lblOffset val="100"/>
        <c:noMultiLvlLbl val="0"/>
      </c:catAx>
      <c:valAx>
        <c:axId val="210310656"/>
        <c:scaling>
          <c:orientation val="minMax"/>
          <c:min val="14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0309120"/>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7.3766900292665408E-4"/>
          <c:y val="0.92648089418538637"/>
          <c:w val="0.9992623309970734"/>
          <c:h val="6.098720544127176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6350" cap="flat" cmpd="sng" algn="ctr">
      <a:solidFill>
        <a:srgbClr val="DDDDDD">
          <a:lumMod val="50000"/>
        </a:srgbClr>
      </a:solid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863950925937872E-2"/>
          <c:y val="2.5437730916160493E-2"/>
          <c:w val="0.85980678390085574"/>
          <c:h val="0.77675287306810958"/>
        </c:manualLayout>
      </c:layout>
      <c:lineChart>
        <c:grouping val="standard"/>
        <c:varyColors val="0"/>
        <c:ser>
          <c:idx val="0"/>
          <c:order val="0"/>
          <c:spPr>
            <a:ln>
              <a:solidFill>
                <a:schemeClr val="accent2">
                  <a:lumMod val="75000"/>
                </a:schemeClr>
              </a:solidFill>
            </a:ln>
          </c:spPr>
          <c:marker>
            <c:symbol val="none"/>
          </c:marker>
          <c:dLbls>
            <c:dLbl>
              <c:idx val="113"/>
              <c:layout>
                <c:manualLayout>
                  <c:x val="0"/>
                  <c:y val="4.96414782129067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9A-43F7-9CF0-A197AD8F3986}"/>
                </c:ext>
              </c:extLst>
            </c:dLbl>
            <c:spPr>
              <a:noFill/>
              <a:ln>
                <a:noFill/>
              </a:ln>
              <a:effectLst/>
            </c:spPr>
            <c:txPr>
              <a:bodyPr wrap="square" lIns="38100" tIns="19050" rIns="38100" bIns="19050" anchor="ctr">
                <a:spAutoFit/>
              </a:bodyPr>
              <a:lstStyle/>
              <a:p>
                <a:pPr>
                  <a:defRPr sz="900"/>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'!$A$32:$A$145</c:f>
              <c:numCache>
                <c:formatCode>mmm\-yy</c:formatCode>
                <c:ptCount val="114"/>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numCache>
            </c:numRef>
          </c:cat>
          <c:val>
            <c:numRef>
              <c:f>'Inflación '!$B$32:$B$145</c:f>
              <c:numCache>
                <c:formatCode>0.00</c:formatCode>
                <c:ptCount val="114"/>
                <c:pt idx="0">
                  <c:v>3.23</c:v>
                </c:pt>
                <c:pt idx="1">
                  <c:v>3.26</c:v>
                </c:pt>
                <c:pt idx="2">
                  <c:v>3.19</c:v>
                </c:pt>
                <c:pt idx="3">
                  <c:v>3.18</c:v>
                </c:pt>
                <c:pt idx="4">
                  <c:v>3.21</c:v>
                </c:pt>
                <c:pt idx="5">
                  <c:v>3.23</c:v>
                </c:pt>
                <c:pt idx="6">
                  <c:v>3.27</c:v>
                </c:pt>
                <c:pt idx="7">
                  <c:v>3.2</c:v>
                </c:pt>
                <c:pt idx="8">
                  <c:v>3.1</c:v>
                </c:pt>
                <c:pt idx="9">
                  <c:v>3.11</c:v>
                </c:pt>
                <c:pt idx="10">
                  <c:v>3.13</c:v>
                </c:pt>
                <c:pt idx="11">
                  <c:v>3.15</c:v>
                </c:pt>
                <c:pt idx="12">
                  <c:v>3.17</c:v>
                </c:pt>
                <c:pt idx="13">
                  <c:v>3.2</c:v>
                </c:pt>
                <c:pt idx="14">
                  <c:v>3.24</c:v>
                </c:pt>
                <c:pt idx="15">
                  <c:v>3.18</c:v>
                </c:pt>
                <c:pt idx="16">
                  <c:v>3.26</c:v>
                </c:pt>
                <c:pt idx="17">
                  <c:v>3.18</c:v>
                </c:pt>
                <c:pt idx="18">
                  <c:v>3.15</c:v>
                </c:pt>
                <c:pt idx="19">
                  <c:v>3.03</c:v>
                </c:pt>
                <c:pt idx="20">
                  <c:v>2.94</c:v>
                </c:pt>
                <c:pt idx="21">
                  <c:v>3</c:v>
                </c:pt>
                <c:pt idx="22">
                  <c:v>3.06</c:v>
                </c:pt>
                <c:pt idx="23">
                  <c:v>3.05</c:v>
                </c:pt>
                <c:pt idx="24">
                  <c:v>3.16</c:v>
                </c:pt>
                <c:pt idx="25">
                  <c:v>3.1</c:v>
                </c:pt>
                <c:pt idx="26">
                  <c:v>3.08</c:v>
                </c:pt>
                <c:pt idx="27">
                  <c:v>3.03</c:v>
                </c:pt>
                <c:pt idx="28">
                  <c:v>2.87</c:v>
                </c:pt>
                <c:pt idx="29">
                  <c:v>2.94</c:v>
                </c:pt>
                <c:pt idx="30">
                  <c:v>2.92</c:v>
                </c:pt>
                <c:pt idx="31">
                  <c:v>2.76</c:v>
                </c:pt>
                <c:pt idx="32">
                  <c:v>2.84</c:v>
                </c:pt>
                <c:pt idx="33">
                  <c:v>2.9</c:v>
                </c:pt>
                <c:pt idx="34">
                  <c:v>2.94</c:v>
                </c:pt>
                <c:pt idx="35">
                  <c:v>2.96</c:v>
                </c:pt>
                <c:pt idx="36">
                  <c:v>2.66</c:v>
                </c:pt>
                <c:pt idx="37">
                  <c:v>2.57</c:v>
                </c:pt>
                <c:pt idx="38">
                  <c:v>2.62</c:v>
                </c:pt>
                <c:pt idx="39">
                  <c:v>2.58</c:v>
                </c:pt>
                <c:pt idx="40">
                  <c:v>2.61</c:v>
                </c:pt>
                <c:pt idx="41">
                  <c:v>2.6</c:v>
                </c:pt>
                <c:pt idx="42">
                  <c:v>2.57</c:v>
                </c:pt>
                <c:pt idx="43">
                  <c:v>2.79</c:v>
                </c:pt>
                <c:pt idx="44">
                  <c:v>2.87</c:v>
                </c:pt>
                <c:pt idx="45">
                  <c:v>2.9</c:v>
                </c:pt>
                <c:pt idx="46">
                  <c:v>2.92</c:v>
                </c:pt>
                <c:pt idx="47">
                  <c:v>2.95</c:v>
                </c:pt>
                <c:pt idx="48">
                  <c:v>2.66</c:v>
                </c:pt>
                <c:pt idx="49">
                  <c:v>2.57</c:v>
                </c:pt>
                <c:pt idx="50">
                  <c:v>2.62</c:v>
                </c:pt>
                <c:pt idx="51">
                  <c:v>2.58</c:v>
                </c:pt>
                <c:pt idx="52">
                  <c:v>2.61</c:v>
                </c:pt>
                <c:pt idx="53">
                  <c:v>2.6</c:v>
                </c:pt>
                <c:pt idx="54">
                  <c:v>2.57</c:v>
                </c:pt>
                <c:pt idx="55">
                  <c:v>2.79</c:v>
                </c:pt>
                <c:pt idx="56">
                  <c:v>2.87</c:v>
                </c:pt>
                <c:pt idx="57">
                  <c:v>2.9</c:v>
                </c:pt>
                <c:pt idx="58">
                  <c:v>2.92</c:v>
                </c:pt>
                <c:pt idx="59">
                  <c:v>2.95</c:v>
                </c:pt>
                <c:pt idx="60">
                  <c:v>3.03</c:v>
                </c:pt>
                <c:pt idx="61">
                  <c:v>3.07</c:v>
                </c:pt>
                <c:pt idx="62">
                  <c:v>2.94</c:v>
                </c:pt>
                <c:pt idx="63">
                  <c:v>3.04</c:v>
                </c:pt>
                <c:pt idx="64">
                  <c:v>3.02</c:v>
                </c:pt>
                <c:pt idx="65">
                  <c:v>3.09</c:v>
                </c:pt>
                <c:pt idx="66">
                  <c:v>3.16</c:v>
                </c:pt>
                <c:pt idx="67">
                  <c:v>3.05</c:v>
                </c:pt>
                <c:pt idx="68">
                  <c:v>2.88</c:v>
                </c:pt>
                <c:pt idx="69">
                  <c:v>2.98</c:v>
                </c:pt>
                <c:pt idx="70">
                  <c:v>3.07</c:v>
                </c:pt>
                <c:pt idx="71">
                  <c:v>3.12</c:v>
                </c:pt>
                <c:pt idx="72">
                  <c:v>2.5635174197474555</c:v>
                </c:pt>
                <c:pt idx="73">
                  <c:v>2.4121975271182379</c:v>
                </c:pt>
                <c:pt idx="74">
                  <c:v>2.4478694469628266</c:v>
                </c:pt>
                <c:pt idx="75">
                  <c:v>2.3538287438702241</c:v>
                </c:pt>
                <c:pt idx="76">
                  <c:v>2.2756386105040889</c:v>
                </c:pt>
                <c:pt idx="77">
                  <c:v>2.1313320825516087</c:v>
                </c:pt>
                <c:pt idx="78">
                  <c:v>2.0330368487928752</c:v>
                </c:pt>
                <c:pt idx="79">
                  <c:v>2.0620097123646133</c:v>
                </c:pt>
                <c:pt idx="80">
                  <c:v>2.0998356000597767</c:v>
                </c:pt>
                <c:pt idx="81">
                  <c:v>2.2093282749386276</c:v>
                </c:pt>
                <c:pt idx="82">
                  <c:v>2.2579212318625963</c:v>
                </c:pt>
                <c:pt idx="83">
                  <c:v>2.3329641934293193</c:v>
                </c:pt>
                <c:pt idx="84">
                  <c:v>2.69</c:v>
                </c:pt>
                <c:pt idx="85">
                  <c:v>2.71</c:v>
                </c:pt>
                <c:pt idx="86">
                  <c:v>2.79</c:v>
                </c:pt>
                <c:pt idx="87">
                  <c:v>2.84</c:v>
                </c:pt>
                <c:pt idx="88">
                  <c:v>2.89</c:v>
                </c:pt>
                <c:pt idx="89">
                  <c:v>3.05</c:v>
                </c:pt>
                <c:pt idx="90">
                  <c:v>3.09</c:v>
                </c:pt>
                <c:pt idx="91">
                  <c:v>3.18</c:v>
                </c:pt>
                <c:pt idx="92">
                  <c:v>3.3</c:v>
                </c:pt>
                <c:pt idx="93">
                  <c:v>3.17</c:v>
                </c:pt>
                <c:pt idx="94">
                  <c:v>3.11</c:v>
                </c:pt>
                <c:pt idx="95">
                  <c:v>3.2</c:v>
                </c:pt>
                <c:pt idx="96">
                  <c:v>3.29</c:v>
                </c:pt>
                <c:pt idx="97">
                  <c:v>3.37</c:v>
                </c:pt>
                <c:pt idx="98">
                  <c:v>3.47</c:v>
                </c:pt>
                <c:pt idx="99">
                  <c:v>3.71</c:v>
                </c:pt>
                <c:pt idx="100">
                  <c:v>4.12</c:v>
                </c:pt>
                <c:pt idx="101">
                  <c:v>4.34</c:v>
                </c:pt>
                <c:pt idx="102">
                  <c:v>4.5999999999999996</c:v>
                </c:pt>
                <c:pt idx="103">
                  <c:v>4.8499999999999996</c:v>
                </c:pt>
                <c:pt idx="104">
                  <c:v>4.92</c:v>
                </c:pt>
                <c:pt idx="105">
                  <c:v>5.09</c:v>
                </c:pt>
                <c:pt idx="106">
                  <c:v>5.03</c:v>
                </c:pt>
                <c:pt idx="107">
                  <c:v>5.04</c:v>
                </c:pt>
                <c:pt idx="108">
                  <c:v>5.24</c:v>
                </c:pt>
                <c:pt idx="109">
                  <c:v>5.36</c:v>
                </c:pt>
                <c:pt idx="110">
                  <c:v>5.08</c:v>
                </c:pt>
                <c:pt idx="111">
                  <c:v>4.99</c:v>
                </c:pt>
                <c:pt idx="112">
                  <c:v>4.6900000000000004</c:v>
                </c:pt>
                <c:pt idx="113">
                  <c:v>4.32</c:v>
                </c:pt>
              </c:numCache>
            </c:numRef>
          </c:val>
          <c:smooth val="0"/>
          <c:extLst>
            <c:ext xmlns:c16="http://schemas.microsoft.com/office/drawing/2014/chart" uri="{C3380CC4-5D6E-409C-BE32-E72D297353CC}">
              <c16:uniqueId val="{00000001-899A-43F7-9CF0-A197AD8F3986}"/>
            </c:ext>
          </c:extLst>
        </c:ser>
        <c:ser>
          <c:idx val="1"/>
          <c:order val="1"/>
          <c:spPr>
            <a:ln>
              <a:solidFill>
                <a:schemeClr val="accent3"/>
              </a:solidFill>
            </a:ln>
          </c:spPr>
          <c:marker>
            <c:symbol val="none"/>
          </c:marker>
          <c:cat>
            <c:numRef>
              <c:f>'Inflación '!$A$32:$A$145</c:f>
              <c:numCache>
                <c:formatCode>mmm\-yy</c:formatCode>
                <c:ptCount val="114"/>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numCache>
            </c:numRef>
          </c:cat>
          <c:val>
            <c:numRef>
              <c:f>'Inflación '!$C$32:$C$145</c:f>
              <c:numCache>
                <c:formatCode>0.00</c:formatCode>
                <c:ptCount val="114"/>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numCache>
            </c:numRef>
          </c:val>
          <c:smooth val="0"/>
          <c:extLst>
            <c:ext xmlns:c16="http://schemas.microsoft.com/office/drawing/2014/chart" uri="{C3380CC4-5D6E-409C-BE32-E72D297353CC}">
              <c16:uniqueId val="{00000002-899A-43F7-9CF0-A197AD8F3986}"/>
            </c:ext>
          </c:extLst>
        </c:ser>
        <c:ser>
          <c:idx val="2"/>
          <c:order val="2"/>
          <c:spPr>
            <a:ln>
              <a:solidFill>
                <a:srgbClr val="44546A">
                  <a:lumMod val="50000"/>
                </a:srgbClr>
              </a:solidFill>
            </a:ln>
          </c:spPr>
          <c:marker>
            <c:symbol val="none"/>
          </c:marker>
          <c:dLbls>
            <c:dLbl>
              <c:idx val="113"/>
              <c:layout>
                <c:manualLayout>
                  <c:x val="2.262955419778064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9A-43F7-9CF0-A197AD8F3986}"/>
                </c:ext>
              </c:extLst>
            </c:dLbl>
            <c:spPr>
              <a:noFill/>
              <a:ln>
                <a:noFill/>
              </a:ln>
              <a:effectLst/>
            </c:spPr>
            <c:txPr>
              <a:bodyPr wrap="square" lIns="38100" tIns="19050" rIns="38100" bIns="19050" anchor="ctr">
                <a:spAutoFit/>
              </a:bodyPr>
              <a:lstStyle/>
              <a:p>
                <a:pPr>
                  <a:defRPr sz="900"/>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'!$A$32:$A$145</c:f>
              <c:numCache>
                <c:formatCode>mmm\-yy</c:formatCode>
                <c:ptCount val="114"/>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numCache>
            </c:numRef>
          </c:cat>
          <c:val>
            <c:numRef>
              <c:f>'Inflación '!$D$32:$D$145</c:f>
              <c:numCache>
                <c:formatCode>0.00</c:formatCode>
                <c:ptCount val="114"/>
                <c:pt idx="0">
                  <c:v>4.1399999999999997</c:v>
                </c:pt>
                <c:pt idx="1">
                  <c:v>3.5</c:v>
                </c:pt>
                <c:pt idx="2">
                  <c:v>3.25</c:v>
                </c:pt>
                <c:pt idx="3">
                  <c:v>3.27</c:v>
                </c:pt>
                <c:pt idx="4">
                  <c:v>3.22</c:v>
                </c:pt>
                <c:pt idx="5">
                  <c:v>3.13</c:v>
                </c:pt>
                <c:pt idx="6">
                  <c:v>3.41</c:v>
                </c:pt>
                <c:pt idx="7">
                  <c:v>3.7</c:v>
                </c:pt>
                <c:pt idx="8">
                  <c:v>3.45</c:v>
                </c:pt>
                <c:pt idx="9">
                  <c:v>3.64</c:v>
                </c:pt>
                <c:pt idx="10">
                  <c:v>3.38</c:v>
                </c:pt>
                <c:pt idx="11">
                  <c:v>2.95</c:v>
                </c:pt>
                <c:pt idx="12">
                  <c:v>2.3199999999999998</c:v>
                </c:pt>
                <c:pt idx="13">
                  <c:v>2.44</c:v>
                </c:pt>
                <c:pt idx="14">
                  <c:v>2.4300000000000002</c:v>
                </c:pt>
                <c:pt idx="15">
                  <c:v>2.58</c:v>
                </c:pt>
                <c:pt idx="16">
                  <c:v>2.5499999999999998</c:v>
                </c:pt>
                <c:pt idx="17">
                  <c:v>2.39</c:v>
                </c:pt>
                <c:pt idx="18">
                  <c:v>2.3199999999999998</c:v>
                </c:pt>
                <c:pt idx="19">
                  <c:v>1.96</c:v>
                </c:pt>
                <c:pt idx="20">
                  <c:v>1.88</c:v>
                </c:pt>
                <c:pt idx="21">
                  <c:v>2.23</c:v>
                </c:pt>
                <c:pt idx="22">
                  <c:v>2.5099999999999998</c:v>
                </c:pt>
                <c:pt idx="23">
                  <c:v>3.07</c:v>
                </c:pt>
                <c:pt idx="24">
                  <c:v>4.38</c:v>
                </c:pt>
                <c:pt idx="25">
                  <c:v>4.2699999999999996</c:v>
                </c:pt>
                <c:pt idx="26">
                  <c:v>4.26</c:v>
                </c:pt>
                <c:pt idx="27">
                  <c:v>4.09</c:v>
                </c:pt>
                <c:pt idx="28">
                  <c:v>4.3600000000000003</c:v>
                </c:pt>
                <c:pt idx="29">
                  <c:v>4.43</c:v>
                </c:pt>
                <c:pt idx="30">
                  <c:v>4.62</c:v>
                </c:pt>
                <c:pt idx="31">
                  <c:v>4.74</c:v>
                </c:pt>
                <c:pt idx="32">
                  <c:v>4.5599999999999996</c:v>
                </c:pt>
                <c:pt idx="33">
                  <c:v>4.76</c:v>
                </c:pt>
                <c:pt idx="34">
                  <c:v>4.67</c:v>
                </c:pt>
                <c:pt idx="35">
                  <c:v>4.2300000000000004</c:v>
                </c:pt>
                <c:pt idx="36">
                  <c:v>3.83</c:v>
                </c:pt>
                <c:pt idx="37">
                  <c:v>3.96</c:v>
                </c:pt>
                <c:pt idx="38">
                  <c:v>4</c:v>
                </c:pt>
                <c:pt idx="39">
                  <c:v>4.09</c:v>
                </c:pt>
                <c:pt idx="40">
                  <c:v>3.93</c:v>
                </c:pt>
                <c:pt idx="41">
                  <c:v>4.3600000000000003</c:v>
                </c:pt>
                <c:pt idx="42">
                  <c:v>5.22</c:v>
                </c:pt>
                <c:pt idx="43">
                  <c:v>4.72</c:v>
                </c:pt>
                <c:pt idx="44">
                  <c:v>4.3600000000000003</c:v>
                </c:pt>
                <c:pt idx="45">
                  <c:v>4.2</c:v>
                </c:pt>
                <c:pt idx="46">
                  <c:v>4.6900000000000004</c:v>
                </c:pt>
                <c:pt idx="47">
                  <c:v>5.68</c:v>
                </c:pt>
                <c:pt idx="48">
                  <c:v>4.71</c:v>
                </c:pt>
                <c:pt idx="49">
                  <c:v>4.1500000000000004</c:v>
                </c:pt>
                <c:pt idx="50">
                  <c:v>4.1399999999999997</c:v>
                </c:pt>
                <c:pt idx="51">
                  <c:v>3.92</c:v>
                </c:pt>
                <c:pt idx="52">
                  <c:v>4.09</c:v>
                </c:pt>
                <c:pt idx="53">
                  <c:v>3.79</c:v>
                </c:pt>
                <c:pt idx="54">
                  <c:v>2.61</c:v>
                </c:pt>
                <c:pt idx="55">
                  <c:v>3.36</c:v>
                </c:pt>
                <c:pt idx="56">
                  <c:v>4.55</c:v>
                </c:pt>
                <c:pt idx="57">
                  <c:v>4.34</c:v>
                </c:pt>
                <c:pt idx="58">
                  <c:v>3.15</c:v>
                </c:pt>
                <c:pt idx="59">
                  <c:v>2.31</c:v>
                </c:pt>
                <c:pt idx="60">
                  <c:v>4.0999999999999996</c:v>
                </c:pt>
                <c:pt idx="61">
                  <c:v>4.46</c:v>
                </c:pt>
                <c:pt idx="62">
                  <c:v>4.17</c:v>
                </c:pt>
                <c:pt idx="63">
                  <c:v>4.75</c:v>
                </c:pt>
                <c:pt idx="64">
                  <c:v>4.54</c:v>
                </c:pt>
                <c:pt idx="65">
                  <c:v>4.8</c:v>
                </c:pt>
                <c:pt idx="66">
                  <c:v>4.37</c:v>
                </c:pt>
                <c:pt idx="67">
                  <c:v>3.01</c:v>
                </c:pt>
                <c:pt idx="68">
                  <c:v>1.8</c:v>
                </c:pt>
                <c:pt idx="69">
                  <c:v>2.17</c:v>
                </c:pt>
                <c:pt idx="70">
                  <c:v>2.92</c:v>
                </c:pt>
                <c:pt idx="71">
                  <c:v>3.41</c:v>
                </c:pt>
                <c:pt idx="72">
                  <c:v>1.78</c:v>
                </c:pt>
                <c:pt idx="73">
                  <c:v>1.24</c:v>
                </c:pt>
                <c:pt idx="74">
                  <c:v>1.77</c:v>
                </c:pt>
                <c:pt idx="75">
                  <c:v>1.88</c:v>
                </c:pt>
                <c:pt idx="76">
                  <c:v>1.8</c:v>
                </c:pt>
                <c:pt idx="77">
                  <c:v>2.39</c:v>
                </c:pt>
                <c:pt idx="78">
                  <c:v>2.88</c:v>
                </c:pt>
                <c:pt idx="79">
                  <c:v>4.1900000000000004</c:v>
                </c:pt>
                <c:pt idx="80">
                  <c:v>4.97</c:v>
                </c:pt>
                <c:pt idx="81">
                  <c:v>5.34</c:v>
                </c:pt>
                <c:pt idx="82">
                  <c:v>5.46</c:v>
                </c:pt>
                <c:pt idx="83">
                  <c:v>4.82</c:v>
                </c:pt>
                <c:pt idx="84">
                  <c:v>5.24</c:v>
                </c:pt>
                <c:pt idx="85">
                  <c:v>6</c:v>
                </c:pt>
                <c:pt idx="86">
                  <c:v>5.84</c:v>
                </c:pt>
                <c:pt idx="87">
                  <c:v>5.2</c:v>
                </c:pt>
                <c:pt idx="88">
                  <c:v>5.17</c:v>
                </c:pt>
                <c:pt idx="89">
                  <c:v>3.91</c:v>
                </c:pt>
                <c:pt idx="90">
                  <c:v>3.82</c:v>
                </c:pt>
                <c:pt idx="91">
                  <c:v>3.62</c:v>
                </c:pt>
                <c:pt idx="92">
                  <c:v>3.67</c:v>
                </c:pt>
                <c:pt idx="93">
                  <c:v>2.9560982209294338</c:v>
                </c:pt>
                <c:pt idx="94">
                  <c:v>2.89</c:v>
                </c:pt>
                <c:pt idx="95">
                  <c:v>3.07</c:v>
                </c:pt>
                <c:pt idx="96">
                  <c:v>2.87</c:v>
                </c:pt>
                <c:pt idx="97">
                  <c:v>2.98</c:v>
                </c:pt>
                <c:pt idx="98">
                  <c:v>4.1711158569140281</c:v>
                </c:pt>
                <c:pt idx="99">
                  <c:v>4.62</c:v>
                </c:pt>
                <c:pt idx="100">
                  <c:v>5.82</c:v>
                </c:pt>
                <c:pt idx="101">
                  <c:v>7.5538134467180384</c:v>
                </c:pt>
                <c:pt idx="102">
                  <c:v>8.3565090716461157</c:v>
                </c:pt>
                <c:pt idx="103">
                  <c:v>8.8746448159650981</c:v>
                </c:pt>
                <c:pt idx="104">
                  <c:v>9.0339597757995307</c:v>
                </c:pt>
                <c:pt idx="105">
                  <c:v>9.6999999999999993</c:v>
                </c:pt>
                <c:pt idx="106">
                  <c:v>9.17</c:v>
                </c:pt>
                <c:pt idx="107">
                  <c:v>9.24</c:v>
                </c:pt>
                <c:pt idx="108">
                  <c:v>9.69</c:v>
                </c:pt>
                <c:pt idx="109">
                  <c:v>9.92</c:v>
                </c:pt>
                <c:pt idx="110">
                  <c:v>8.7100000000000009</c:v>
                </c:pt>
                <c:pt idx="111">
                  <c:v>8.32</c:v>
                </c:pt>
                <c:pt idx="112">
                  <c:v>6.54</c:v>
                </c:pt>
                <c:pt idx="113">
                  <c:v>4.93</c:v>
                </c:pt>
              </c:numCache>
            </c:numRef>
          </c:val>
          <c:smooth val="0"/>
          <c:extLst>
            <c:ext xmlns:c16="http://schemas.microsoft.com/office/drawing/2014/chart" uri="{C3380CC4-5D6E-409C-BE32-E72D297353CC}">
              <c16:uniqueId val="{00000004-899A-43F7-9CF0-A197AD8F3986}"/>
            </c:ext>
          </c:extLst>
        </c:ser>
        <c:ser>
          <c:idx val="3"/>
          <c:order val="3"/>
          <c:marker>
            <c:symbol val="none"/>
          </c:marker>
          <c:cat>
            <c:numRef>
              <c:f>'Inflación '!$A$32:$A$145</c:f>
              <c:numCache>
                <c:formatCode>mmm\-yy</c:formatCode>
                <c:ptCount val="114"/>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numCache>
            </c:numRef>
          </c:cat>
          <c:val>
            <c:numRef>
              <c:f>'Inflación '!$E$32:$E$145</c:f>
              <c:numCache>
                <c:formatCode>0.00</c:formatCode>
                <c:ptCount val="114"/>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numCache>
            </c:numRef>
          </c:val>
          <c:smooth val="0"/>
          <c:extLst>
            <c:ext xmlns:c16="http://schemas.microsoft.com/office/drawing/2014/chart" uri="{C3380CC4-5D6E-409C-BE32-E72D297353CC}">
              <c16:uniqueId val="{00000005-899A-43F7-9CF0-A197AD8F3986}"/>
            </c:ext>
          </c:extLst>
        </c:ser>
        <c:dLbls>
          <c:showLegendKey val="0"/>
          <c:showVal val="0"/>
          <c:showCatName val="0"/>
          <c:showSerName val="0"/>
          <c:showPercent val="0"/>
          <c:showBubbleSize val="0"/>
        </c:dLbls>
        <c:smooth val="0"/>
        <c:axId val="82068992"/>
        <c:axId val="82070528"/>
      </c:lineChart>
      <c:dateAx>
        <c:axId val="82068992"/>
        <c:scaling>
          <c:orientation val="minMax"/>
        </c:scaling>
        <c:delete val="0"/>
        <c:axPos val="b"/>
        <c:numFmt formatCode="mmm\-yy" sourceLinked="1"/>
        <c:majorTickMark val="out"/>
        <c:minorTickMark val="none"/>
        <c:tickLblPos val="nextTo"/>
        <c:txPr>
          <a:bodyPr/>
          <a:lstStyle/>
          <a:p>
            <a:pPr>
              <a:defRPr b="1"/>
            </a:pPr>
            <a:endParaRPr lang="es-GT"/>
          </a:p>
        </c:txPr>
        <c:crossAx val="82070528"/>
        <c:crosses val="autoZero"/>
        <c:auto val="1"/>
        <c:lblOffset val="100"/>
        <c:baseTimeUnit val="months"/>
        <c:majorUnit val="3"/>
        <c:majorTimeUnit val="months"/>
      </c:dateAx>
      <c:valAx>
        <c:axId val="82070528"/>
        <c:scaling>
          <c:orientation val="minMax"/>
        </c:scaling>
        <c:delete val="0"/>
        <c:axPos val="l"/>
        <c:numFmt formatCode="0.00" sourceLinked="1"/>
        <c:majorTickMark val="out"/>
        <c:minorTickMark val="none"/>
        <c:tickLblPos val="nextTo"/>
        <c:txPr>
          <a:bodyPr/>
          <a:lstStyle/>
          <a:p>
            <a:pPr>
              <a:defRPr b="1"/>
            </a:pPr>
            <a:endParaRPr lang="es-GT"/>
          </a:p>
        </c:txPr>
        <c:crossAx val="82068992"/>
        <c:crosses val="autoZero"/>
        <c:crossBetween val="between"/>
      </c:valAx>
    </c:plotArea>
    <c:plotVisOnly val="1"/>
    <c:dispBlanksAs val="gap"/>
    <c:showDLblsOverMax val="0"/>
  </c:chart>
  <c:spPr>
    <a:ln>
      <a:solidFill>
        <a:sysClr val="windowText" lastClr="000000"/>
      </a:solidFill>
    </a:ln>
  </c:spPr>
  <c:txPr>
    <a:bodyPr/>
    <a:lstStyle/>
    <a:p>
      <a:pPr>
        <a:defRPr sz="105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0"/>
      <c:depthPercent val="10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114143138099789"/>
          <c:w val="1"/>
          <c:h val="0.8885856861900211"/>
        </c:manualLayout>
      </c:layout>
      <c:pie3DChart>
        <c:varyColors val="1"/>
        <c:ser>
          <c:idx val="0"/>
          <c:order val="0"/>
          <c:tx>
            <c:strRef>
              <c:f>Hoja1!$B$1</c:f>
              <c:strCache>
                <c:ptCount val="1"/>
                <c:pt idx="0">
                  <c:v>Recaudado a marzo</c:v>
                </c:pt>
              </c:strCache>
            </c:strRef>
          </c:tx>
          <c:dPt>
            <c:idx val="0"/>
            <c:bubble3D val="0"/>
            <c:explosion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702-4D08-9FD9-5A1A84AC4CF8}"/>
              </c:ext>
            </c:extLst>
          </c:dPt>
          <c:dPt>
            <c:idx val="1"/>
            <c:bubble3D val="0"/>
            <c:explosion val="1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702-4D08-9FD9-5A1A84AC4CF8}"/>
              </c:ext>
            </c:extLst>
          </c:dPt>
          <c:dPt>
            <c:idx val="2"/>
            <c:bubble3D val="0"/>
            <c:explosion val="5"/>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F702-4D08-9FD9-5A1A84AC4CF8}"/>
              </c:ext>
            </c:extLst>
          </c:dPt>
          <c:dPt>
            <c:idx val="3"/>
            <c:bubble3D val="0"/>
            <c:explosion val="4"/>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F702-4D08-9FD9-5A1A84AC4CF8}"/>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F702-4D08-9FD9-5A1A84AC4CF8}"/>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F702-4D08-9FD9-5A1A84AC4CF8}"/>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F702-4D08-9FD9-5A1A84AC4CF8}"/>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F702-4D08-9FD9-5A1A84AC4CF8}"/>
              </c:ext>
            </c:extLst>
          </c:dPt>
          <c:dPt>
            <c:idx val="8"/>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F702-4D08-9FD9-5A1A84AC4CF8}"/>
              </c:ext>
            </c:extLst>
          </c:dPt>
          <c:dLbls>
            <c:dLbl>
              <c:idx val="0"/>
              <c:layout>
                <c:manualLayout>
                  <c:x val="-1.2221969457918412E-2"/>
                  <c:y val="-0.1601971231656089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702-4D08-9FD9-5A1A84AC4CF8}"/>
                </c:ext>
              </c:extLst>
            </c:dLbl>
            <c:dLbl>
              <c:idx val="1"/>
              <c:layout>
                <c:manualLayout>
                  <c:x val="-0.20550938611776035"/>
                  <c:y val="-1.1725693346689344E-1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702-4D08-9FD9-5A1A84AC4CF8}"/>
                </c:ext>
              </c:extLst>
            </c:dLbl>
            <c:dLbl>
              <c:idx val="2"/>
              <c:layout>
                <c:manualLayout>
                  <c:x val="1.1369468423023752E-3"/>
                  <c:y val="1.687814287045255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702-4D08-9FD9-5A1A84AC4CF8}"/>
                </c:ext>
              </c:extLst>
            </c:dLbl>
            <c:dLbl>
              <c:idx val="3"/>
              <c:layout>
                <c:manualLayout>
                  <c:x val="-7.6323334638163626E-2"/>
                  <c:y val="3.812061068317851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702-4D08-9FD9-5A1A84AC4CF8}"/>
                </c:ext>
              </c:extLst>
            </c:dLbl>
            <c:dLbl>
              <c:idx val="4"/>
              <c:layout>
                <c:manualLayout>
                  <c:x val="-0.12827636536633977"/>
                  <c:y val="-1.664345842282986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702-4D08-9FD9-5A1A84AC4CF8}"/>
                </c:ext>
              </c:extLst>
            </c:dLbl>
            <c:dLbl>
              <c:idx val="5"/>
              <c:layout>
                <c:manualLayout>
                  <c:x val="2.3613493556992986E-2"/>
                  <c:y val="0"/>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702-4D08-9FD9-5A1A84AC4CF8}"/>
                </c:ext>
              </c:extLst>
            </c:dLbl>
            <c:dLbl>
              <c:idx val="6"/>
              <c:layout>
                <c:manualLayout>
                  <c:x val="5.6907694514552E-2"/>
                  <c:y val="-6.724002483006601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702-4D08-9FD9-5A1A84AC4CF8}"/>
                </c:ext>
              </c:extLst>
            </c:dLbl>
            <c:dLbl>
              <c:idx val="7"/>
              <c:layout>
                <c:manualLayout>
                  <c:x val="0.12485064182339098"/>
                  <c:y val="-0.1362464873441359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702-4D08-9FD9-5A1A84AC4CF8}"/>
                </c:ext>
              </c:extLst>
            </c:dLbl>
            <c:dLbl>
              <c:idx val="8"/>
              <c:layout>
                <c:manualLayout>
                  <c:x val="0.1755680650701528"/>
                  <c:y val="-3.837533065972249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702-4D08-9FD9-5A1A84AC4CF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Hoja1!$A$2:$A$10</c:f>
              <c:strCache>
                <c:ptCount val="9"/>
                <c:pt idx="0">
                  <c:v>Sobre la Renta</c:v>
                </c:pt>
                <c:pt idx="1">
                  <c:v>IVA Importaciones</c:v>
                </c:pt>
                <c:pt idx="2">
                  <c:v>IVA Doméstico</c:v>
                </c:pt>
                <c:pt idx="3">
                  <c:v>Impuesto de Solidaridad</c:v>
                </c:pt>
                <c:pt idx="4">
                  <c:v>Derivados del Petróleo</c:v>
                </c:pt>
                <c:pt idx="5">
                  <c:v>Derechos Arancelarios</c:v>
                </c:pt>
                <c:pt idx="6">
                  <c:v>IPRIMA</c:v>
                </c:pt>
                <c:pt idx="7">
                  <c:v>Bebidas</c:v>
                </c:pt>
                <c:pt idx="8">
                  <c:v>Los demás</c:v>
                </c:pt>
              </c:strCache>
            </c:strRef>
          </c:cat>
          <c:val>
            <c:numRef>
              <c:f>Hoja1!$B$2:$B$10</c:f>
              <c:numCache>
                <c:formatCode>_(* #,##0.0_);_(* \(#,##0.0\);_(* "-"??_);_(@_)</c:formatCode>
                <c:ptCount val="9"/>
                <c:pt idx="0">
                  <c:v>2046.1498554800182</c:v>
                </c:pt>
                <c:pt idx="1">
                  <c:v>556.72113514997909</c:v>
                </c:pt>
                <c:pt idx="2">
                  <c:v>1026.2029128900031</c:v>
                </c:pt>
                <c:pt idx="3">
                  <c:v>518.58579252000027</c:v>
                </c:pt>
                <c:pt idx="4">
                  <c:v>59.873218989998804</c:v>
                </c:pt>
                <c:pt idx="5">
                  <c:v>88.904458460001251</c:v>
                </c:pt>
                <c:pt idx="6">
                  <c:v>106.47190646000013</c:v>
                </c:pt>
                <c:pt idx="7">
                  <c:v>50.027731500000186</c:v>
                </c:pt>
                <c:pt idx="8">
                  <c:v>17.432969094630607</c:v>
                </c:pt>
              </c:numCache>
            </c:numRef>
          </c:val>
          <c:extLst>
            <c:ext xmlns:c16="http://schemas.microsoft.com/office/drawing/2014/chart" uri="{C3380CC4-5D6E-409C-BE32-E72D297353CC}">
              <c16:uniqueId val="{00000012-F702-4D08-9FD9-5A1A84AC4CF8}"/>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5982156965441329"/>
          <c:y val="3.9118065433854911E-2"/>
          <c:w val="0.50382000727924792"/>
          <c:h val="0.88331559906363055"/>
        </c:manualLayout>
      </c:layout>
      <c:barChart>
        <c:barDir val="bar"/>
        <c:grouping val="clustered"/>
        <c:varyColors val="0"/>
        <c:ser>
          <c:idx val="0"/>
          <c:order val="0"/>
          <c:tx>
            <c:strRef>
              <c:f>Hoja1!$B$1</c:f>
              <c:strCache>
                <c:ptCount val="1"/>
                <c:pt idx="0">
                  <c:v>Serie 1</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8313-49FA-BAAB-A276D1913F0A}"/>
              </c:ext>
            </c:extLst>
          </c:dPt>
          <c:dPt>
            <c:idx val="1"/>
            <c:invertIfNegative val="0"/>
            <c:bubble3D val="0"/>
            <c:spPr>
              <a:solidFill>
                <a:srgbClr val="FF0000"/>
              </a:solidFill>
              <a:ln>
                <a:noFill/>
              </a:ln>
              <a:effectLst/>
            </c:spPr>
            <c:extLst>
              <c:ext xmlns:c16="http://schemas.microsoft.com/office/drawing/2014/chart" uri="{C3380CC4-5D6E-409C-BE32-E72D297353CC}">
                <c16:uniqueId val="{00000003-8313-49FA-BAAB-A276D1913F0A}"/>
              </c:ext>
            </c:extLst>
          </c:dPt>
          <c:dPt>
            <c:idx val="2"/>
            <c:invertIfNegative val="0"/>
            <c:bubble3D val="0"/>
            <c:spPr>
              <a:solidFill>
                <a:srgbClr val="FF0000"/>
              </a:solidFill>
              <a:ln>
                <a:noFill/>
              </a:ln>
              <a:effectLst/>
            </c:spPr>
            <c:extLst>
              <c:ext xmlns:c16="http://schemas.microsoft.com/office/drawing/2014/chart" uri="{C3380CC4-5D6E-409C-BE32-E72D297353CC}">
                <c16:uniqueId val="{00000005-8313-49FA-BAAB-A276D1913F0A}"/>
              </c:ext>
            </c:extLst>
          </c:dPt>
          <c:dPt>
            <c:idx val="3"/>
            <c:invertIfNegative val="0"/>
            <c:bubble3D val="0"/>
            <c:spPr>
              <a:solidFill>
                <a:srgbClr val="FF0000"/>
              </a:solidFill>
              <a:ln>
                <a:noFill/>
              </a:ln>
              <a:effectLst/>
            </c:spPr>
            <c:extLst>
              <c:ext xmlns:c16="http://schemas.microsoft.com/office/drawing/2014/chart" uri="{C3380CC4-5D6E-409C-BE32-E72D297353CC}">
                <c16:uniqueId val="{00000007-8313-49FA-BAAB-A276D1913F0A}"/>
              </c:ext>
            </c:extLst>
          </c:dPt>
          <c:dLbls>
            <c:dLbl>
              <c:idx val="0"/>
              <c:layout>
                <c:manualLayout>
                  <c:x val="-6.5707659870604292E-3"/>
                  <c:y val="-4.3393360815795184E-3"/>
                </c:manualLayout>
              </c:layout>
              <c:numFmt formatCode="#,##0.0" sourceLinked="0"/>
              <c:spPr>
                <a:noFill/>
                <a:ln>
                  <a:noFill/>
                </a:ln>
                <a:effectLst/>
              </c:spPr>
              <c:txPr>
                <a:bodyPr wrap="square" lIns="38100" tIns="19050" rIns="38100" bIns="19050" anchor="ctr">
                  <a:spAutoFit/>
                </a:bodyPr>
                <a:lstStyle/>
                <a:p>
                  <a:pPr>
                    <a:defRPr sz="700" b="1">
                      <a:solidFill>
                        <a:srgbClr val="FF0000"/>
                      </a:solidFill>
                      <a:latin typeface="Times New Roman" panose="02020603050405020304" pitchFamily="18" charset="0"/>
                      <a:cs typeface="Times New Roman" panose="02020603050405020304" pitchFamily="18" charset="0"/>
                    </a:defRPr>
                  </a:pPr>
                  <a:endParaRPr lang="es-GT"/>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13-49FA-BAAB-A276D1913F0A}"/>
                </c:ext>
              </c:extLst>
            </c:dLbl>
            <c:dLbl>
              <c:idx val="1"/>
              <c:numFmt formatCode="#,##0.0" sourceLinked="0"/>
              <c:spPr>
                <a:noFill/>
                <a:ln>
                  <a:noFill/>
                </a:ln>
                <a:effectLst/>
              </c:spPr>
              <c:txPr>
                <a:bodyPr wrap="square" lIns="38100" tIns="19050" rIns="38100" bIns="19050" anchor="ctr">
                  <a:spAutoFit/>
                </a:bodyPr>
                <a:lstStyle/>
                <a:p>
                  <a:pPr>
                    <a:defRPr sz="700" b="1">
                      <a:solidFill>
                        <a:srgbClr val="FF0000"/>
                      </a:solidFill>
                      <a:latin typeface="Times New Roman" panose="02020603050405020304" pitchFamily="18" charset="0"/>
                      <a:cs typeface="Times New Roman" panose="02020603050405020304" pitchFamily="18" charset="0"/>
                    </a:defRPr>
                  </a:pPr>
                  <a:endParaRPr lang="es-GT"/>
                </a:p>
              </c:txPr>
              <c:dLblPos val="outEnd"/>
              <c:showLegendKey val="0"/>
              <c:showVal val="1"/>
              <c:showCatName val="0"/>
              <c:showSerName val="0"/>
              <c:showPercent val="0"/>
              <c:showBubbleSize val="0"/>
              <c:extLst>
                <c:ext xmlns:c16="http://schemas.microsoft.com/office/drawing/2014/chart" uri="{C3380CC4-5D6E-409C-BE32-E72D297353CC}">
                  <c16:uniqueId val="{00000003-8313-49FA-BAAB-A276D1913F0A}"/>
                </c:ext>
              </c:extLst>
            </c:dLbl>
            <c:dLbl>
              <c:idx val="2"/>
              <c:numFmt formatCode="#,##0.0" sourceLinked="0"/>
              <c:spPr>
                <a:noFill/>
                <a:ln>
                  <a:noFill/>
                </a:ln>
                <a:effectLst/>
              </c:spPr>
              <c:txPr>
                <a:bodyPr wrap="square" lIns="38100" tIns="19050" rIns="38100" bIns="19050" anchor="ctr">
                  <a:spAutoFit/>
                </a:bodyPr>
                <a:lstStyle/>
                <a:p>
                  <a:pPr>
                    <a:defRPr sz="700" b="1">
                      <a:solidFill>
                        <a:srgbClr val="FF0000"/>
                      </a:solidFill>
                      <a:latin typeface="Times New Roman" panose="02020603050405020304" pitchFamily="18" charset="0"/>
                      <a:cs typeface="Times New Roman" panose="02020603050405020304" pitchFamily="18" charset="0"/>
                    </a:defRPr>
                  </a:pPr>
                  <a:endParaRPr lang="es-GT"/>
                </a:p>
              </c:txPr>
              <c:dLblPos val="outEnd"/>
              <c:showLegendKey val="0"/>
              <c:showVal val="1"/>
              <c:showCatName val="0"/>
              <c:showSerName val="0"/>
              <c:showPercent val="0"/>
              <c:showBubbleSize val="0"/>
              <c:extLst>
                <c:ext xmlns:c16="http://schemas.microsoft.com/office/drawing/2014/chart" uri="{C3380CC4-5D6E-409C-BE32-E72D297353CC}">
                  <c16:uniqueId val="{00000005-8313-49FA-BAAB-A276D1913F0A}"/>
                </c:ext>
              </c:extLst>
            </c:dLbl>
            <c:dLbl>
              <c:idx val="3"/>
              <c:numFmt formatCode="#,##0.0" sourceLinked="0"/>
              <c:spPr>
                <a:noFill/>
                <a:ln>
                  <a:noFill/>
                </a:ln>
                <a:effectLst/>
              </c:spPr>
              <c:txPr>
                <a:bodyPr wrap="square" lIns="38100" tIns="19050" rIns="38100" bIns="19050" anchor="ctr">
                  <a:spAutoFit/>
                </a:bodyPr>
                <a:lstStyle/>
                <a:p>
                  <a:pPr>
                    <a:defRPr sz="700" b="1">
                      <a:solidFill>
                        <a:srgbClr val="FF0000"/>
                      </a:solidFill>
                      <a:latin typeface="Times New Roman" panose="02020603050405020304" pitchFamily="18" charset="0"/>
                      <a:cs typeface="Times New Roman" panose="02020603050405020304" pitchFamily="18" charset="0"/>
                    </a:defRPr>
                  </a:pPr>
                  <a:endParaRPr lang="es-GT"/>
                </a:p>
              </c:txPr>
              <c:dLblPos val="outEnd"/>
              <c:showLegendKey val="0"/>
              <c:showVal val="1"/>
              <c:showCatName val="0"/>
              <c:showSerName val="0"/>
              <c:showPercent val="0"/>
              <c:showBubbleSize val="0"/>
              <c:extLst>
                <c:ext xmlns:c16="http://schemas.microsoft.com/office/drawing/2014/chart" uri="{C3380CC4-5D6E-409C-BE32-E72D297353CC}">
                  <c16:uniqueId val="{00000007-8313-49FA-BAAB-A276D1913F0A}"/>
                </c:ext>
              </c:extLst>
            </c:dLbl>
            <c:numFmt formatCode="#,##0.0" sourceLinked="0"/>
            <c:spPr>
              <a:noFill/>
              <a:ln>
                <a:noFill/>
              </a:ln>
              <a:effectLst/>
            </c:spPr>
            <c:txPr>
              <a:bodyPr wrap="square" lIns="38100" tIns="19050" rIns="38100" bIns="19050" anchor="ctr">
                <a:spAutoFit/>
              </a:bodyPr>
              <a:lstStyle/>
              <a:p>
                <a:pPr>
                  <a:defRPr sz="700" b="1">
                    <a:solidFill>
                      <a:srgbClr val="0070C0"/>
                    </a:solidFill>
                    <a:latin typeface="Times New Roman" panose="02020603050405020304" pitchFamily="18" charset="0"/>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Hoja1!$A$2:$A$22</c:f>
              <c:strCache>
                <c:ptCount val="21"/>
                <c:pt idx="0">
                  <c:v>Explotación de minas y canteras</c:v>
                </c:pt>
                <c:pt idx="1">
                  <c:v>Agricultura, ganadería, silvicultura y pesca</c:v>
                </c:pt>
                <c:pt idx="2">
                  <c:v>Suministro de agua</c:v>
                </c:pt>
                <c:pt idx="3">
                  <c:v>Información y comunicaciones</c:v>
                </c:pt>
                <c:pt idx="4">
                  <c:v>Industrias manufactureras</c:v>
                </c:pt>
                <c:pt idx="5">
                  <c:v>Administración pública y defensa</c:v>
                </c:pt>
                <c:pt idx="6">
                  <c:v>Comercio al por mayor y al por menor</c:v>
                </c:pt>
                <c:pt idx="7">
                  <c:v>Actividades inmobiliarias</c:v>
                </c:pt>
                <c:pt idx="8">
                  <c:v>Enseñanza</c:v>
                </c:pt>
                <c:pt idx="9">
                  <c:v>Actividades de los hogares como empleadores</c:v>
                </c:pt>
                <c:pt idx="10">
                  <c:v>Actividades de organizaciones y órganos extraterritoriales</c:v>
                </c:pt>
                <c:pt idx="11">
                  <c:v>Actividades de atención de la salud humana y de asistencia social</c:v>
                </c:pt>
                <c:pt idx="12">
                  <c:v>Construcción</c:v>
                </c:pt>
                <c:pt idx="13">
                  <c:v>Suministro de electricidad, gas, etc.</c:v>
                </c:pt>
                <c:pt idx="14">
                  <c:v>Transporte y almacenamiento</c:v>
                </c:pt>
                <c:pt idx="15">
                  <c:v>Otras actividades de servicios</c:v>
                </c:pt>
                <c:pt idx="16">
                  <c:v>Actividades de servicios administrativos y de apoyo</c:v>
                </c:pt>
                <c:pt idx="17">
                  <c:v>Actividades financieras y de seguros</c:v>
                </c:pt>
                <c:pt idx="18">
                  <c:v>Actividades profesionales, científicas y técnicas</c:v>
                </c:pt>
                <c:pt idx="19">
                  <c:v>Actividades artísticas, de entretenimiento y recreativas</c:v>
                </c:pt>
                <c:pt idx="20">
                  <c:v>Actividades de alojamiento y de servicio de comidas</c:v>
                </c:pt>
              </c:strCache>
            </c:strRef>
          </c:cat>
          <c:val>
            <c:numRef>
              <c:f>Hoja1!$B$2:$B$22</c:f>
              <c:numCache>
                <c:formatCode>#,##0.0</c:formatCode>
                <c:ptCount val="21"/>
                <c:pt idx="0">
                  <c:v>-23.366580584919657</c:v>
                </c:pt>
                <c:pt idx="1">
                  <c:v>-14.817293455567146</c:v>
                </c:pt>
                <c:pt idx="2">
                  <c:v>-3.4419003498151026</c:v>
                </c:pt>
                <c:pt idx="3">
                  <c:v>-0.69550248526352032</c:v>
                </c:pt>
                <c:pt idx="4">
                  <c:v>4.4573912253616577</c:v>
                </c:pt>
                <c:pt idx="5">
                  <c:v>8.1045297042544249</c:v>
                </c:pt>
                <c:pt idx="6">
                  <c:v>9.7709231001242713</c:v>
                </c:pt>
                <c:pt idx="7">
                  <c:v>11.640134177198888</c:v>
                </c:pt>
                <c:pt idx="8">
                  <c:v>11.68638281268767</c:v>
                </c:pt>
                <c:pt idx="9">
                  <c:v>13.061002866585882</c:v>
                </c:pt>
                <c:pt idx="10">
                  <c:v>13.538641452656714</c:v>
                </c:pt>
                <c:pt idx="11">
                  <c:v>13.752793045006623</c:v>
                </c:pt>
                <c:pt idx="12">
                  <c:v>14.01922354599377</c:v>
                </c:pt>
                <c:pt idx="13">
                  <c:v>14.364920786332194</c:v>
                </c:pt>
                <c:pt idx="14">
                  <c:v>16.331988260991352</c:v>
                </c:pt>
                <c:pt idx="15">
                  <c:v>16.379624595614168</c:v>
                </c:pt>
                <c:pt idx="16">
                  <c:v>17.189521909134712</c:v>
                </c:pt>
                <c:pt idx="17">
                  <c:v>18.701231715697478</c:v>
                </c:pt>
                <c:pt idx="18">
                  <c:v>20.430936430688419</c:v>
                </c:pt>
                <c:pt idx="19">
                  <c:v>27.085526805460585</c:v>
                </c:pt>
                <c:pt idx="20">
                  <c:v>32.938362942542483</c:v>
                </c:pt>
              </c:numCache>
            </c:numRef>
          </c:val>
          <c:extLst>
            <c:ext xmlns:c16="http://schemas.microsoft.com/office/drawing/2014/chart" uri="{C3380CC4-5D6E-409C-BE32-E72D297353CC}">
              <c16:uniqueId val="{00000008-8313-49FA-BAAB-A276D1913F0A}"/>
            </c:ext>
          </c:extLst>
        </c:ser>
        <c:dLbls>
          <c:showLegendKey val="0"/>
          <c:showVal val="0"/>
          <c:showCatName val="0"/>
          <c:showSerName val="0"/>
          <c:showPercent val="0"/>
          <c:showBubbleSize val="0"/>
        </c:dLbls>
        <c:gapWidth val="30"/>
        <c:axId val="210347520"/>
        <c:axId val="210349056"/>
      </c:barChart>
      <c:catAx>
        <c:axId val="2103475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0349056"/>
        <c:crosses val="autoZero"/>
        <c:auto val="1"/>
        <c:lblAlgn val="ctr"/>
        <c:lblOffset val="100"/>
        <c:noMultiLvlLbl val="0"/>
      </c:catAx>
      <c:valAx>
        <c:axId val="210349056"/>
        <c:scaling>
          <c:orientation val="minMax"/>
          <c:min val="-60"/>
        </c:scaling>
        <c:delete val="0"/>
        <c:axPos val="b"/>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034752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25400" cap="flat" cmpd="sng" algn="ctr">
      <a:solidFill>
        <a:srgbClr val="DDDDDD"/>
      </a:solidFill>
      <a:round/>
    </a:ln>
    <a:effectLst/>
  </c:spPr>
  <c:txPr>
    <a:bodyPr/>
    <a:lstStyle/>
    <a:p>
      <a:pPr>
        <a:defRPr/>
      </a:pPr>
      <a:endParaRPr lang="es-GT"/>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704868000916578E-2"/>
          <c:y val="8.8406496062992113E-2"/>
          <c:w val="0.8209333833270841"/>
          <c:h val="0.82497375328083977"/>
        </c:manualLayout>
      </c:layout>
      <c:lineChart>
        <c:grouping val="standard"/>
        <c:varyColors val="0"/>
        <c:ser>
          <c:idx val="0"/>
          <c:order val="0"/>
          <c:tx>
            <c:strRef>
              <c:f>Hoja1!$B$1</c:f>
              <c:strCache>
                <c:ptCount val="1"/>
                <c:pt idx="0">
                  <c:v>Carga Tributaria</c:v>
                </c:pt>
              </c:strCache>
            </c:strRef>
          </c:tx>
          <c:spPr>
            <a:ln>
              <a:solidFill>
                <a:srgbClr val="0070C0"/>
              </a:solidFill>
              <a:prstDash val="solid"/>
            </a:ln>
          </c:spPr>
          <c:marker>
            <c:symbol val="circle"/>
            <c:size val="7"/>
            <c:spPr>
              <a:solidFill>
                <a:schemeClr val="bg1"/>
              </a:solidFill>
              <a:ln>
                <a:solidFill>
                  <a:srgbClr val="0070C0"/>
                </a:solidFill>
              </a:ln>
            </c:spPr>
          </c:marker>
          <c:dPt>
            <c:idx val="10"/>
            <c:bubble3D val="0"/>
            <c:extLst>
              <c:ext xmlns:c16="http://schemas.microsoft.com/office/drawing/2014/chart" uri="{C3380CC4-5D6E-409C-BE32-E72D297353CC}">
                <c16:uniqueId val="{00000000-688D-4C59-B232-FE50A1F94FDB}"/>
              </c:ext>
            </c:extLst>
          </c:dPt>
          <c:dLbls>
            <c:dLbl>
              <c:idx val="1"/>
              <c:layout>
                <c:manualLayout>
                  <c:x val="-4.6984126984126982E-2"/>
                  <c:y val="5.8011695906432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8D-4C59-B232-FE50A1F94FDB}"/>
                </c:ext>
              </c:extLst>
            </c:dLbl>
            <c:dLbl>
              <c:idx val="2"/>
              <c:layout>
                <c:manualLayout>
                  <c:x val="-7.4920634920634943E-2"/>
                  <c:y val="-9.6374269005847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8D-4C59-B232-FE50A1F94FDB}"/>
                </c:ext>
              </c:extLst>
            </c:dLbl>
            <c:dLbl>
              <c:idx val="3"/>
              <c:layout>
                <c:manualLayout>
                  <c:x val="-0.11047619047619048"/>
                  <c:y val="-7.29824561403508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8D-4C59-B232-FE50A1F94FDB}"/>
                </c:ext>
              </c:extLst>
            </c:dLbl>
            <c:dLbl>
              <c:idx val="4"/>
              <c:layout>
                <c:manualLayout>
                  <c:x val="-5.904761904761905E-2"/>
                  <c:y val="0.1274853801169590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8D-4C59-B232-FE50A1F94FDB}"/>
                </c:ext>
              </c:extLst>
            </c:dLbl>
            <c:dLbl>
              <c:idx val="5"/>
              <c:layout>
                <c:manualLayout>
                  <c:x val="-4.6349206349206348E-2"/>
                  <c:y val="6.66666666666666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88D-4C59-B232-FE50A1F94FDB}"/>
                </c:ext>
              </c:extLst>
            </c:dLbl>
            <c:dLbl>
              <c:idx val="6"/>
              <c:layout>
                <c:manualLayout>
                  <c:x val="-2.6666666666666668E-2"/>
                  <c:y val="-7.29824561403508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88D-4C59-B232-FE50A1F94FDB}"/>
                </c:ext>
              </c:extLst>
            </c:dLbl>
            <c:dLbl>
              <c:idx val="7"/>
              <c:layout>
                <c:manualLayout>
                  <c:x val="-4.6984126984127079E-2"/>
                  <c:y val="5.33333333333333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8D-4C59-B232-FE50A1F94FDB}"/>
                </c:ext>
              </c:extLst>
            </c:dLbl>
            <c:dLbl>
              <c:idx val="9"/>
              <c:layout>
                <c:manualLayout>
                  <c:x val="-4.9523809523809526E-2"/>
                  <c:y val="6.2690058479532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88D-4C59-B232-FE50A1F94FDB}"/>
                </c:ext>
              </c:extLst>
            </c:dLbl>
            <c:dLbl>
              <c:idx val="11"/>
              <c:layout>
                <c:manualLayout>
                  <c:x val="-7.7460317460317465E-2"/>
                  <c:y val="3.92982456140350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88D-4C59-B232-FE50A1F94FDB}"/>
                </c:ext>
              </c:extLst>
            </c:dLbl>
            <c:dLbl>
              <c:idx val="12"/>
              <c:layout>
                <c:manualLayout>
                  <c:x val="-8.7027442000581295E-2"/>
                  <c:y val="-1.43566272965879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88D-4C59-B232-FE50A1F94FDB}"/>
                </c:ext>
              </c:extLst>
            </c:dLbl>
            <c:dLbl>
              <c:idx val="13"/>
              <c:layout>
                <c:manualLayout>
                  <c:x val="-7.6155063249204166E-2"/>
                  <c:y val="-5.01998788612961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88D-4C59-B232-FE50A1F94FDB}"/>
                </c:ext>
              </c:extLst>
            </c:dLbl>
            <c:dLbl>
              <c:idx val="14"/>
              <c:layout>
                <c:manualLayout>
                  <c:x val="-3.7024570851565131E-2"/>
                  <c:y val="-6.71303191173501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88D-4C59-B232-FE50A1F94FDB}"/>
                </c:ext>
              </c:extLst>
            </c:dLbl>
            <c:dLbl>
              <c:idx val="15"/>
              <c:layout>
                <c:manualLayout>
                  <c:x val="1.0097610232245036E-2"/>
                  <c:y val="-4.58521870286576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88D-4C59-B232-FE50A1F94FDB}"/>
                </c:ext>
              </c:extLst>
            </c:dLbl>
            <c:numFmt formatCode="#,##0.0" sourceLinked="0"/>
            <c:spPr>
              <a:noFill/>
              <a:ln>
                <a:noFill/>
              </a:ln>
              <a:effectLst/>
            </c:spPr>
            <c:txPr>
              <a:bodyPr wrap="square" lIns="38100" tIns="19050" rIns="38100" bIns="19050" anchor="ctr">
                <a:spAutoFit/>
              </a:bodyPr>
              <a:lstStyle/>
              <a:p>
                <a:pPr>
                  <a:defRPr sz="800">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solidFill>
                        <a:srgbClr val="0070C0">
                          <a:alpha val="50000"/>
                        </a:srgbClr>
                      </a:solidFill>
                      <a:prstDash val="sysDash"/>
                    </a:ln>
                  </c:spPr>
                </c15:leaderLines>
              </c:ext>
            </c:extLst>
          </c:dLbls>
          <c:cat>
            <c:strRef>
              <c:f>Hoja1!$A$2:$A$17</c:f>
              <c:strCache>
                <c:ptCount val="16"/>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strCache>
            </c:strRef>
          </c:cat>
          <c:val>
            <c:numRef>
              <c:f>Hoja1!$B$2:$B$17</c:f>
              <c:numCache>
                <c:formatCode>General</c:formatCode>
                <c:ptCount val="16"/>
                <c:pt idx="0">
                  <c:v>10.961136582731768</c:v>
                </c:pt>
                <c:pt idx="1">
                  <c:v>10.262494428920531</c:v>
                </c:pt>
                <c:pt idx="2">
                  <c:v>10.397416979560372</c:v>
                </c:pt>
                <c:pt idx="3">
                  <c:v>10.909112897900064</c:v>
                </c:pt>
                <c:pt idx="4">
                  <c:v>10.953264737896941</c:v>
                </c:pt>
                <c:pt idx="5">
                  <c:v>11.128101557307478</c:v>
                </c:pt>
                <c:pt idx="6">
                  <c:v>10.975635860680631</c:v>
                </c:pt>
                <c:pt idx="7">
                  <c:v>10.447132107294921</c:v>
                </c:pt>
                <c:pt idx="8">
                  <c:v>10.778739581377527</c:v>
                </c:pt>
                <c:pt idx="9">
                  <c:v>10.766054206583368</c:v>
                </c:pt>
                <c:pt idx="10">
                  <c:v>10.68824710260173</c:v>
                </c:pt>
                <c:pt idx="11">
                  <c:v>10.558968120993011</c:v>
                </c:pt>
                <c:pt idx="12">
                  <c:v>10.08</c:v>
                </c:pt>
                <c:pt idx="13" formatCode="0.0">
                  <c:v>11.731338553443194</c:v>
                </c:pt>
                <c:pt idx="14" formatCode="0.0">
                  <c:v>12</c:v>
                </c:pt>
                <c:pt idx="15" formatCode="0.0">
                  <c:v>11.7</c:v>
                </c:pt>
              </c:numCache>
            </c:numRef>
          </c:val>
          <c:smooth val="0"/>
          <c:extLst>
            <c:ext xmlns:c16="http://schemas.microsoft.com/office/drawing/2014/chart" uri="{C3380CC4-5D6E-409C-BE32-E72D297353CC}">
              <c16:uniqueId val="{0000000E-688D-4C59-B232-FE50A1F94FDB}"/>
            </c:ext>
          </c:extLst>
        </c:ser>
        <c:ser>
          <c:idx val="1"/>
          <c:order val="1"/>
          <c:tx>
            <c:strRef>
              <c:f>Hoja1!$C$1</c:f>
              <c:strCache>
                <c:ptCount val="1"/>
                <c:pt idx="0">
                  <c:v>Presupuesto</c:v>
                </c:pt>
              </c:strCache>
            </c:strRef>
          </c:tx>
          <c:spPr>
            <a:ln>
              <a:solidFill>
                <a:srgbClr val="FF0000"/>
              </a:solidFill>
              <a:prstDash val="sysDash"/>
            </a:ln>
          </c:spPr>
          <c:marker>
            <c:symbol val="circle"/>
            <c:size val="7"/>
            <c:spPr>
              <a:solidFill>
                <a:schemeClr val="bg1"/>
              </a:solidFill>
              <a:ln>
                <a:solidFill>
                  <a:srgbClr val="FF0000"/>
                </a:solidFill>
              </a:ln>
            </c:spPr>
          </c:marker>
          <c:dLbls>
            <c:dLbl>
              <c:idx val="1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88D-4C59-B232-FE50A1F94FDB}"/>
                </c:ext>
              </c:extLst>
            </c:dLbl>
            <c:dLbl>
              <c:idx val="13"/>
              <c:numFmt formatCode="#,##0.0" sourceLinked="0"/>
              <c:spPr>
                <a:noFill/>
                <a:ln>
                  <a:noFill/>
                </a:ln>
                <a:effectLst/>
              </c:spPr>
              <c:txPr>
                <a:bodyPr wrap="square" lIns="38100" tIns="19050" rIns="38100" bIns="19050" anchor="ctr">
                  <a:spAutoFit/>
                </a:bodyPr>
                <a:lstStyle/>
                <a:p>
                  <a:pPr>
                    <a:defRPr>
                      <a:solidFill>
                        <a:srgbClr val="FF0000"/>
                      </a:solidFill>
                    </a:defRPr>
                  </a:pPr>
                  <a:endParaRPr lang="es-GT"/>
                </a:p>
              </c:txPr>
              <c:dLblPos val="b"/>
              <c:showLegendKey val="0"/>
              <c:showVal val="0"/>
              <c:showCatName val="0"/>
              <c:showSerName val="0"/>
              <c:showPercent val="0"/>
              <c:showBubbleSize val="0"/>
              <c:extLst>
                <c:ext xmlns:c16="http://schemas.microsoft.com/office/drawing/2014/chart" uri="{C3380CC4-5D6E-409C-BE32-E72D297353CC}">
                  <c16:uniqueId val="{00000010-688D-4C59-B232-FE50A1F94FDB}"/>
                </c:ext>
              </c:extLst>
            </c:dLbl>
            <c:dLbl>
              <c:idx val="14"/>
              <c:layout>
                <c:manualLayout>
                  <c:x val="-7.6854033434309438E-2"/>
                  <c:y val="3.1990118882198548E-2"/>
                </c:manualLayout>
              </c:layout>
              <c:numFmt formatCode="#,##0.0" sourceLinked="0"/>
              <c:spPr>
                <a:noFill/>
                <a:ln>
                  <a:noFill/>
                </a:ln>
                <a:effectLst/>
              </c:spPr>
              <c:txPr>
                <a:bodyPr wrap="square" lIns="38100" tIns="19050" rIns="38100" bIns="19050" anchor="ctr">
                  <a:spAutoFit/>
                </a:bodyPr>
                <a:lstStyle/>
                <a:p>
                  <a:pPr>
                    <a:defRPr>
                      <a:solidFill>
                        <a:srgbClr val="FF0000"/>
                      </a:solidFill>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88D-4C59-B232-FE50A1F94FDB}"/>
                </c:ext>
              </c:extLst>
            </c:dLbl>
            <c:dLbl>
              <c:idx val="15"/>
              <c:layout>
                <c:manualLayout>
                  <c:x val="-1.4024458655895883E-2"/>
                  <c:y val="-6.7873303167420809E-2"/>
                </c:manualLayout>
              </c:layout>
              <c:numFmt formatCode="#,##0.0" sourceLinked="0"/>
              <c:spPr>
                <a:noFill/>
                <a:ln>
                  <a:noFill/>
                </a:ln>
                <a:effectLst/>
              </c:spPr>
              <c:txPr>
                <a:bodyPr wrap="square" lIns="38100" tIns="19050" rIns="38100" bIns="19050" anchor="ctr">
                  <a:spAutoFit/>
                </a:bodyPr>
                <a:lstStyle/>
                <a:p>
                  <a:pPr>
                    <a:defRPr>
                      <a:solidFill>
                        <a:srgbClr val="FF0000"/>
                      </a:solidFill>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88D-4C59-B232-FE50A1F94FDB}"/>
                </c:ext>
              </c:extLst>
            </c:dLbl>
            <c:numFmt formatCode="#,##0.0" sourceLinked="0"/>
            <c:spPr>
              <a:noFill/>
              <a:ln>
                <a:noFill/>
              </a:ln>
              <a:effectLst/>
            </c:spPr>
            <c:txPr>
              <a:bodyPr wrap="square" lIns="38100" tIns="19050" rIns="38100" bIns="19050" anchor="ctr">
                <a:spAutoFit/>
              </a:bodyPr>
              <a:lstStyle/>
              <a:p>
                <a:pPr>
                  <a:defRPr>
                    <a:solidFill>
                      <a:srgbClr val="0070C0"/>
                    </a:solidFill>
                  </a:defRPr>
                </a:pPr>
                <a:endParaRPr lang="es-GT"/>
              </a:p>
            </c:txPr>
            <c:dLblPos val="b"/>
            <c:showLegendKey val="0"/>
            <c:showVal val="0"/>
            <c:showCatName val="0"/>
            <c:showSerName val="0"/>
            <c:showPercent val="0"/>
            <c:showBubbleSize val="0"/>
            <c:extLst>
              <c:ext xmlns:c15="http://schemas.microsoft.com/office/drawing/2012/chart" uri="{CE6537A1-D6FC-4f65-9D91-7224C49458BB}">
                <c15:showLeaderLines val="1"/>
              </c:ext>
            </c:extLst>
          </c:dLbls>
          <c:cat>
            <c:strRef>
              <c:f>Hoja1!$A$2:$A$17</c:f>
              <c:strCache>
                <c:ptCount val="16"/>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strCache>
            </c:strRef>
          </c:cat>
          <c:val>
            <c:numRef>
              <c:f>Hoja1!$C$2:$C$17</c:f>
              <c:numCache>
                <c:formatCode>General</c:formatCode>
                <c:ptCount val="16"/>
                <c:pt idx="13" formatCode="0.0">
                  <c:v>11.731338553443194</c:v>
                </c:pt>
                <c:pt idx="14" formatCode="0.0">
                  <c:v>10.4</c:v>
                </c:pt>
                <c:pt idx="15">
                  <c:v>10.8</c:v>
                </c:pt>
              </c:numCache>
            </c:numRef>
          </c:val>
          <c:smooth val="0"/>
          <c:extLst>
            <c:ext xmlns:c16="http://schemas.microsoft.com/office/drawing/2014/chart" uri="{C3380CC4-5D6E-409C-BE32-E72D297353CC}">
              <c16:uniqueId val="{00000013-688D-4C59-B232-FE50A1F94FDB}"/>
            </c:ext>
          </c:extLst>
        </c:ser>
        <c:dLbls>
          <c:showLegendKey val="0"/>
          <c:showVal val="0"/>
          <c:showCatName val="0"/>
          <c:showSerName val="0"/>
          <c:showPercent val="0"/>
          <c:showBubbleSize val="0"/>
        </c:dLbls>
        <c:marker val="1"/>
        <c:smooth val="0"/>
        <c:axId val="193703936"/>
        <c:axId val="193705472"/>
      </c:lineChart>
      <c:catAx>
        <c:axId val="193703936"/>
        <c:scaling>
          <c:orientation val="minMax"/>
        </c:scaling>
        <c:delete val="0"/>
        <c:axPos val="b"/>
        <c:numFmt formatCode="General" sourceLinked="1"/>
        <c:majorTickMark val="out"/>
        <c:minorTickMark val="none"/>
        <c:tickLblPos val="low"/>
        <c:txPr>
          <a:bodyPr/>
          <a:lstStyle/>
          <a:p>
            <a:pPr>
              <a:defRPr sz="800"/>
            </a:pPr>
            <a:endParaRPr lang="es-GT"/>
          </a:p>
        </c:txPr>
        <c:crossAx val="193705472"/>
        <c:crosses val="autoZero"/>
        <c:auto val="1"/>
        <c:lblAlgn val="ctr"/>
        <c:lblOffset val="100"/>
        <c:noMultiLvlLbl val="0"/>
      </c:catAx>
      <c:valAx>
        <c:axId val="193705472"/>
        <c:scaling>
          <c:orientation val="minMax"/>
          <c:min val="10"/>
        </c:scaling>
        <c:delete val="0"/>
        <c:axPos val="l"/>
        <c:numFmt formatCode="#,##0.0" sourceLinked="0"/>
        <c:majorTickMark val="out"/>
        <c:minorTickMark val="none"/>
        <c:tickLblPos val="nextTo"/>
        <c:txPr>
          <a:bodyPr/>
          <a:lstStyle/>
          <a:p>
            <a:pPr>
              <a:defRPr sz="900"/>
            </a:pPr>
            <a:endParaRPr lang="es-GT"/>
          </a:p>
        </c:txPr>
        <c:crossAx val="193703936"/>
        <c:crosses val="autoZero"/>
        <c:crossBetween val="between"/>
      </c:valAx>
      <c:spPr>
        <a:ln>
          <a:noFill/>
        </a:ln>
      </c:spPr>
    </c:plotArea>
    <c:plotVisOnly val="1"/>
    <c:dispBlanksAs val="gap"/>
    <c:showDLblsOverMax val="0"/>
  </c:chart>
  <c:spPr>
    <a:ln w="25400">
      <a:solidFill>
        <a:srgbClr val="DDDDDD"/>
      </a:solidFill>
    </a:ln>
  </c:spPr>
  <c:txPr>
    <a:bodyPr/>
    <a:lstStyle/>
    <a:p>
      <a:pPr>
        <a:defRPr b="1">
          <a:latin typeface="Times New Roman" panose="02020603050405020304" pitchFamily="18" charset="0"/>
          <a:cs typeface="Times New Roman" panose="02020603050405020304" pitchFamily="18" charset="0"/>
        </a:defRPr>
      </a:pPr>
      <a:endParaRPr lang="es-GT"/>
    </a:p>
  </c:tx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883527981821061E-2"/>
          <c:y val="4.7540062517310973E-2"/>
          <c:w val="0.92936095390419959"/>
          <c:h val="0.76045274491442338"/>
        </c:manualLayout>
      </c:layout>
      <c:barChart>
        <c:barDir val="col"/>
        <c:grouping val="clustered"/>
        <c:varyColors val="0"/>
        <c:ser>
          <c:idx val="1"/>
          <c:order val="1"/>
          <c:tx>
            <c:strRef>
              <c:f>Sheet1!$C$1</c:f>
              <c:strCache>
                <c:ptCount val="1"/>
                <c:pt idx="0">
                  <c:v>2023</c:v>
                </c:pt>
              </c:strCache>
            </c:strRef>
          </c:tx>
          <c:spPr>
            <a:solidFill>
              <a:schemeClr val="accent1">
                <a:lumMod val="50000"/>
              </a:schemeClr>
            </a:solidFill>
            <a:ln>
              <a:noFill/>
            </a:ln>
            <a:effectLst/>
          </c:spPr>
          <c:invertIfNegative val="0"/>
          <c:dLbls>
            <c:dLbl>
              <c:idx val="0"/>
              <c:layout>
                <c:manualLayout>
                  <c:x val="-2.6845637583892742E-3"/>
                  <c:y val="2.30096640589047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DE-44DB-B4C1-45B7B3048DD6}"/>
                </c:ext>
              </c:extLst>
            </c:dLbl>
            <c:dLbl>
              <c:idx val="1"/>
              <c:layout>
                <c:manualLayout>
                  <c:x val="0"/>
                  <c:y val="9.20386562356189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DE-44DB-B4C1-45B7B3048DD6}"/>
                </c:ext>
              </c:extLst>
            </c:dLbl>
            <c:dLbl>
              <c:idx val="2"/>
              <c:layout>
                <c:manualLayout>
                  <c:x val="0"/>
                  <c:y val="-2.4871512610344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DE-44DB-B4C1-45B7B3048DD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prstDash val="solid"/>
                      <a:round/>
                    </a:ln>
                    <a:effectLst/>
                  </c:spPr>
                </c15:leaderLines>
              </c:ext>
            </c:extLst>
          </c:dLbls>
          <c:cat>
            <c:strRef>
              <c:f>Sheet1!$A$2:$A$13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Sheet1!$C$2:$C$13</c:f>
              <c:numCache>
                <c:formatCode>0.0</c:formatCode>
                <c:ptCount val="12"/>
                <c:pt idx="0">
                  <c:v>13.676651556926345</c:v>
                </c:pt>
                <c:pt idx="1">
                  <c:v>18.515652377058743</c:v>
                </c:pt>
                <c:pt idx="2">
                  <c:v>18.025757093956329</c:v>
                </c:pt>
                <c:pt idx="3">
                  <c:v>19.271729510812534</c:v>
                </c:pt>
                <c:pt idx="4">
                  <c:v>16.930829650066158</c:v>
                </c:pt>
                <c:pt idx="5">
                  <c:v>15.455987945823551</c:v>
                </c:pt>
              </c:numCache>
            </c:numRef>
          </c:val>
          <c:extLst>
            <c:ext xmlns:c16="http://schemas.microsoft.com/office/drawing/2014/chart" uri="{C3380CC4-5D6E-409C-BE32-E72D297353CC}">
              <c16:uniqueId val="{00000003-6ADE-44DB-B4C1-45B7B3048DD6}"/>
            </c:ext>
          </c:extLst>
        </c:ser>
        <c:dLbls>
          <c:showLegendKey val="0"/>
          <c:showVal val="0"/>
          <c:showCatName val="0"/>
          <c:showSerName val="0"/>
          <c:showPercent val="0"/>
          <c:showBubbleSize val="0"/>
        </c:dLbls>
        <c:gapWidth val="27"/>
        <c:overlap val="-27"/>
        <c:axId val="210443264"/>
        <c:axId val="210457344"/>
      </c:barChart>
      <c:lineChart>
        <c:grouping val="standard"/>
        <c:varyColors val="0"/>
        <c:ser>
          <c:idx val="0"/>
          <c:order val="0"/>
          <c:tx>
            <c:strRef>
              <c:f>Sheet1!$B$1</c:f>
              <c:strCache>
                <c:ptCount val="1"/>
                <c:pt idx="0">
                  <c:v>2022</c:v>
                </c:pt>
              </c:strCache>
            </c:strRef>
          </c:tx>
          <c:spPr>
            <a:ln w="22225" cap="rnd" cmpd="dbl" algn="ctr">
              <a:solidFill>
                <a:schemeClr val="accent6">
                  <a:shade val="95000"/>
                  <a:satMod val="105000"/>
                </a:schemeClr>
              </a:solidFill>
              <a:prstDash val="solid"/>
              <a:round/>
            </a:ln>
            <a:effectLst/>
          </c:spPr>
          <c:marker>
            <c:symbol val="circle"/>
            <c:size val="6"/>
            <c:spPr>
              <a:solidFill>
                <a:schemeClr val="accent6"/>
              </a:solidFill>
              <a:ln w="9525" cap="flat" cmpd="sng" algn="ctr">
                <a:solidFill>
                  <a:schemeClr val="accent6">
                    <a:shade val="95000"/>
                    <a:satMod val="105000"/>
                  </a:schemeClr>
                </a:solidFill>
                <a:prstDash val="solid"/>
                <a:round/>
              </a:ln>
              <a:effectLst/>
            </c:spPr>
          </c:marker>
          <c:dLbls>
            <c:dLbl>
              <c:idx val="0"/>
              <c:layout>
                <c:manualLayout>
                  <c:x val="-3.5230766179416499E-2"/>
                  <c:y val="-5.1430775926878579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ADE-44DB-B4C1-45B7B3048DD6}"/>
                </c:ext>
              </c:extLst>
            </c:dLbl>
            <c:dLbl>
              <c:idx val="1"/>
              <c:layout>
                <c:manualLayout>
                  <c:x val="-3.7583892617449662E-2"/>
                  <c:y val="-4.9748743718593058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ADE-44DB-B4C1-45B7B3048DD6}"/>
                </c:ext>
              </c:extLst>
            </c:dLbl>
            <c:dLbl>
              <c:idx val="2"/>
              <c:layout>
                <c:manualLayout>
                  <c:x val="-3.7583892617449717E-2"/>
                  <c:y val="7.2398211530091405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ADE-44DB-B4C1-45B7B3048DD6}"/>
                </c:ext>
              </c:extLst>
            </c:dLbl>
            <c:dLbl>
              <c:idx val="3"/>
              <c:layout>
                <c:manualLayout>
                  <c:x val="-3.1194295900178252E-2"/>
                  <c:y val="-4.8530721282279608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ADE-44DB-B4C1-45B7B3048DD6}"/>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extLst>
                <c:ext xmlns:c16="http://schemas.microsoft.com/office/drawing/2014/chart" uri="{C3380CC4-5D6E-409C-BE32-E72D297353CC}">
                  <c16:uniqueId val="{00000008-6ADE-44DB-B4C1-45B7B3048DD6}"/>
                </c:ext>
              </c:extLst>
            </c:dLbl>
            <c:dLbl>
              <c:idx val="5"/>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extLst>
                <c:ext xmlns:c16="http://schemas.microsoft.com/office/drawing/2014/chart" uri="{C3380CC4-5D6E-409C-BE32-E72D297353CC}">
                  <c16:uniqueId val="{00000009-6ADE-44DB-B4C1-45B7B3048DD6}"/>
                </c:ext>
              </c:extLst>
            </c:dLbl>
            <c:dLbl>
              <c:idx val="9"/>
              <c:layout>
                <c:manualLayout>
                  <c:x val="-4.1161126671246731E-2"/>
                  <c:y val="5.56473829201101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ADE-44DB-B4C1-45B7B3048DD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prstDash val="solid"/>
                      <a:round/>
                    </a:ln>
                    <a:effectLst/>
                  </c:spPr>
                </c15:leaderLines>
              </c:ext>
            </c:extLst>
          </c:dLbls>
          <c:cat>
            <c:strRef>
              <c:f>Sheet1!$A$2:$A$13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Sheet1!$B$2:$B$13</c:f>
              <c:numCache>
                <c:formatCode>0.0</c:formatCode>
                <c:ptCount val="12"/>
                <c:pt idx="0">
                  <c:v>7.8796128251663617</c:v>
                </c:pt>
                <c:pt idx="1">
                  <c:v>15.780131353174355</c:v>
                </c:pt>
                <c:pt idx="2">
                  <c:v>18.37279203777409</c:v>
                </c:pt>
                <c:pt idx="3">
                  <c:v>11.60176974904077</c:v>
                </c:pt>
                <c:pt idx="4">
                  <c:v>13.71119589543008</c:v>
                </c:pt>
                <c:pt idx="5">
                  <c:v>14.756149099822508</c:v>
                </c:pt>
                <c:pt idx="6">
                  <c:v>14.141767532098342</c:v>
                </c:pt>
                <c:pt idx="7">
                  <c:v>14.932370973677436</c:v>
                </c:pt>
                <c:pt idx="8">
                  <c:v>16.529102598122051</c:v>
                </c:pt>
                <c:pt idx="9">
                  <c:v>19.040956018606053</c:v>
                </c:pt>
                <c:pt idx="10">
                  <c:v>17.146537858056021</c:v>
                </c:pt>
                <c:pt idx="11">
                  <c:v>16.759617958899312</c:v>
                </c:pt>
              </c:numCache>
            </c:numRef>
          </c:val>
          <c:smooth val="1"/>
          <c:extLst>
            <c:ext xmlns:c16="http://schemas.microsoft.com/office/drawing/2014/chart" uri="{C3380CC4-5D6E-409C-BE32-E72D297353CC}">
              <c16:uniqueId val="{0000000B-6ADE-44DB-B4C1-45B7B3048DD6}"/>
            </c:ext>
          </c:extLst>
        </c:ser>
        <c:dLbls>
          <c:showLegendKey val="0"/>
          <c:showVal val="0"/>
          <c:showCatName val="0"/>
          <c:showSerName val="0"/>
          <c:showPercent val="0"/>
          <c:showBubbleSize val="0"/>
        </c:dLbls>
        <c:marker val="1"/>
        <c:smooth val="0"/>
        <c:axId val="210443264"/>
        <c:axId val="210457344"/>
      </c:lineChart>
      <c:catAx>
        <c:axId val="210443264"/>
        <c:scaling>
          <c:orientation val="minMax"/>
        </c:scaling>
        <c:delete val="0"/>
        <c:axPos val="b"/>
        <c:majorGridlines>
          <c:spPr>
            <a:ln w="9525" cap="flat" cmpd="sng" algn="ctr">
              <a:solidFill>
                <a:schemeClr val="dk1">
                  <a:lumMod val="15000"/>
                  <a:lumOff val="85000"/>
                </a:schemeClr>
              </a:solidFill>
              <a:prstDash val="solid"/>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0457344"/>
        <c:crosses val="autoZero"/>
        <c:auto val="1"/>
        <c:lblAlgn val="ctr"/>
        <c:lblOffset val="100"/>
        <c:noMultiLvlLbl val="0"/>
      </c:catAx>
      <c:valAx>
        <c:axId val="210457344"/>
        <c:scaling>
          <c:orientation val="minMax"/>
          <c:max val="22"/>
          <c:min val="0"/>
        </c:scaling>
        <c:delete val="0"/>
        <c:axPos val="l"/>
        <c:majorGridlines>
          <c:spPr>
            <a:ln w="9525" cap="flat" cmpd="sng" algn="ctr">
              <a:solidFill>
                <a:schemeClr val="dk1">
                  <a:lumMod val="15000"/>
                  <a:lumOff val="850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10443264"/>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68009442502842221"/>
          <c:y val="0.39146093492543171"/>
          <c:w val="0.28348993288590602"/>
          <c:h val="7.80679854042634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25400" cap="flat" cmpd="sng" algn="ctr">
      <a:solidFill>
        <a:schemeClr val="dk1">
          <a:lumMod val="15000"/>
          <a:lumOff val="85000"/>
        </a:schemeClr>
      </a:solidFill>
      <a:prstDash val="solid"/>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442088626393807"/>
          <c:y val="5.6323604710701483E-2"/>
          <c:w val="0.74732600567103169"/>
          <c:h val="0.87196449920199748"/>
        </c:manualLayout>
      </c:layout>
      <c:barChart>
        <c:barDir val="bar"/>
        <c:grouping val="clustered"/>
        <c:varyColors val="0"/>
        <c:ser>
          <c:idx val="0"/>
          <c:order val="0"/>
          <c:tx>
            <c:strRef>
              <c:f>Sheet1!$B$1</c:f>
              <c:strCache>
                <c:ptCount val="1"/>
                <c:pt idx="0">
                  <c:v>2022</c:v>
                </c:pt>
              </c:strCache>
            </c:strRef>
          </c:tx>
          <c:spPr>
            <a:solidFill>
              <a:schemeClr val="accent1">
                <a:lumMod val="60000"/>
                <a:lumOff val="40000"/>
              </a:schemeClr>
            </a:solidFill>
            <a:ln w="15875">
              <a:solidFill>
                <a:schemeClr val="tx1"/>
              </a:solidFill>
            </a:ln>
            <a:effectLst>
              <a:outerShdw blurRad="50800" dist="38100" dir="2700000" algn="tl" rotWithShape="0">
                <a:prstClr val="black">
                  <a:alpha val="40000"/>
                </a:prstClr>
              </a:outerShdw>
            </a:effectLst>
          </c:spPr>
          <c:invertIfNegative val="0"/>
          <c:dLbls>
            <c:dLbl>
              <c:idx val="0"/>
              <c:layout>
                <c:manualLayout>
                  <c:x val="-2.2041554655844123E-3"/>
                  <c:y val="3.4614455915523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00-4DB3-95D2-C600FC6D7039}"/>
                </c:ext>
              </c:extLst>
            </c:dLbl>
            <c:dLbl>
              <c:idx val="1"/>
              <c:layout>
                <c:manualLayout>
                  <c:x val="1.8980583370960655E-3"/>
                  <c:y val="3.12133758149327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00-4DB3-95D2-C600FC6D7039}"/>
                </c:ext>
              </c:extLst>
            </c:dLbl>
            <c:dLbl>
              <c:idx val="3"/>
              <c:layout>
                <c:manualLayout>
                  <c:x val="-3.9996850393700786E-3"/>
                  <c:y val="4.78011472275334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00-4DB3-95D2-C600FC6D7039}"/>
                </c:ext>
              </c:extLst>
            </c:dLbl>
            <c:dLbl>
              <c:idx val="6"/>
              <c:layout>
                <c:manualLayout>
                  <c:x val="9.0448687538539282E-3"/>
                  <c:y val="3.73971578160059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00-4DB3-95D2-C600FC6D7039}"/>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Prestaciones a la S.S</c:v>
                </c:pt>
                <c:pt idx="1">
                  <c:v>Intereses </c:v>
                </c:pt>
                <c:pt idx="2">
                  <c:v>Trans. Corrientes</c:v>
                </c:pt>
                <c:pt idx="3">
                  <c:v>Inversión Real Directa</c:v>
                </c:pt>
                <c:pt idx="4">
                  <c:v>Trans. De Capital</c:v>
                </c:pt>
                <c:pt idx="5">
                  <c:v>Remuneraciones </c:v>
                </c:pt>
                <c:pt idx="6">
                  <c:v>Bienes y servicios </c:v>
                </c:pt>
              </c:strCache>
            </c:strRef>
          </c:cat>
          <c:val>
            <c:numRef>
              <c:f>Sheet1!$B$2:$B$8</c:f>
              <c:numCache>
                <c:formatCode>#,##0.0</c:formatCode>
                <c:ptCount val="7"/>
                <c:pt idx="0">
                  <c:v>95.37083094000036</c:v>
                </c:pt>
                <c:pt idx="1">
                  <c:v>303.49999330999981</c:v>
                </c:pt>
                <c:pt idx="2">
                  <c:v>3442.8700973000005</c:v>
                </c:pt>
                <c:pt idx="3">
                  <c:v>318.54907362000017</c:v>
                </c:pt>
                <c:pt idx="4">
                  <c:v>1049.75234542</c:v>
                </c:pt>
                <c:pt idx="5">
                  <c:v>669.96359711000332</c:v>
                </c:pt>
                <c:pt idx="6">
                  <c:v>257.92954898000153</c:v>
                </c:pt>
              </c:numCache>
            </c:numRef>
          </c:val>
          <c:extLst>
            <c:ext xmlns:c16="http://schemas.microsoft.com/office/drawing/2014/chart" uri="{C3380CC4-5D6E-409C-BE32-E72D297353CC}">
              <c16:uniqueId val="{00000004-F300-4DB3-95D2-C600FC6D7039}"/>
            </c:ext>
          </c:extLst>
        </c:ser>
        <c:ser>
          <c:idx val="1"/>
          <c:order val="1"/>
          <c:tx>
            <c:strRef>
              <c:f>Sheet1!$C$1</c:f>
              <c:strCache>
                <c:ptCount val="1"/>
                <c:pt idx="0">
                  <c:v>2023</c:v>
                </c:pt>
              </c:strCache>
            </c:strRef>
          </c:tx>
          <c:spPr>
            <a:solidFill>
              <a:schemeClr val="accent5">
                <a:lumMod val="50000"/>
              </a:schemeClr>
            </a:solidFill>
            <a:ln w="15875">
              <a:solidFill>
                <a:schemeClr val="accent3">
                  <a:lumMod val="50000"/>
                </a:schemeClr>
              </a:solidFill>
            </a:ln>
            <a:effectLst>
              <a:outerShdw blurRad="50800" dist="38100" dir="2700000" algn="tl" rotWithShape="0">
                <a:prstClr val="black">
                  <a:alpha val="40000"/>
                </a:prstClr>
              </a:outerShdw>
            </a:effectLst>
          </c:spPr>
          <c:invertIfNegative val="0"/>
          <c:dLbls>
            <c:dLbl>
              <c:idx val="0"/>
              <c:layout>
                <c:manualLayout>
                  <c:x val="1.9968256279090392E-3"/>
                  <c:y val="5.62400249707006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00-4DB3-95D2-C600FC6D7039}"/>
                </c:ext>
              </c:extLst>
            </c:dLbl>
            <c:dLbl>
              <c:idx val="2"/>
              <c:layout>
                <c:manualLayout>
                  <c:x val="-8.5801574803149611E-3"/>
                  <c:y val="-4.78011472275334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00-4DB3-95D2-C600FC6D7039}"/>
                </c:ext>
              </c:extLst>
            </c:dLbl>
            <c:dLbl>
              <c:idx val="4"/>
              <c:layout>
                <c:manualLayout>
                  <c:x val="0"/>
                  <c:y val="-9.56022944550669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300-4DB3-95D2-C600FC6D7039}"/>
                </c:ext>
              </c:extLst>
            </c:dLbl>
            <c:dLbl>
              <c:idx val="6"/>
              <c:layout>
                <c:manualLayout>
                  <c:x val="3.2630603992479898E-4"/>
                  <c:y val="-1.04034770522793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00-4DB3-95D2-C600FC6D7039}"/>
                </c:ext>
              </c:extLst>
            </c:dLbl>
            <c:dLbl>
              <c:idx val="7"/>
              <c:layout>
                <c:manualLayout>
                  <c:x val="-5.1582649472450177E-2"/>
                  <c:y val="-5.2581261950286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00-4DB3-95D2-C600FC6D7039}"/>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Prestaciones a la S.S</c:v>
                </c:pt>
                <c:pt idx="1">
                  <c:v>Intereses </c:v>
                </c:pt>
                <c:pt idx="2">
                  <c:v>Trans. Corrientes</c:v>
                </c:pt>
                <c:pt idx="3">
                  <c:v>Inversión Real Directa</c:v>
                </c:pt>
                <c:pt idx="4">
                  <c:v>Trans. De Capital</c:v>
                </c:pt>
                <c:pt idx="5">
                  <c:v>Remuneraciones </c:v>
                </c:pt>
                <c:pt idx="6">
                  <c:v>Bienes y servicios </c:v>
                </c:pt>
              </c:strCache>
            </c:strRef>
          </c:cat>
          <c:val>
            <c:numRef>
              <c:f>Sheet1!$C$2:$C$8</c:f>
              <c:numCache>
                <c:formatCode>#,##0.0</c:formatCode>
                <c:ptCount val="7"/>
                <c:pt idx="0">
                  <c:v>470.6396653099996</c:v>
                </c:pt>
                <c:pt idx="1">
                  <c:v>543.73000754000077</c:v>
                </c:pt>
                <c:pt idx="2">
                  <c:v>611.83553546999974</c:v>
                </c:pt>
                <c:pt idx="3">
                  <c:v>672.39280640999982</c:v>
                </c:pt>
                <c:pt idx="4">
                  <c:v>886.07027417000063</c:v>
                </c:pt>
                <c:pt idx="5">
                  <c:v>1171.6505529199967</c:v>
                </c:pt>
                <c:pt idx="6">
                  <c:v>2949.9374887100003</c:v>
                </c:pt>
              </c:numCache>
            </c:numRef>
          </c:val>
          <c:extLst>
            <c:ext xmlns:c16="http://schemas.microsoft.com/office/drawing/2014/chart" uri="{C3380CC4-5D6E-409C-BE32-E72D297353CC}">
              <c16:uniqueId val="{0000000A-F300-4DB3-95D2-C600FC6D7039}"/>
            </c:ext>
          </c:extLst>
        </c:ser>
        <c:dLbls>
          <c:showLegendKey val="0"/>
          <c:showVal val="0"/>
          <c:showCatName val="0"/>
          <c:showSerName val="0"/>
          <c:showPercent val="0"/>
          <c:showBubbleSize val="0"/>
        </c:dLbls>
        <c:gapWidth val="132"/>
        <c:axId val="386727800"/>
        <c:axId val="386724848"/>
      </c:barChart>
      <c:catAx>
        <c:axId val="38672780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GT"/>
          </a:p>
        </c:txPr>
        <c:crossAx val="386724848"/>
        <c:crosses val="autoZero"/>
        <c:auto val="1"/>
        <c:lblAlgn val="ctr"/>
        <c:lblOffset val="100"/>
        <c:noMultiLvlLbl val="0"/>
      </c:catAx>
      <c:valAx>
        <c:axId val="386724848"/>
        <c:scaling>
          <c:orientation val="minMax"/>
          <c:max val="3600"/>
          <c:min val="0"/>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386727800"/>
        <c:crosses val="autoZero"/>
        <c:crossBetween val="between"/>
        <c:majorUnit val="1000"/>
        <c:minorUnit val="500"/>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85787213321318578"/>
          <c:y val="0.19138186915117286"/>
          <c:w val="7.6945139587867084E-2"/>
          <c:h val="0.2177430373559325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25400" cap="flat" cmpd="sng" algn="ctr">
      <a:solidFill>
        <a:schemeClr val="dk1">
          <a:lumMod val="15000"/>
          <a:lumOff val="85000"/>
        </a:schemeClr>
      </a:solid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885488049402383E-2"/>
          <c:y val="1.7964736560444818E-2"/>
          <c:w val="0.90492457898015666"/>
          <c:h val="0.92141996312115937"/>
        </c:manualLayout>
      </c:layout>
      <c:barChart>
        <c:barDir val="col"/>
        <c:grouping val="clustered"/>
        <c:varyColors val="0"/>
        <c:ser>
          <c:idx val="0"/>
          <c:order val="0"/>
          <c:spPr>
            <a:solidFill>
              <a:schemeClr val="tx2">
                <a:lumMod val="60000"/>
                <a:lumOff val="40000"/>
              </a:schemeClr>
            </a:solidFill>
            <a:ln>
              <a:solidFill>
                <a:schemeClr val="tx2">
                  <a:lumMod val="60000"/>
                  <a:lumOff val="40000"/>
                </a:schemeClr>
              </a:solidFill>
            </a:ln>
            <a:effectLst/>
          </c:spPr>
          <c:invertIfNegative val="0"/>
          <c:dPt>
            <c:idx val="10"/>
            <c:invertIfNegative val="0"/>
            <c:bubble3D val="0"/>
            <c:spPr>
              <a:solidFill>
                <a:schemeClr val="tx2">
                  <a:lumMod val="60000"/>
                  <a:lumOff val="40000"/>
                </a:schemeClr>
              </a:solidFill>
              <a:ln>
                <a:solidFill>
                  <a:schemeClr val="tx2">
                    <a:lumMod val="60000"/>
                    <a:lumOff val="40000"/>
                  </a:schemeClr>
                </a:solidFill>
              </a:ln>
              <a:effectLst/>
            </c:spPr>
            <c:extLst>
              <c:ext xmlns:c16="http://schemas.microsoft.com/office/drawing/2014/chart" uri="{C3380CC4-5D6E-409C-BE32-E72D297353CC}">
                <c16:uniqueId val="{00000001-610B-444C-900C-7056FCAD89A4}"/>
              </c:ext>
            </c:extLst>
          </c:dPt>
          <c:dPt>
            <c:idx val="11"/>
            <c:invertIfNegative val="0"/>
            <c:bubble3D val="0"/>
            <c:spPr>
              <a:solidFill>
                <a:schemeClr val="tx2">
                  <a:lumMod val="60000"/>
                  <a:lumOff val="40000"/>
                </a:schemeClr>
              </a:solidFill>
              <a:ln>
                <a:solidFill>
                  <a:schemeClr val="tx2">
                    <a:lumMod val="60000"/>
                    <a:lumOff val="40000"/>
                  </a:schemeClr>
                </a:solidFill>
              </a:ln>
              <a:effectLst/>
            </c:spPr>
            <c:extLst>
              <c:ext xmlns:c16="http://schemas.microsoft.com/office/drawing/2014/chart" uri="{C3380CC4-5D6E-409C-BE32-E72D297353CC}">
                <c16:uniqueId val="{00000003-610B-444C-900C-7056FCAD89A4}"/>
              </c:ext>
            </c:extLst>
          </c:dPt>
          <c:dPt>
            <c:idx val="12"/>
            <c:invertIfNegative val="0"/>
            <c:bubble3D val="0"/>
            <c:spPr>
              <a:solidFill>
                <a:schemeClr val="tx2">
                  <a:lumMod val="50000"/>
                </a:schemeClr>
              </a:solidFill>
              <a:ln>
                <a:solidFill>
                  <a:schemeClr val="tx2">
                    <a:lumMod val="50000"/>
                  </a:schemeClr>
                </a:solidFill>
              </a:ln>
              <a:effectLst/>
            </c:spPr>
            <c:extLst>
              <c:ext xmlns:c16="http://schemas.microsoft.com/office/drawing/2014/chart" uri="{C3380CC4-5D6E-409C-BE32-E72D297353CC}">
                <c16:uniqueId val="{00000005-610B-444C-900C-7056FCAD89A4}"/>
              </c:ext>
            </c:extLst>
          </c:dPt>
          <c:dLbls>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Remesas!$B$10:$N$10</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Remesas!$B$26:$N$26</c:f>
              <c:numCache>
                <c:formatCode>#,##0.0</c:formatCode>
                <c:ptCount val="13"/>
                <c:pt idx="0">
                  <c:v>2175.0895</c:v>
                </c:pt>
                <c:pt idx="1">
                  <c:v>2360.8064399999998</c:v>
                </c:pt>
                <c:pt idx="2">
                  <c:v>2478.5210699999998</c:v>
                </c:pt>
                <c:pt idx="3">
                  <c:v>2703.9609399999999</c:v>
                </c:pt>
                <c:pt idx="4">
                  <c:v>2954.9947299999999</c:v>
                </c:pt>
                <c:pt idx="5">
                  <c:v>3512.2587899999999</c:v>
                </c:pt>
                <c:pt idx="6">
                  <c:v>4052.3654900000001</c:v>
                </c:pt>
                <c:pt idx="7">
                  <c:v>4399.0826500000003</c:v>
                </c:pt>
                <c:pt idx="8">
                  <c:v>4926.9297000000006</c:v>
                </c:pt>
                <c:pt idx="9">
                  <c:v>4880.2494999999999</c:v>
                </c:pt>
                <c:pt idx="10">
                  <c:v>6966.1496200000001</c:v>
                </c:pt>
                <c:pt idx="11">
                  <c:v>8711.390159999999</c:v>
                </c:pt>
                <c:pt idx="12">
                  <c:v>9657.9789179500003</c:v>
                </c:pt>
              </c:numCache>
            </c:numRef>
          </c:val>
          <c:extLst>
            <c:ext xmlns:c16="http://schemas.microsoft.com/office/drawing/2014/chart" uri="{C3380CC4-5D6E-409C-BE32-E72D297353CC}">
              <c16:uniqueId val="{00000006-610B-444C-900C-7056FCAD89A4}"/>
            </c:ext>
          </c:extLst>
        </c:ser>
        <c:dLbls>
          <c:showLegendKey val="0"/>
          <c:showVal val="0"/>
          <c:showCatName val="0"/>
          <c:showSerName val="0"/>
          <c:showPercent val="0"/>
          <c:showBubbleSize val="0"/>
        </c:dLbls>
        <c:gapWidth val="150"/>
        <c:axId val="404021864"/>
        <c:axId val="404022192"/>
      </c:barChart>
      <c:catAx>
        <c:axId val="404021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404022192"/>
        <c:crosses val="autoZero"/>
        <c:auto val="1"/>
        <c:lblAlgn val="ctr"/>
        <c:lblOffset val="100"/>
        <c:noMultiLvlLbl val="0"/>
      </c:catAx>
      <c:valAx>
        <c:axId val="40402219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404021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94694824897135E-2"/>
          <c:y val="2.0131392666825738E-2"/>
          <c:w val="0.88053071537149297"/>
          <c:h val="0.91187210689572906"/>
        </c:manualLayout>
      </c:layout>
      <c:barChart>
        <c:barDir val="col"/>
        <c:grouping val="clustered"/>
        <c:varyColors val="0"/>
        <c:ser>
          <c:idx val="1"/>
          <c:order val="0"/>
          <c:spPr>
            <a:solidFill>
              <a:schemeClr val="tx2">
                <a:lumMod val="60000"/>
                <a:lumOff val="40000"/>
              </a:schemeClr>
            </a:solidFill>
          </c:spPr>
          <c:invertIfNegative val="0"/>
          <c:dPt>
            <c:idx val="9"/>
            <c:invertIfNegative val="0"/>
            <c:bubble3D val="0"/>
            <c:extLst>
              <c:ext xmlns:c16="http://schemas.microsoft.com/office/drawing/2014/chart" uri="{C3380CC4-5D6E-409C-BE32-E72D297353CC}">
                <c16:uniqueId val="{00000000-37E0-4613-B1F9-5474345EDABA}"/>
              </c:ext>
            </c:extLst>
          </c:dPt>
          <c:dPt>
            <c:idx val="10"/>
            <c:invertIfNegative val="0"/>
            <c:bubble3D val="0"/>
            <c:extLst>
              <c:ext xmlns:c16="http://schemas.microsoft.com/office/drawing/2014/chart" uri="{C3380CC4-5D6E-409C-BE32-E72D297353CC}">
                <c16:uniqueId val="{00000001-37E0-4613-B1F9-5474345EDABA}"/>
              </c:ext>
            </c:extLst>
          </c:dPt>
          <c:dPt>
            <c:idx val="11"/>
            <c:invertIfNegative val="0"/>
            <c:bubble3D val="0"/>
            <c:extLst>
              <c:ext xmlns:c16="http://schemas.microsoft.com/office/drawing/2014/chart" uri="{C3380CC4-5D6E-409C-BE32-E72D297353CC}">
                <c16:uniqueId val="{00000002-37E0-4613-B1F9-5474345EDABA}"/>
              </c:ext>
            </c:extLst>
          </c:dPt>
          <c:dPt>
            <c:idx val="12"/>
            <c:invertIfNegative val="0"/>
            <c:bubble3D val="0"/>
            <c:spPr>
              <a:solidFill>
                <a:schemeClr val="tx2">
                  <a:lumMod val="60000"/>
                  <a:lumOff val="40000"/>
                </a:schemeClr>
              </a:solidFill>
            </c:spPr>
            <c:extLst>
              <c:ext xmlns:c16="http://schemas.microsoft.com/office/drawing/2014/chart" uri="{C3380CC4-5D6E-409C-BE32-E72D297353CC}">
                <c16:uniqueId val="{00000004-37E0-4613-B1F9-5474345EDABA}"/>
              </c:ext>
            </c:extLst>
          </c:dPt>
          <c:dPt>
            <c:idx val="13"/>
            <c:invertIfNegative val="0"/>
            <c:bubble3D val="0"/>
            <c:spPr>
              <a:solidFill>
                <a:schemeClr val="tx2">
                  <a:lumMod val="50000"/>
                </a:schemeClr>
              </a:solidFill>
            </c:spPr>
            <c:extLst>
              <c:ext xmlns:c16="http://schemas.microsoft.com/office/drawing/2014/chart" uri="{C3380CC4-5D6E-409C-BE32-E72D297353CC}">
                <c16:uniqueId val="{00000006-37E0-4613-B1F9-5474345EDABA}"/>
              </c:ext>
            </c:extLst>
          </c:dPt>
          <c:dLbls>
            <c:numFmt formatCode="#,##0.0" sourceLinked="0"/>
            <c:spPr>
              <a:noFill/>
              <a:ln>
                <a:noFill/>
              </a:ln>
              <a:effectLst/>
            </c:spPr>
            <c:txPr>
              <a:bodyPr wrap="square" lIns="38100" tIns="19050" rIns="38100" bIns="19050" anchor="ctr">
                <a:spAutoFit/>
              </a:bodyPr>
              <a:lstStyle/>
              <a:p>
                <a:pPr>
                  <a:defRPr sz="600" b="1">
                    <a:latin typeface="Times New Roman" panose="02020603050405020304" pitchFamily="18" charset="0"/>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RMI!$B$38:$B$51</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RMI!$C$38:$C$51</c:f>
              <c:numCache>
                <c:formatCode>#,##0.0</c:formatCode>
                <c:ptCount val="14"/>
                <c:pt idx="0">
                  <c:v>5953.8</c:v>
                </c:pt>
                <c:pt idx="1">
                  <c:v>6187.9</c:v>
                </c:pt>
                <c:pt idx="2">
                  <c:v>6693.8</c:v>
                </c:pt>
                <c:pt idx="3">
                  <c:v>7272.6</c:v>
                </c:pt>
                <c:pt idx="4">
                  <c:v>7333.4</c:v>
                </c:pt>
                <c:pt idx="5">
                  <c:v>7751.2</c:v>
                </c:pt>
                <c:pt idx="6">
                  <c:v>9160.4</c:v>
                </c:pt>
                <c:pt idx="7">
                  <c:v>11769.5</c:v>
                </c:pt>
                <c:pt idx="8">
                  <c:v>12755.6</c:v>
                </c:pt>
                <c:pt idx="9">
                  <c:v>14279.8</c:v>
                </c:pt>
                <c:pt idx="10">
                  <c:v>16991.8</c:v>
                </c:pt>
                <c:pt idx="11">
                  <c:v>18748.8</c:v>
                </c:pt>
                <c:pt idx="12">
                  <c:v>19875.599999999999</c:v>
                </c:pt>
                <c:pt idx="13" formatCode="#,##0.00">
                  <c:v>21160.5</c:v>
                </c:pt>
              </c:numCache>
            </c:numRef>
          </c:val>
          <c:extLst>
            <c:ext xmlns:c16="http://schemas.microsoft.com/office/drawing/2014/chart" uri="{C3380CC4-5D6E-409C-BE32-E72D297353CC}">
              <c16:uniqueId val="{00000007-37E0-4613-B1F9-5474345EDABA}"/>
            </c:ext>
          </c:extLst>
        </c:ser>
        <c:dLbls>
          <c:showLegendKey val="0"/>
          <c:showVal val="0"/>
          <c:showCatName val="0"/>
          <c:showSerName val="0"/>
          <c:showPercent val="0"/>
          <c:showBubbleSize val="0"/>
        </c:dLbls>
        <c:gapWidth val="150"/>
        <c:axId val="99230464"/>
        <c:axId val="99232000"/>
      </c:barChart>
      <c:catAx>
        <c:axId val="99230464"/>
        <c:scaling>
          <c:orientation val="minMax"/>
        </c:scaling>
        <c:delete val="0"/>
        <c:axPos val="b"/>
        <c:numFmt formatCode="General" sourceLinked="1"/>
        <c:majorTickMark val="out"/>
        <c:minorTickMark val="none"/>
        <c:tickLblPos val="nextTo"/>
        <c:txPr>
          <a:bodyPr/>
          <a:lstStyle/>
          <a:p>
            <a:pPr>
              <a:defRPr sz="900" b="1">
                <a:latin typeface="Times New Roman" panose="02020603050405020304" pitchFamily="18" charset="0"/>
                <a:cs typeface="Times New Roman" panose="02020603050405020304" pitchFamily="18" charset="0"/>
              </a:defRPr>
            </a:pPr>
            <a:endParaRPr lang="es-GT"/>
          </a:p>
        </c:txPr>
        <c:crossAx val="99232000"/>
        <c:crosses val="autoZero"/>
        <c:auto val="1"/>
        <c:lblAlgn val="ctr"/>
        <c:lblOffset val="100"/>
        <c:noMultiLvlLbl val="0"/>
      </c:catAx>
      <c:valAx>
        <c:axId val="99232000"/>
        <c:scaling>
          <c:orientation val="minMax"/>
        </c:scaling>
        <c:delete val="0"/>
        <c:axPos val="l"/>
        <c:numFmt formatCode="#,##0.0" sourceLinked="1"/>
        <c:majorTickMark val="out"/>
        <c:minorTickMark val="none"/>
        <c:tickLblPos val="nextTo"/>
        <c:txPr>
          <a:bodyPr/>
          <a:lstStyle/>
          <a:p>
            <a:pPr>
              <a:defRPr sz="900" b="1">
                <a:latin typeface="Times New Roman" panose="02020603050405020304" pitchFamily="18" charset="0"/>
                <a:cs typeface="Times New Roman" panose="02020603050405020304" pitchFamily="18" charset="0"/>
              </a:defRPr>
            </a:pPr>
            <a:endParaRPr lang="es-GT"/>
          </a:p>
        </c:txPr>
        <c:crossAx val="99230464"/>
        <c:crosses val="autoZero"/>
        <c:crossBetween val="between"/>
      </c:valAx>
      <c:spPr>
        <a:ln>
          <a:noFill/>
        </a:ln>
      </c:spPr>
    </c:plotArea>
    <c:plotVisOnly val="1"/>
    <c:dispBlanksAs val="gap"/>
    <c:showDLblsOverMax val="0"/>
  </c:chart>
  <c:spPr>
    <a:ln>
      <a:solidFill>
        <a:sysClr val="windowText" lastClr="000000"/>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757037037037119E-2"/>
          <c:y val="2.1528333333333333E-2"/>
          <c:w val="0.87380963281948509"/>
          <c:h val="0.81530583333333395"/>
        </c:manualLayout>
      </c:layout>
      <c:lineChart>
        <c:grouping val="standard"/>
        <c:varyColors val="0"/>
        <c:ser>
          <c:idx val="0"/>
          <c:order val="0"/>
          <c:spPr>
            <a:ln w="25400">
              <a:solidFill>
                <a:srgbClr val="5B9BD5">
                  <a:lumMod val="50000"/>
                </a:srgbClr>
              </a:solidFill>
            </a:ln>
          </c:spPr>
          <c:dLbls>
            <c:dLbl>
              <c:idx val="14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8A-482C-811D-249C685A51AC}"/>
                </c:ext>
              </c:extLst>
            </c:dLbl>
            <c:dLbl>
              <c:idx val="14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8A-482C-811D-249C685A51AC}"/>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'Tasa lider'!$B$42:$B$191</c:f>
              <c:numCache>
                <c:formatCode>mmm\-yy</c:formatCode>
                <c:ptCount val="150"/>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41518</c:v>
                </c:pt>
                <c:pt idx="33">
                  <c:v>41548</c:v>
                </c:pt>
                <c:pt idx="34">
                  <c:v>41579</c:v>
                </c:pt>
                <c:pt idx="35">
                  <c:v>41609</c:v>
                </c:pt>
                <c:pt idx="36">
                  <c:v>41640</c:v>
                </c:pt>
                <c:pt idx="37">
                  <c:v>41671</c:v>
                </c:pt>
                <c:pt idx="38">
                  <c:v>41699</c:v>
                </c:pt>
                <c:pt idx="39">
                  <c:v>41730</c:v>
                </c:pt>
                <c:pt idx="40">
                  <c:v>41760</c:v>
                </c:pt>
                <c:pt idx="41">
                  <c:v>41791</c:v>
                </c:pt>
                <c:pt idx="42">
                  <c:v>41821</c:v>
                </c:pt>
                <c:pt idx="43">
                  <c:v>41852</c:v>
                </c:pt>
                <c:pt idx="44">
                  <c:v>41883</c:v>
                </c:pt>
                <c:pt idx="45">
                  <c:v>41913</c:v>
                </c:pt>
                <c:pt idx="46">
                  <c:v>41944</c:v>
                </c:pt>
                <c:pt idx="47">
                  <c:v>41974</c:v>
                </c:pt>
                <c:pt idx="48">
                  <c:v>42005</c:v>
                </c:pt>
                <c:pt idx="49">
                  <c:v>42036</c:v>
                </c:pt>
                <c:pt idx="50">
                  <c:v>42064</c:v>
                </c:pt>
                <c:pt idx="51">
                  <c:v>42095</c:v>
                </c:pt>
                <c:pt idx="52">
                  <c:v>42125</c:v>
                </c:pt>
                <c:pt idx="53">
                  <c:v>42156</c:v>
                </c:pt>
                <c:pt idx="54">
                  <c:v>42186</c:v>
                </c:pt>
                <c:pt idx="55">
                  <c:v>42217</c:v>
                </c:pt>
                <c:pt idx="56">
                  <c:v>42248</c:v>
                </c:pt>
                <c:pt idx="57">
                  <c:v>42278</c:v>
                </c:pt>
                <c:pt idx="58">
                  <c:v>42309</c:v>
                </c:pt>
                <c:pt idx="59">
                  <c:v>42339</c:v>
                </c:pt>
                <c:pt idx="60">
                  <c:v>42370</c:v>
                </c:pt>
                <c:pt idx="61">
                  <c:v>42401</c:v>
                </c:pt>
                <c:pt idx="62">
                  <c:v>42430</c:v>
                </c:pt>
                <c:pt idx="63">
                  <c:v>42461</c:v>
                </c:pt>
                <c:pt idx="64">
                  <c:v>42491</c:v>
                </c:pt>
                <c:pt idx="65">
                  <c:v>42522</c:v>
                </c:pt>
                <c:pt idx="66">
                  <c:v>42552</c:v>
                </c:pt>
                <c:pt idx="67">
                  <c:v>42583</c:v>
                </c:pt>
                <c:pt idx="68">
                  <c:v>42614</c:v>
                </c:pt>
                <c:pt idx="69">
                  <c:v>42644</c:v>
                </c:pt>
                <c:pt idx="70">
                  <c:v>42675</c:v>
                </c:pt>
                <c:pt idx="71">
                  <c:v>42705</c:v>
                </c:pt>
                <c:pt idx="72">
                  <c:v>42736</c:v>
                </c:pt>
                <c:pt idx="73">
                  <c:v>42767</c:v>
                </c:pt>
                <c:pt idx="74">
                  <c:v>42795</c:v>
                </c:pt>
                <c:pt idx="75">
                  <c:v>42826</c:v>
                </c:pt>
                <c:pt idx="76">
                  <c:v>42856</c:v>
                </c:pt>
                <c:pt idx="77">
                  <c:v>42887</c:v>
                </c:pt>
                <c:pt idx="78">
                  <c:v>42917</c:v>
                </c:pt>
                <c:pt idx="79">
                  <c:v>42948</c:v>
                </c:pt>
                <c:pt idx="80">
                  <c:v>42979</c:v>
                </c:pt>
                <c:pt idx="81">
                  <c:v>43009</c:v>
                </c:pt>
                <c:pt idx="82">
                  <c:v>43040</c:v>
                </c:pt>
                <c:pt idx="83">
                  <c:v>43070</c:v>
                </c:pt>
                <c:pt idx="84">
                  <c:v>43101</c:v>
                </c:pt>
                <c:pt idx="85">
                  <c:v>43132</c:v>
                </c:pt>
                <c:pt idx="86">
                  <c:v>43160</c:v>
                </c:pt>
                <c:pt idx="87">
                  <c:v>43191</c:v>
                </c:pt>
                <c:pt idx="88">
                  <c:v>43221</c:v>
                </c:pt>
                <c:pt idx="89">
                  <c:v>43252</c:v>
                </c:pt>
                <c:pt idx="90">
                  <c:v>43282</c:v>
                </c:pt>
                <c:pt idx="91">
                  <c:v>43313</c:v>
                </c:pt>
                <c:pt idx="92">
                  <c:v>43344</c:v>
                </c:pt>
                <c:pt idx="93">
                  <c:v>43374</c:v>
                </c:pt>
                <c:pt idx="94">
                  <c:v>43405</c:v>
                </c:pt>
                <c:pt idx="95">
                  <c:v>43435</c:v>
                </c:pt>
                <c:pt idx="96">
                  <c:v>43466</c:v>
                </c:pt>
                <c:pt idx="97">
                  <c:v>43497</c:v>
                </c:pt>
                <c:pt idx="98">
                  <c:v>43525</c:v>
                </c:pt>
                <c:pt idx="99">
                  <c:v>43556</c:v>
                </c:pt>
                <c:pt idx="100">
                  <c:v>43586</c:v>
                </c:pt>
                <c:pt idx="101">
                  <c:v>43617</c:v>
                </c:pt>
                <c:pt idx="102">
                  <c:v>43647</c:v>
                </c:pt>
                <c:pt idx="103">
                  <c:v>43678</c:v>
                </c:pt>
                <c:pt idx="104">
                  <c:v>43709</c:v>
                </c:pt>
                <c:pt idx="105">
                  <c:v>43739</c:v>
                </c:pt>
                <c:pt idx="106">
                  <c:v>43770</c:v>
                </c:pt>
                <c:pt idx="107">
                  <c:v>43800</c:v>
                </c:pt>
                <c:pt idx="108">
                  <c:v>43831</c:v>
                </c:pt>
                <c:pt idx="109">
                  <c:v>43862</c:v>
                </c:pt>
                <c:pt idx="110">
                  <c:v>43891</c:v>
                </c:pt>
                <c:pt idx="111">
                  <c:v>43922</c:v>
                </c:pt>
                <c:pt idx="112">
                  <c:v>43952</c:v>
                </c:pt>
                <c:pt idx="113">
                  <c:v>43983</c:v>
                </c:pt>
                <c:pt idx="114">
                  <c:v>44013</c:v>
                </c:pt>
                <c:pt idx="115">
                  <c:v>44044</c:v>
                </c:pt>
                <c:pt idx="116">
                  <c:v>44075</c:v>
                </c:pt>
                <c:pt idx="117">
                  <c:v>44105</c:v>
                </c:pt>
                <c:pt idx="118">
                  <c:v>44136</c:v>
                </c:pt>
                <c:pt idx="119">
                  <c:v>44166</c:v>
                </c:pt>
                <c:pt idx="120">
                  <c:v>44197</c:v>
                </c:pt>
                <c:pt idx="121">
                  <c:v>44228</c:v>
                </c:pt>
                <c:pt idx="122">
                  <c:v>44256</c:v>
                </c:pt>
                <c:pt idx="123">
                  <c:v>44287</c:v>
                </c:pt>
                <c:pt idx="124">
                  <c:v>44317</c:v>
                </c:pt>
                <c:pt idx="125">
                  <c:v>44348</c:v>
                </c:pt>
                <c:pt idx="126">
                  <c:v>44378</c:v>
                </c:pt>
                <c:pt idx="127">
                  <c:v>44409</c:v>
                </c:pt>
                <c:pt idx="128">
                  <c:v>44440</c:v>
                </c:pt>
                <c:pt idx="129">
                  <c:v>44470</c:v>
                </c:pt>
                <c:pt idx="130">
                  <c:v>44501</c:v>
                </c:pt>
                <c:pt idx="131">
                  <c:v>44531</c:v>
                </c:pt>
                <c:pt idx="132">
                  <c:v>44562</c:v>
                </c:pt>
                <c:pt idx="133">
                  <c:v>44593</c:v>
                </c:pt>
                <c:pt idx="134">
                  <c:v>44621</c:v>
                </c:pt>
                <c:pt idx="135">
                  <c:v>44652</c:v>
                </c:pt>
                <c:pt idx="136">
                  <c:v>44682</c:v>
                </c:pt>
                <c:pt idx="137">
                  <c:v>44713</c:v>
                </c:pt>
                <c:pt idx="138">
                  <c:v>44743</c:v>
                </c:pt>
                <c:pt idx="139">
                  <c:v>44774</c:v>
                </c:pt>
                <c:pt idx="140">
                  <c:v>44805</c:v>
                </c:pt>
                <c:pt idx="141">
                  <c:v>44835</c:v>
                </c:pt>
                <c:pt idx="142">
                  <c:v>44866</c:v>
                </c:pt>
                <c:pt idx="143">
                  <c:v>44896</c:v>
                </c:pt>
                <c:pt idx="144">
                  <c:v>44927</c:v>
                </c:pt>
                <c:pt idx="145">
                  <c:v>44958</c:v>
                </c:pt>
                <c:pt idx="146">
                  <c:v>44986</c:v>
                </c:pt>
                <c:pt idx="147">
                  <c:v>45017</c:v>
                </c:pt>
                <c:pt idx="148">
                  <c:v>45047</c:v>
                </c:pt>
                <c:pt idx="149">
                  <c:v>45078</c:v>
                </c:pt>
              </c:numCache>
            </c:numRef>
          </c:cat>
          <c:val>
            <c:numRef>
              <c:f>'Tasa lider'!$C$42:$C$191</c:f>
              <c:numCache>
                <c:formatCode>0.00</c:formatCode>
                <c:ptCount val="150"/>
                <c:pt idx="0">
                  <c:v>4.5</c:v>
                </c:pt>
                <c:pt idx="1">
                  <c:v>4.5</c:v>
                </c:pt>
                <c:pt idx="2">
                  <c:v>4.75</c:v>
                </c:pt>
                <c:pt idx="3">
                  <c:v>4.75</c:v>
                </c:pt>
                <c:pt idx="4">
                  <c:v>4.75</c:v>
                </c:pt>
                <c:pt idx="5">
                  <c:v>4.75</c:v>
                </c:pt>
                <c:pt idx="6">
                  <c:v>5</c:v>
                </c:pt>
                <c:pt idx="7">
                  <c:v>5</c:v>
                </c:pt>
                <c:pt idx="8">
                  <c:v>5.5</c:v>
                </c:pt>
                <c:pt idx="9">
                  <c:v>5.5</c:v>
                </c:pt>
                <c:pt idx="10">
                  <c:v>5.5</c:v>
                </c:pt>
                <c:pt idx="11">
                  <c:v>5.5</c:v>
                </c:pt>
                <c:pt idx="12">
                  <c:v>5.5</c:v>
                </c:pt>
                <c:pt idx="13">
                  <c:v>5.5</c:v>
                </c:pt>
                <c:pt idx="14">
                  <c:v>5.5</c:v>
                </c:pt>
                <c:pt idx="15">
                  <c:v>5.5</c:v>
                </c:pt>
                <c:pt idx="16">
                  <c:v>5.5</c:v>
                </c:pt>
                <c:pt idx="17">
                  <c:v>5</c:v>
                </c:pt>
                <c:pt idx="18">
                  <c:v>5</c:v>
                </c:pt>
                <c:pt idx="19">
                  <c:v>5</c:v>
                </c:pt>
                <c:pt idx="20">
                  <c:v>5</c:v>
                </c:pt>
                <c:pt idx="21">
                  <c:v>5</c:v>
                </c:pt>
                <c:pt idx="22">
                  <c:v>5</c:v>
                </c:pt>
                <c:pt idx="23">
                  <c:v>5</c:v>
                </c:pt>
                <c:pt idx="24">
                  <c:v>5</c:v>
                </c:pt>
                <c:pt idx="25">
                  <c:v>5</c:v>
                </c:pt>
                <c:pt idx="26">
                  <c:v>5</c:v>
                </c:pt>
                <c:pt idx="27">
                  <c:v>5.25</c:v>
                </c:pt>
                <c:pt idx="28">
                  <c:v>5.25</c:v>
                </c:pt>
                <c:pt idx="29">
                  <c:v>5.25</c:v>
                </c:pt>
                <c:pt idx="30">
                  <c:v>5.25</c:v>
                </c:pt>
                <c:pt idx="31">
                  <c:v>5.25</c:v>
                </c:pt>
                <c:pt idx="32">
                  <c:v>5.25</c:v>
                </c:pt>
                <c:pt idx="33">
                  <c:v>5</c:v>
                </c:pt>
                <c:pt idx="34">
                  <c:v>5</c:v>
                </c:pt>
                <c:pt idx="35">
                  <c:v>5</c:v>
                </c:pt>
                <c:pt idx="36">
                  <c:v>5</c:v>
                </c:pt>
                <c:pt idx="37">
                  <c:v>5</c:v>
                </c:pt>
                <c:pt idx="38">
                  <c:v>5</c:v>
                </c:pt>
                <c:pt idx="39" formatCode="General">
                  <c:v>5</c:v>
                </c:pt>
                <c:pt idx="40" formatCode="General">
                  <c:v>4.75</c:v>
                </c:pt>
                <c:pt idx="41" formatCode="General">
                  <c:v>4.75</c:v>
                </c:pt>
                <c:pt idx="42" formatCode="General">
                  <c:v>4.75</c:v>
                </c:pt>
                <c:pt idx="43" formatCode="General">
                  <c:v>4.5</c:v>
                </c:pt>
                <c:pt idx="44" formatCode="General">
                  <c:v>4.5</c:v>
                </c:pt>
                <c:pt idx="45" formatCode="General">
                  <c:v>4.5</c:v>
                </c:pt>
                <c:pt idx="46" formatCode="General">
                  <c:v>4</c:v>
                </c:pt>
                <c:pt idx="47" formatCode="General">
                  <c:v>4</c:v>
                </c:pt>
                <c:pt idx="48" formatCode="General">
                  <c:v>4</c:v>
                </c:pt>
                <c:pt idx="49" formatCode="General">
                  <c:v>4</c:v>
                </c:pt>
                <c:pt idx="50" formatCode="General">
                  <c:v>4</c:v>
                </c:pt>
                <c:pt idx="51" formatCode="General">
                  <c:v>4</c:v>
                </c:pt>
                <c:pt idx="52" formatCode="General">
                  <c:v>3.5</c:v>
                </c:pt>
                <c:pt idx="53" formatCode="General">
                  <c:v>3.5</c:v>
                </c:pt>
                <c:pt idx="54" formatCode="General">
                  <c:v>3.5</c:v>
                </c:pt>
                <c:pt idx="55" formatCode="General">
                  <c:v>3.25</c:v>
                </c:pt>
                <c:pt idx="56" formatCode="General">
                  <c:v>3.25</c:v>
                </c:pt>
                <c:pt idx="57" formatCode="General">
                  <c:v>3.25</c:v>
                </c:pt>
                <c:pt idx="58" formatCode="General">
                  <c:v>3</c:v>
                </c:pt>
                <c:pt idx="59" formatCode="General">
                  <c:v>3</c:v>
                </c:pt>
                <c:pt idx="60" formatCode="General">
                  <c:v>3</c:v>
                </c:pt>
                <c:pt idx="61" formatCode="General">
                  <c:v>3</c:v>
                </c:pt>
                <c:pt idx="62" formatCode="General">
                  <c:v>3</c:v>
                </c:pt>
                <c:pt idx="63" formatCode="General">
                  <c:v>3</c:v>
                </c:pt>
                <c:pt idx="64" formatCode="General">
                  <c:v>3</c:v>
                </c:pt>
                <c:pt idx="65" formatCode="General">
                  <c:v>3</c:v>
                </c:pt>
                <c:pt idx="66" formatCode="General">
                  <c:v>3</c:v>
                </c:pt>
                <c:pt idx="67" formatCode="General">
                  <c:v>3</c:v>
                </c:pt>
                <c:pt idx="68" formatCode="General">
                  <c:v>3</c:v>
                </c:pt>
                <c:pt idx="69" formatCode="General">
                  <c:v>3</c:v>
                </c:pt>
                <c:pt idx="70" formatCode="General">
                  <c:v>3</c:v>
                </c:pt>
                <c:pt idx="71" formatCode="General">
                  <c:v>3</c:v>
                </c:pt>
                <c:pt idx="72" formatCode="General">
                  <c:v>3</c:v>
                </c:pt>
                <c:pt idx="73" formatCode="General">
                  <c:v>3</c:v>
                </c:pt>
                <c:pt idx="74" formatCode="General">
                  <c:v>3</c:v>
                </c:pt>
                <c:pt idx="75" formatCode="General">
                  <c:v>3</c:v>
                </c:pt>
                <c:pt idx="76" formatCode="General">
                  <c:v>3</c:v>
                </c:pt>
                <c:pt idx="77" formatCode="General">
                  <c:v>3</c:v>
                </c:pt>
                <c:pt idx="78" formatCode="General">
                  <c:v>3</c:v>
                </c:pt>
                <c:pt idx="79" formatCode="General">
                  <c:v>3</c:v>
                </c:pt>
                <c:pt idx="80" formatCode="General">
                  <c:v>3</c:v>
                </c:pt>
                <c:pt idx="81" formatCode="General">
                  <c:v>2.75</c:v>
                </c:pt>
                <c:pt idx="82" formatCode="General">
                  <c:v>2.75</c:v>
                </c:pt>
                <c:pt idx="83" formatCode="General">
                  <c:v>2.75</c:v>
                </c:pt>
                <c:pt idx="84" formatCode="General">
                  <c:v>2.75</c:v>
                </c:pt>
                <c:pt idx="85" formatCode="General">
                  <c:v>2.75</c:v>
                </c:pt>
                <c:pt idx="86" formatCode="General">
                  <c:v>2.75</c:v>
                </c:pt>
                <c:pt idx="87" formatCode="General">
                  <c:v>2.75</c:v>
                </c:pt>
                <c:pt idx="88" formatCode="General">
                  <c:v>2.75</c:v>
                </c:pt>
                <c:pt idx="89" formatCode="General">
                  <c:v>2.75</c:v>
                </c:pt>
                <c:pt idx="90" formatCode="General">
                  <c:v>2.75</c:v>
                </c:pt>
                <c:pt idx="91" formatCode="General">
                  <c:v>2.75</c:v>
                </c:pt>
                <c:pt idx="92" formatCode="General">
                  <c:v>2.75</c:v>
                </c:pt>
                <c:pt idx="93" formatCode="General">
                  <c:v>2.75</c:v>
                </c:pt>
                <c:pt idx="94" formatCode="General">
                  <c:v>2.75</c:v>
                </c:pt>
                <c:pt idx="95" formatCode="General">
                  <c:v>2.75</c:v>
                </c:pt>
                <c:pt idx="96" formatCode="General">
                  <c:v>2.75</c:v>
                </c:pt>
                <c:pt idx="97" formatCode="General">
                  <c:v>2.75</c:v>
                </c:pt>
                <c:pt idx="98" formatCode="General">
                  <c:v>2.75</c:v>
                </c:pt>
                <c:pt idx="99" formatCode="General">
                  <c:v>2.75</c:v>
                </c:pt>
                <c:pt idx="100" formatCode="General">
                  <c:v>2.75</c:v>
                </c:pt>
                <c:pt idx="101" formatCode="General">
                  <c:v>2.75</c:v>
                </c:pt>
                <c:pt idx="102" formatCode="General">
                  <c:v>2.75</c:v>
                </c:pt>
                <c:pt idx="103" formatCode="General">
                  <c:v>2.75</c:v>
                </c:pt>
                <c:pt idx="104" formatCode="General">
                  <c:v>2.75</c:v>
                </c:pt>
                <c:pt idx="105" formatCode="General">
                  <c:v>2.75</c:v>
                </c:pt>
                <c:pt idx="106" formatCode="General">
                  <c:v>2.75</c:v>
                </c:pt>
                <c:pt idx="107" formatCode="General">
                  <c:v>2.75</c:v>
                </c:pt>
                <c:pt idx="108" formatCode="General">
                  <c:v>2.75</c:v>
                </c:pt>
                <c:pt idx="109" formatCode="General">
                  <c:v>2.75</c:v>
                </c:pt>
                <c:pt idx="110" formatCode="General">
                  <c:v>2.25</c:v>
                </c:pt>
                <c:pt idx="111">
                  <c:v>2</c:v>
                </c:pt>
                <c:pt idx="112">
                  <c:v>2</c:v>
                </c:pt>
                <c:pt idx="113" formatCode="General">
                  <c:v>1.75</c:v>
                </c:pt>
                <c:pt idx="114" formatCode="General">
                  <c:v>1.75</c:v>
                </c:pt>
                <c:pt idx="115" formatCode="General">
                  <c:v>1.75</c:v>
                </c:pt>
                <c:pt idx="116" formatCode="General">
                  <c:v>1.75</c:v>
                </c:pt>
                <c:pt idx="117" formatCode="General">
                  <c:v>1.75</c:v>
                </c:pt>
                <c:pt idx="118" formatCode="General">
                  <c:v>1.75</c:v>
                </c:pt>
                <c:pt idx="119" formatCode="General">
                  <c:v>1.75</c:v>
                </c:pt>
                <c:pt idx="120" formatCode="General">
                  <c:v>1.75</c:v>
                </c:pt>
                <c:pt idx="121" formatCode="General">
                  <c:v>1.75</c:v>
                </c:pt>
                <c:pt idx="122" formatCode="General">
                  <c:v>1.75</c:v>
                </c:pt>
                <c:pt idx="123" formatCode="General">
                  <c:v>1.75</c:v>
                </c:pt>
                <c:pt idx="124" formatCode="General">
                  <c:v>1.75</c:v>
                </c:pt>
                <c:pt idx="125" formatCode="General">
                  <c:v>1.75</c:v>
                </c:pt>
                <c:pt idx="126" formatCode="General">
                  <c:v>1.75</c:v>
                </c:pt>
                <c:pt idx="127" formatCode="General">
                  <c:v>1.75</c:v>
                </c:pt>
                <c:pt idx="128" formatCode="General">
                  <c:v>1.75</c:v>
                </c:pt>
                <c:pt idx="129" formatCode="General">
                  <c:v>1.75</c:v>
                </c:pt>
                <c:pt idx="130" formatCode="General">
                  <c:v>1.75</c:v>
                </c:pt>
                <c:pt idx="131" formatCode="General">
                  <c:v>1.75</c:v>
                </c:pt>
                <c:pt idx="132" formatCode="General">
                  <c:v>1.75</c:v>
                </c:pt>
                <c:pt idx="133" formatCode="General">
                  <c:v>1.75</c:v>
                </c:pt>
                <c:pt idx="134" formatCode="General">
                  <c:v>1.75</c:v>
                </c:pt>
                <c:pt idx="135" formatCode="General">
                  <c:v>1.75</c:v>
                </c:pt>
                <c:pt idx="136" formatCode="_(* #,##0.00_);_(* \(#,##0.00\);_(* &quot;-&quot;??_);_(@_)">
                  <c:v>2</c:v>
                </c:pt>
                <c:pt idx="137" formatCode="_(* #,##0.00_);_(* \(#,##0.00\);_(* &quot;-&quot;??_);_(@_)">
                  <c:v>2.25</c:v>
                </c:pt>
                <c:pt idx="138" formatCode="_(* #,##0.00_);_(* \(#,##0.00\);_(* &quot;-&quot;??_);_(@_)">
                  <c:v>2.25</c:v>
                </c:pt>
                <c:pt idx="139" formatCode="_(* #,##0.00_);_(* \(#,##0.00\);_(* &quot;-&quot;??_);_(@_)">
                  <c:v>2.75</c:v>
                </c:pt>
                <c:pt idx="140" formatCode="_(* #,##0.00_);_(* \(#,##0.00\);_(* &quot;-&quot;??_);_(@_)">
                  <c:v>3</c:v>
                </c:pt>
                <c:pt idx="141" formatCode="_(* #,##0.00_);_(* \(#,##0.00\);_(* &quot;-&quot;??_);_(@_)">
                  <c:v>3</c:v>
                </c:pt>
                <c:pt idx="142" formatCode="_(* #,##0.00_);_(* \(#,##0.00\);_(* &quot;-&quot;??_);_(@_)">
                  <c:v>3.75</c:v>
                </c:pt>
                <c:pt idx="143" formatCode="_(* #,##0.00_);_(* \(#,##0.00\);_(* &quot;-&quot;??_);_(@_)">
                  <c:v>3.75</c:v>
                </c:pt>
                <c:pt idx="144" formatCode="_(* #,##0.00_);_(* \(#,##0.00\);_(* &quot;-&quot;??_);_(@_)">
                  <c:v>4.25</c:v>
                </c:pt>
                <c:pt idx="145" formatCode="_(* #,##0.00_);_(* \(#,##0.00\);_(* &quot;-&quot;??_);_(@_)">
                  <c:v>4.5</c:v>
                </c:pt>
                <c:pt idx="146" formatCode="_(* #,##0.00_);_(* \(#,##0.00\);_(* &quot;-&quot;??_);_(@_)">
                  <c:v>4.75</c:v>
                </c:pt>
                <c:pt idx="147" formatCode="_(* #,##0.00_);_(* \(#,##0.00\);_(* &quot;-&quot;??_);_(@_)">
                  <c:v>5</c:v>
                </c:pt>
                <c:pt idx="148" formatCode="_(* #,##0.00_);_(* \(#,##0.00\);_(* &quot;-&quot;??_);_(@_)">
                  <c:v>5</c:v>
                </c:pt>
                <c:pt idx="149" formatCode="_(* #,##0.00_);_(* \(#,##0.00\);_(* &quot;-&quot;??_);_(@_)">
                  <c:v>5</c:v>
                </c:pt>
              </c:numCache>
            </c:numRef>
          </c:val>
          <c:smooth val="1"/>
          <c:extLst>
            <c:ext xmlns:c16="http://schemas.microsoft.com/office/drawing/2014/chart" uri="{C3380CC4-5D6E-409C-BE32-E72D297353CC}">
              <c16:uniqueId val="{00000002-C38A-482C-811D-249C685A51AC}"/>
            </c:ext>
          </c:extLst>
        </c:ser>
        <c:dLbls>
          <c:showLegendKey val="0"/>
          <c:showVal val="1"/>
          <c:showCatName val="0"/>
          <c:showSerName val="0"/>
          <c:showPercent val="0"/>
          <c:showBubbleSize val="0"/>
        </c:dLbls>
        <c:marker val="1"/>
        <c:smooth val="0"/>
        <c:axId val="27880448"/>
        <c:axId val="79971072"/>
      </c:lineChart>
      <c:dateAx>
        <c:axId val="27880448"/>
        <c:scaling>
          <c:orientation val="minMax"/>
        </c:scaling>
        <c:delete val="0"/>
        <c:axPos val="b"/>
        <c:numFmt formatCode="mmm\-yy" sourceLinked="1"/>
        <c:majorTickMark val="out"/>
        <c:minorTickMark val="none"/>
        <c:tickLblPos val="nextTo"/>
        <c:txPr>
          <a:bodyPr rot="-5400000" vert="horz"/>
          <a:lstStyle/>
          <a:p>
            <a:pPr>
              <a:defRPr lang="es-GT" sz="900" b="1">
                <a:latin typeface="Times New Roman" panose="02020603050405020304" pitchFamily="18" charset="0"/>
                <a:cs typeface="Times New Roman" panose="02020603050405020304" pitchFamily="18" charset="0"/>
              </a:defRPr>
            </a:pPr>
            <a:endParaRPr lang="es-GT"/>
          </a:p>
        </c:txPr>
        <c:crossAx val="79971072"/>
        <c:crosses val="autoZero"/>
        <c:auto val="1"/>
        <c:lblOffset val="100"/>
        <c:baseTimeUnit val="months"/>
        <c:majorUnit val="4"/>
        <c:majorTimeUnit val="months"/>
        <c:minorUnit val="30"/>
        <c:minorTimeUnit val="days"/>
      </c:dateAx>
      <c:valAx>
        <c:axId val="79971072"/>
        <c:scaling>
          <c:orientation val="minMax"/>
        </c:scaling>
        <c:delete val="0"/>
        <c:axPos val="l"/>
        <c:numFmt formatCode="0.00" sourceLinked="1"/>
        <c:majorTickMark val="out"/>
        <c:minorTickMark val="none"/>
        <c:tickLblPos val="nextTo"/>
        <c:txPr>
          <a:bodyPr/>
          <a:lstStyle/>
          <a:p>
            <a:pPr>
              <a:defRPr lang="es-GT" sz="900" b="1" i="0">
                <a:latin typeface="Times New Roman" panose="02020603050405020304" pitchFamily="18" charset="0"/>
                <a:cs typeface="Times New Roman" panose="02020603050405020304" pitchFamily="18" charset="0"/>
              </a:defRPr>
            </a:pPr>
            <a:endParaRPr lang="es-GT"/>
          </a:p>
        </c:txPr>
        <c:crossAx val="27880448"/>
        <c:crosses val="autoZero"/>
        <c:crossBetween val="between"/>
      </c:valAx>
    </c:plotArea>
    <c:plotVisOnly val="1"/>
    <c:dispBlanksAs val="gap"/>
    <c:showDLblsOverMax val="0"/>
  </c:chart>
  <c:spPr>
    <a:ln>
      <a:solidFill>
        <a:sysClr val="windowText" lastClr="000000"/>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395736247254812E-2"/>
          <c:y val="2.340922719658E-2"/>
          <c:w val="0.93944099844662277"/>
          <c:h val="0.80297518874213947"/>
        </c:manualLayout>
      </c:layout>
      <c:lineChart>
        <c:grouping val="standard"/>
        <c:varyColors val="0"/>
        <c:ser>
          <c:idx val="0"/>
          <c:order val="0"/>
          <c:spPr>
            <a:ln>
              <a:solidFill>
                <a:srgbClr val="5B9BD5">
                  <a:lumMod val="50000"/>
                </a:srgbClr>
              </a:solidFill>
            </a:ln>
          </c:spPr>
          <c:marker>
            <c:symbol val="none"/>
          </c:marker>
          <c:dLbls>
            <c:dLbl>
              <c:idx val="137"/>
              <c:layout>
                <c:manualLayout>
                  <c:x val="0"/>
                  <c:y val="-7.25709936815519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D6-4AAF-90BB-8FACAB3C8C1F}"/>
                </c:ext>
              </c:extLst>
            </c:dLbl>
            <c:spPr>
              <a:noFill/>
              <a:ln>
                <a:noFill/>
              </a:ln>
              <a:effectLst/>
            </c:spPr>
            <c:txPr>
              <a:bodyPr wrap="square" lIns="38100" tIns="19050" rIns="38100" bIns="19050" anchor="ctr">
                <a:spAutoFit/>
              </a:bodyPr>
              <a:lstStyle/>
              <a:p>
                <a:pPr>
                  <a:defRPr sz="900" b="1"/>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'Tipo de cambio '!$B$49:$B$186</c:f>
              <c:numCache>
                <c:formatCode>mmm\-yy</c:formatCode>
                <c:ptCount val="138"/>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pt idx="114">
                  <c:v>44378</c:v>
                </c:pt>
                <c:pt idx="115">
                  <c:v>44409</c:v>
                </c:pt>
                <c:pt idx="116">
                  <c:v>44440</c:v>
                </c:pt>
                <c:pt idx="117">
                  <c:v>44470</c:v>
                </c:pt>
                <c:pt idx="118">
                  <c:v>44501</c:v>
                </c:pt>
                <c:pt idx="119">
                  <c:v>44531</c:v>
                </c:pt>
                <c:pt idx="120">
                  <c:v>44562</c:v>
                </c:pt>
                <c:pt idx="121">
                  <c:v>44593</c:v>
                </c:pt>
                <c:pt idx="122">
                  <c:v>44621</c:v>
                </c:pt>
                <c:pt idx="123">
                  <c:v>44652</c:v>
                </c:pt>
                <c:pt idx="124">
                  <c:v>44682</c:v>
                </c:pt>
                <c:pt idx="125">
                  <c:v>44713</c:v>
                </c:pt>
                <c:pt idx="126">
                  <c:v>44743</c:v>
                </c:pt>
                <c:pt idx="127">
                  <c:v>44774</c:v>
                </c:pt>
                <c:pt idx="128">
                  <c:v>44805</c:v>
                </c:pt>
                <c:pt idx="129">
                  <c:v>44835</c:v>
                </c:pt>
                <c:pt idx="130">
                  <c:v>44866</c:v>
                </c:pt>
                <c:pt idx="131">
                  <c:v>44896</c:v>
                </c:pt>
                <c:pt idx="132">
                  <c:v>44927</c:v>
                </c:pt>
                <c:pt idx="133">
                  <c:v>44958</c:v>
                </c:pt>
                <c:pt idx="134">
                  <c:v>44986</c:v>
                </c:pt>
                <c:pt idx="135">
                  <c:v>45017</c:v>
                </c:pt>
                <c:pt idx="136">
                  <c:v>45047</c:v>
                </c:pt>
                <c:pt idx="137">
                  <c:v>45078</c:v>
                </c:pt>
              </c:numCache>
            </c:numRef>
          </c:cat>
          <c:val>
            <c:numRef>
              <c:f>'Tipo de cambio '!$C$49:$C$186</c:f>
              <c:numCache>
                <c:formatCode>0.00</c:formatCode>
                <c:ptCount val="138"/>
                <c:pt idx="0">
                  <c:v>7.7961150438286015</c:v>
                </c:pt>
                <c:pt idx="1">
                  <c:v>7.7717156914712424</c:v>
                </c:pt>
                <c:pt idx="2">
                  <c:v>7.7114080377043663</c:v>
                </c:pt>
                <c:pt idx="3">
                  <c:v>7.7361698654414432</c:v>
                </c:pt>
                <c:pt idx="4">
                  <c:v>7.7713813450451523</c:v>
                </c:pt>
                <c:pt idx="5">
                  <c:v>7.8366949562429706</c:v>
                </c:pt>
                <c:pt idx="6">
                  <c:v>7.8116238113454335</c:v>
                </c:pt>
                <c:pt idx="7">
                  <c:v>7.8730184642662957</c:v>
                </c:pt>
                <c:pt idx="8">
                  <c:v>7.9600809529215901</c:v>
                </c:pt>
                <c:pt idx="9">
                  <c:v>7.8591272112229635</c:v>
                </c:pt>
                <c:pt idx="10">
                  <c:v>7.8577571624899534</c:v>
                </c:pt>
                <c:pt idx="11">
                  <c:v>7.8760996804198387</c:v>
                </c:pt>
                <c:pt idx="12">
                  <c:v>7.8676223145967352</c:v>
                </c:pt>
                <c:pt idx="13">
                  <c:v>7.8144026695091791</c:v>
                </c:pt>
                <c:pt idx="14">
                  <c:v>7.796449289985194</c:v>
                </c:pt>
                <c:pt idx="15">
                  <c:v>7.7833198003135866</c:v>
                </c:pt>
                <c:pt idx="16">
                  <c:v>7.7759057149550967</c:v>
                </c:pt>
                <c:pt idx="17">
                  <c:v>7.8050829379452455</c:v>
                </c:pt>
                <c:pt idx="18">
                  <c:v>7.8101543267547084</c:v>
                </c:pt>
                <c:pt idx="19">
                  <c:v>7.8872658086161449</c:v>
                </c:pt>
                <c:pt idx="20">
                  <c:v>7.9287701658764824</c:v>
                </c:pt>
                <c:pt idx="21">
                  <c:v>7.9452553613637473</c:v>
                </c:pt>
                <c:pt idx="22">
                  <c:v>7.8807803315772027</c:v>
                </c:pt>
                <c:pt idx="23">
                  <c:v>7.8470375175462435</c:v>
                </c:pt>
                <c:pt idx="24">
                  <c:v>7.8320838751031925</c:v>
                </c:pt>
                <c:pt idx="25">
                  <c:v>7.7452676742437232</c:v>
                </c:pt>
                <c:pt idx="26">
                  <c:v>7.716182521911791</c:v>
                </c:pt>
                <c:pt idx="27">
                  <c:v>7.7358942457094715</c:v>
                </c:pt>
                <c:pt idx="28">
                  <c:v>7.7238409151556899</c:v>
                </c:pt>
                <c:pt idx="29">
                  <c:v>7.794062106829351</c:v>
                </c:pt>
                <c:pt idx="30">
                  <c:v>7.7608612600678732</c:v>
                </c:pt>
                <c:pt idx="31">
                  <c:v>7.7919629649641315</c:v>
                </c:pt>
                <c:pt idx="32">
                  <c:v>7.7074095500672923</c:v>
                </c:pt>
                <c:pt idx="33">
                  <c:v>7.6263306051233331</c:v>
                </c:pt>
                <c:pt idx="34">
                  <c:v>7.6028563856662057</c:v>
                </c:pt>
                <c:pt idx="35">
                  <c:v>7.6081653145049968</c:v>
                </c:pt>
                <c:pt idx="36">
                  <c:v>7.6262052394466791</c:v>
                </c:pt>
                <c:pt idx="37">
                  <c:v>7.6279381066262442</c:v>
                </c:pt>
                <c:pt idx="38">
                  <c:v>7.6119953593981231</c:v>
                </c:pt>
                <c:pt idx="39">
                  <c:v>7.6911660585174326</c:v>
                </c:pt>
                <c:pt idx="40">
                  <c:v>7.6641498560319503</c:v>
                </c:pt>
                <c:pt idx="41">
                  <c:v>7.6322503878986696</c:v>
                </c:pt>
                <c:pt idx="42">
                  <c:v>7.6319384831389447</c:v>
                </c:pt>
                <c:pt idx="43">
                  <c:v>7.6324245517760358</c:v>
                </c:pt>
                <c:pt idx="44">
                  <c:v>7.673106284735578</c:v>
                </c:pt>
                <c:pt idx="45">
                  <c:v>7.6631081921590933</c:v>
                </c:pt>
                <c:pt idx="46">
                  <c:v>7.6253395894756046</c:v>
                </c:pt>
                <c:pt idx="47">
                  <c:v>7.5988045101869481</c:v>
                </c:pt>
                <c:pt idx="48">
                  <c:v>7.6329725883384123</c:v>
                </c:pt>
                <c:pt idx="49">
                  <c:v>7.6478810999684388</c:v>
                </c:pt>
                <c:pt idx="50">
                  <c:v>7.700474534516867</c:v>
                </c:pt>
                <c:pt idx="51">
                  <c:v>7.7148038979384106</c:v>
                </c:pt>
                <c:pt idx="52">
                  <c:v>7.6298602603550076</c:v>
                </c:pt>
                <c:pt idx="53">
                  <c:v>7.6243942616742704</c:v>
                </c:pt>
                <c:pt idx="54">
                  <c:v>7.5793320893025617</c:v>
                </c:pt>
                <c:pt idx="55">
                  <c:v>7.5175072133740928</c:v>
                </c:pt>
                <c:pt idx="56">
                  <c:v>7.5067242537140029</c:v>
                </c:pt>
                <c:pt idx="57">
                  <c:v>7.4790989328577018</c:v>
                </c:pt>
                <c:pt idx="58">
                  <c:v>7.4871738948605904</c:v>
                </c:pt>
                <c:pt idx="59">
                  <c:v>7.4869670540945377</c:v>
                </c:pt>
                <c:pt idx="60">
                  <c:v>7.4989221892102798</c:v>
                </c:pt>
                <c:pt idx="61">
                  <c:v>7.3861050975818427</c:v>
                </c:pt>
                <c:pt idx="62">
                  <c:v>7.34063</c:v>
                </c:pt>
                <c:pt idx="63">
                  <c:v>7.3209246234449914</c:v>
                </c:pt>
                <c:pt idx="64">
                  <c:v>7.3227859561962889</c:v>
                </c:pt>
                <c:pt idx="65">
                  <c:v>7.324765934062933</c:v>
                </c:pt>
                <c:pt idx="66">
                  <c:v>7.2821760166483491</c:v>
                </c:pt>
                <c:pt idx="67">
                  <c:v>7.2567996715469407</c:v>
                </c:pt>
                <c:pt idx="68">
                  <c:v>7.2866172843636399</c:v>
                </c:pt>
                <c:pt idx="69">
                  <c:v>7.32408950415142</c:v>
                </c:pt>
                <c:pt idx="70">
                  <c:v>7.3119034597787502</c:v>
                </c:pt>
                <c:pt idx="71">
                  <c:v>7.3228799999999996</c:v>
                </c:pt>
                <c:pt idx="72">
                  <c:v>7.3250900000000003</c:v>
                </c:pt>
                <c:pt idx="73">
                  <c:v>7.3437000000000001</c:v>
                </c:pt>
                <c:pt idx="74">
                  <c:v>7.3760000000000003</c:v>
                </c:pt>
                <c:pt idx="75">
                  <c:v>7.3854699999999998</c:v>
                </c:pt>
                <c:pt idx="76">
                  <c:v>7.4281600000000001</c:v>
                </c:pt>
                <c:pt idx="77">
                  <c:v>7.46997</c:v>
                </c:pt>
                <c:pt idx="78">
                  <c:v>7.4656900000000004</c:v>
                </c:pt>
                <c:pt idx="79">
                  <c:v>7.49099</c:v>
                </c:pt>
                <c:pt idx="80">
                  <c:v>7.6479100000000004</c:v>
                </c:pt>
                <c:pt idx="81">
                  <c:v>7.70871</c:v>
                </c:pt>
                <c:pt idx="82">
                  <c:v>7.67943</c:v>
                </c:pt>
                <c:pt idx="83">
                  <c:v>7.71333</c:v>
                </c:pt>
                <c:pt idx="84">
                  <c:v>7.7131499999999997</c:v>
                </c:pt>
                <c:pt idx="85">
                  <c:v>7.7141200000000003</c:v>
                </c:pt>
                <c:pt idx="86">
                  <c:v>7.6693800000000003</c:v>
                </c:pt>
                <c:pt idx="87">
                  <c:v>7.6245700000000003</c:v>
                </c:pt>
                <c:pt idx="88">
                  <c:v>7.65238</c:v>
                </c:pt>
                <c:pt idx="89">
                  <c:v>7.6838300000000004</c:v>
                </c:pt>
                <c:pt idx="90">
                  <c:v>7.6551099999999996</c:v>
                </c:pt>
                <c:pt idx="91">
                  <c:v>7.6528999999999998</c:v>
                </c:pt>
                <c:pt idx="92">
                  <c:v>7.6917900000000001</c:v>
                </c:pt>
                <c:pt idx="93">
                  <c:v>7.7392000000000003</c:v>
                </c:pt>
                <c:pt idx="94">
                  <c:v>7.6848799999999997</c:v>
                </c:pt>
                <c:pt idx="95">
                  <c:v>7.6698399999999998</c:v>
                </c:pt>
                <c:pt idx="96">
                  <c:v>7.6722400000000004</c:v>
                </c:pt>
                <c:pt idx="97">
                  <c:v>7.6280799999999997</c:v>
                </c:pt>
                <c:pt idx="98">
                  <c:v>7.6709899999999998</c:v>
                </c:pt>
                <c:pt idx="99">
                  <c:v>7.6908099999999999</c:v>
                </c:pt>
                <c:pt idx="100">
                  <c:v>7.6796300000000004</c:v>
                </c:pt>
                <c:pt idx="101">
                  <c:v>7.6814200000000001</c:v>
                </c:pt>
                <c:pt idx="102">
                  <c:v>7.6795099999999996</c:v>
                </c:pt>
                <c:pt idx="103">
                  <c:v>7.6889700000000003</c:v>
                </c:pt>
                <c:pt idx="104">
                  <c:v>7.7428699999999999</c:v>
                </c:pt>
                <c:pt idx="105">
                  <c:v>7.7643500000000003</c:v>
                </c:pt>
                <c:pt idx="106">
                  <c:v>7.7685899999999997</c:v>
                </c:pt>
                <c:pt idx="107">
                  <c:v>7.7820299999999998</c:v>
                </c:pt>
                <c:pt idx="108">
                  <c:v>7.7699199999999999</c:v>
                </c:pt>
                <c:pt idx="109">
                  <c:v>7.7215499999999997</c:v>
                </c:pt>
                <c:pt idx="110">
                  <c:v>7.7013299999999996</c:v>
                </c:pt>
                <c:pt idx="111">
                  <c:v>7.6977200000000003</c:v>
                </c:pt>
                <c:pt idx="112">
                  <c:v>7.6959499999999998</c:v>
                </c:pt>
                <c:pt idx="113">
                  <c:v>7.7190899999999996</c:v>
                </c:pt>
                <c:pt idx="114">
                  <c:v>7.7266599999999999</c:v>
                </c:pt>
                <c:pt idx="115">
                  <c:v>7.7201399999999998</c:v>
                </c:pt>
                <c:pt idx="116">
                  <c:v>7.7136699999999996</c:v>
                </c:pt>
                <c:pt idx="117">
                  <c:v>7.7142099999999996</c:v>
                </c:pt>
                <c:pt idx="118">
                  <c:v>7.7127800000000004</c:v>
                </c:pt>
                <c:pt idx="119">
                  <c:v>7.7076200000000004</c:v>
                </c:pt>
                <c:pt idx="120">
                  <c:v>7.6808199999999998</c:v>
                </c:pt>
                <c:pt idx="121">
                  <c:v>7.6795999999999998</c:v>
                </c:pt>
                <c:pt idx="122">
                  <c:v>7.6729200000000004</c:v>
                </c:pt>
                <c:pt idx="123">
                  <c:v>7.6450199999999997</c:v>
                </c:pt>
                <c:pt idx="124">
                  <c:v>7.6534300000000002</c:v>
                </c:pt>
                <c:pt idx="125">
                  <c:v>7.71854</c:v>
                </c:pt>
                <c:pt idx="126">
                  <c:v>7.7176200000000001</c:v>
                </c:pt>
                <c:pt idx="127">
                  <c:v>7.7124600000000001</c:v>
                </c:pt>
                <c:pt idx="128">
                  <c:v>7.7894100000000002</c:v>
                </c:pt>
                <c:pt idx="129">
                  <c:v>7.83622</c:v>
                </c:pt>
                <c:pt idx="130">
                  <c:v>7.79169</c:v>
                </c:pt>
                <c:pt idx="131">
                  <c:v>7.84558</c:v>
                </c:pt>
                <c:pt idx="132">
                  <c:v>7.8256800000000002</c:v>
                </c:pt>
                <c:pt idx="133">
                  <c:v>7.8084800000000003</c:v>
                </c:pt>
                <c:pt idx="134">
                  <c:v>7.7824900000000001</c:v>
                </c:pt>
                <c:pt idx="135">
                  <c:v>7.7796799999999999</c:v>
                </c:pt>
                <c:pt idx="136">
                  <c:v>7.7904600000000004</c:v>
                </c:pt>
                <c:pt idx="137">
                  <c:v>7.8178799999999997</c:v>
                </c:pt>
              </c:numCache>
            </c:numRef>
          </c:val>
          <c:smooth val="0"/>
          <c:extLst>
            <c:ext xmlns:c16="http://schemas.microsoft.com/office/drawing/2014/chart" uri="{C3380CC4-5D6E-409C-BE32-E72D297353CC}">
              <c16:uniqueId val="{00000001-63D6-4AAF-90BB-8FACAB3C8C1F}"/>
            </c:ext>
          </c:extLst>
        </c:ser>
        <c:dLbls>
          <c:showLegendKey val="0"/>
          <c:showVal val="0"/>
          <c:showCatName val="0"/>
          <c:showSerName val="0"/>
          <c:showPercent val="0"/>
          <c:showBubbleSize val="0"/>
        </c:dLbls>
        <c:smooth val="0"/>
        <c:axId val="100598912"/>
        <c:axId val="100600448"/>
      </c:lineChart>
      <c:dateAx>
        <c:axId val="100598912"/>
        <c:scaling>
          <c:orientation val="minMax"/>
        </c:scaling>
        <c:delete val="0"/>
        <c:axPos val="b"/>
        <c:numFmt formatCode="mmm\-yy" sourceLinked="1"/>
        <c:majorTickMark val="out"/>
        <c:minorTickMark val="none"/>
        <c:tickLblPos val="nextTo"/>
        <c:txPr>
          <a:bodyPr/>
          <a:lstStyle/>
          <a:p>
            <a:pPr>
              <a:defRPr sz="800" b="1"/>
            </a:pPr>
            <a:endParaRPr lang="es-GT"/>
          </a:p>
        </c:txPr>
        <c:crossAx val="100600448"/>
        <c:crosses val="autoZero"/>
        <c:auto val="1"/>
        <c:lblOffset val="100"/>
        <c:baseTimeUnit val="months"/>
        <c:majorUnit val="4"/>
        <c:majorTimeUnit val="months"/>
      </c:dateAx>
      <c:valAx>
        <c:axId val="100600448"/>
        <c:scaling>
          <c:orientation val="minMax"/>
        </c:scaling>
        <c:delete val="0"/>
        <c:axPos val="l"/>
        <c:numFmt formatCode="0.00" sourceLinked="1"/>
        <c:majorTickMark val="out"/>
        <c:minorTickMark val="none"/>
        <c:tickLblPos val="nextTo"/>
        <c:txPr>
          <a:bodyPr/>
          <a:lstStyle/>
          <a:p>
            <a:pPr>
              <a:defRPr sz="800" b="1"/>
            </a:pPr>
            <a:endParaRPr lang="es-GT"/>
          </a:p>
        </c:txPr>
        <c:crossAx val="100598912"/>
        <c:crosses val="autoZero"/>
        <c:crossBetween val="between"/>
      </c:valAx>
    </c:plotArea>
    <c:plotVisOnly val="1"/>
    <c:dispBlanksAs val="gap"/>
    <c:showDLblsOverMax val="0"/>
  </c:chart>
  <c:spPr>
    <a:ln>
      <a:solidFill>
        <a:sysClr val="windowText" lastClr="000000"/>
      </a:solidFill>
    </a:ln>
  </c:spPr>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09693220500832"/>
          <c:y val="3.7844985979473188E-2"/>
          <c:w val="0.85245334991926391"/>
          <c:h val="0.89757517666413078"/>
        </c:manualLayout>
      </c:layout>
      <c:barChart>
        <c:barDir val="col"/>
        <c:grouping val="clustered"/>
        <c:varyColors val="0"/>
        <c:ser>
          <c:idx val="0"/>
          <c:order val="0"/>
          <c:tx>
            <c:strRef>
              <c:f>Tributarios!$N$29</c:f>
              <c:strCache>
                <c:ptCount val="1"/>
                <c:pt idx="0">
                  <c:v> Tributarios </c:v>
                </c:pt>
              </c:strCache>
            </c:strRef>
          </c:tx>
          <c:spPr>
            <a:solidFill>
              <a:schemeClr val="tx2">
                <a:lumMod val="60000"/>
                <a:lumOff val="40000"/>
              </a:schemeClr>
            </a:solidFill>
          </c:spPr>
          <c:invertIfNegative val="0"/>
          <c:dPt>
            <c:idx val="8"/>
            <c:invertIfNegative val="0"/>
            <c:bubble3D val="0"/>
            <c:spPr>
              <a:solidFill>
                <a:schemeClr val="tx2">
                  <a:lumMod val="60000"/>
                  <a:lumOff val="40000"/>
                </a:schemeClr>
              </a:solidFill>
            </c:spPr>
            <c:extLst>
              <c:ext xmlns:c16="http://schemas.microsoft.com/office/drawing/2014/chart" uri="{C3380CC4-5D6E-409C-BE32-E72D297353CC}">
                <c16:uniqueId val="{00000001-8399-46FD-800C-CD5188D2236B}"/>
              </c:ext>
            </c:extLst>
          </c:dPt>
          <c:dPt>
            <c:idx val="9"/>
            <c:invertIfNegative val="0"/>
            <c:bubble3D val="0"/>
            <c:spPr>
              <a:solidFill>
                <a:schemeClr val="tx2">
                  <a:lumMod val="60000"/>
                  <a:lumOff val="40000"/>
                </a:schemeClr>
              </a:solidFill>
            </c:spPr>
            <c:extLst>
              <c:ext xmlns:c16="http://schemas.microsoft.com/office/drawing/2014/chart" uri="{C3380CC4-5D6E-409C-BE32-E72D297353CC}">
                <c16:uniqueId val="{00000003-8399-46FD-800C-CD5188D2236B}"/>
              </c:ext>
            </c:extLst>
          </c:dPt>
          <c:dPt>
            <c:idx val="10"/>
            <c:invertIfNegative val="0"/>
            <c:bubble3D val="0"/>
            <c:spPr>
              <a:solidFill>
                <a:schemeClr val="tx2">
                  <a:lumMod val="60000"/>
                  <a:lumOff val="40000"/>
                </a:schemeClr>
              </a:solidFill>
            </c:spPr>
            <c:extLst>
              <c:ext xmlns:c16="http://schemas.microsoft.com/office/drawing/2014/chart" uri="{C3380CC4-5D6E-409C-BE32-E72D297353CC}">
                <c16:uniqueId val="{00000005-8399-46FD-800C-CD5188D2236B}"/>
              </c:ext>
            </c:extLst>
          </c:dPt>
          <c:dPt>
            <c:idx val="11"/>
            <c:invertIfNegative val="0"/>
            <c:bubble3D val="0"/>
            <c:spPr>
              <a:solidFill>
                <a:schemeClr val="tx2">
                  <a:lumMod val="60000"/>
                  <a:lumOff val="40000"/>
                </a:schemeClr>
              </a:solidFill>
            </c:spPr>
            <c:extLst>
              <c:ext xmlns:c16="http://schemas.microsoft.com/office/drawing/2014/chart" uri="{C3380CC4-5D6E-409C-BE32-E72D297353CC}">
                <c16:uniqueId val="{00000007-8399-46FD-800C-CD5188D2236B}"/>
              </c:ext>
            </c:extLst>
          </c:dPt>
          <c:dPt>
            <c:idx val="12"/>
            <c:invertIfNegative val="0"/>
            <c:bubble3D val="0"/>
            <c:spPr>
              <a:solidFill>
                <a:srgbClr val="44546A">
                  <a:lumMod val="50000"/>
                </a:srgbClr>
              </a:solidFill>
            </c:spPr>
            <c:extLst>
              <c:ext xmlns:c16="http://schemas.microsoft.com/office/drawing/2014/chart" uri="{C3380CC4-5D6E-409C-BE32-E72D297353CC}">
                <c16:uniqueId val="{00000009-8399-46FD-800C-CD5188D2236B}"/>
              </c:ext>
            </c:extLst>
          </c:dPt>
          <c:dPt>
            <c:idx val="13"/>
            <c:invertIfNegative val="0"/>
            <c:bubble3D val="0"/>
            <c:spPr>
              <a:solidFill>
                <a:schemeClr val="tx2">
                  <a:lumMod val="50000"/>
                </a:schemeClr>
              </a:solidFill>
              <a:ln>
                <a:solidFill>
                  <a:schemeClr val="tx2">
                    <a:lumMod val="75000"/>
                  </a:schemeClr>
                </a:solidFill>
              </a:ln>
            </c:spPr>
            <c:extLst>
              <c:ext xmlns:c16="http://schemas.microsoft.com/office/drawing/2014/chart" uri="{C3380CC4-5D6E-409C-BE32-E72D297353CC}">
                <c16:uniqueId val="{0000000B-8399-46FD-800C-CD5188D2236B}"/>
              </c:ext>
            </c:extLst>
          </c:dPt>
          <c:dLbls>
            <c:dLbl>
              <c:idx val="1"/>
              <c:delete val="1"/>
              <c:extLst>
                <c:ext xmlns:c15="http://schemas.microsoft.com/office/drawing/2012/chart" uri="{CE6537A1-D6FC-4f65-9D91-7224C49458BB}"/>
                <c:ext xmlns:c16="http://schemas.microsoft.com/office/drawing/2014/chart" uri="{C3380CC4-5D6E-409C-BE32-E72D297353CC}">
                  <c16:uniqueId val="{0000000C-8399-46FD-800C-CD5188D2236B}"/>
                </c:ext>
              </c:extLst>
            </c:dLbl>
            <c:dLbl>
              <c:idx val="3"/>
              <c:delete val="1"/>
              <c:extLst>
                <c:ext xmlns:c15="http://schemas.microsoft.com/office/drawing/2012/chart" uri="{CE6537A1-D6FC-4f65-9D91-7224C49458BB}"/>
                <c:ext xmlns:c16="http://schemas.microsoft.com/office/drawing/2014/chart" uri="{C3380CC4-5D6E-409C-BE32-E72D297353CC}">
                  <c16:uniqueId val="{0000000D-8399-46FD-800C-CD5188D2236B}"/>
                </c:ext>
              </c:extLst>
            </c:dLbl>
            <c:dLbl>
              <c:idx val="5"/>
              <c:delete val="1"/>
              <c:extLst>
                <c:ext xmlns:c15="http://schemas.microsoft.com/office/drawing/2012/chart" uri="{CE6537A1-D6FC-4f65-9D91-7224C49458BB}"/>
                <c:ext xmlns:c16="http://schemas.microsoft.com/office/drawing/2014/chart" uri="{C3380CC4-5D6E-409C-BE32-E72D297353CC}">
                  <c16:uniqueId val="{0000000E-8399-46FD-800C-CD5188D2236B}"/>
                </c:ext>
              </c:extLst>
            </c:dLbl>
            <c:dLbl>
              <c:idx val="7"/>
              <c:delete val="1"/>
              <c:extLst>
                <c:ext xmlns:c15="http://schemas.microsoft.com/office/drawing/2012/chart" uri="{CE6537A1-D6FC-4f65-9D91-7224C49458BB}"/>
                <c:ext xmlns:c16="http://schemas.microsoft.com/office/drawing/2014/chart" uri="{C3380CC4-5D6E-409C-BE32-E72D297353CC}">
                  <c16:uniqueId val="{0000000F-8399-46FD-800C-CD5188D2236B}"/>
                </c:ext>
              </c:extLst>
            </c:dLbl>
            <c:dLbl>
              <c:idx val="8"/>
              <c:layout>
                <c:manualLayout>
                  <c:x val="0"/>
                  <c:y val="-1.17040683979536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99-46FD-800C-CD5188D2236B}"/>
                </c:ext>
              </c:extLst>
            </c:dLbl>
            <c:dLbl>
              <c:idx val="9"/>
              <c:delete val="1"/>
              <c:extLst>
                <c:ext xmlns:c15="http://schemas.microsoft.com/office/drawing/2012/chart" uri="{CE6537A1-D6FC-4f65-9D91-7224C49458BB}"/>
                <c:ext xmlns:c16="http://schemas.microsoft.com/office/drawing/2014/chart" uri="{C3380CC4-5D6E-409C-BE32-E72D297353CC}">
                  <c16:uniqueId val="{00000003-8399-46FD-800C-CD5188D2236B}"/>
                </c:ext>
              </c:extLst>
            </c:dLbl>
            <c:dLbl>
              <c:idx val="10"/>
              <c:layout>
                <c:manualLayout>
                  <c:x val="-1.81036433582259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399-46FD-800C-CD5188D2236B}"/>
                </c:ext>
              </c:extLst>
            </c:dLbl>
            <c:dLbl>
              <c:idx val="11"/>
              <c:layout>
                <c:manualLayout>
                  <c:x val="-1.8103643358225844E-2"/>
                  <c:y val="-3.469553661534593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399-46FD-800C-CD5188D2236B}"/>
                </c:ext>
              </c:extLst>
            </c:dLbl>
            <c:spPr>
              <a:noFill/>
              <a:ln>
                <a:noFill/>
              </a:ln>
              <a:effectLst/>
            </c:spPr>
            <c:txPr>
              <a:bodyPr wrap="square" lIns="38100" tIns="19050" rIns="38100" bIns="19050" anchor="ctr">
                <a:spAutoFit/>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Tributarios!$M$31:$M$43</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Tributarios!$N$31:$N$43</c:f>
              <c:numCache>
                <c:formatCode>_(* #,##0.0_);_(* \(#,##0.0\);_(* "-"??_);_(@_)</c:formatCode>
                <c:ptCount val="13"/>
                <c:pt idx="0">
                  <c:v>19928.128004149996</c:v>
                </c:pt>
                <c:pt idx="1">
                  <c:v>21126.831012910003</c:v>
                </c:pt>
                <c:pt idx="2">
                  <c:v>22925.634540209991</c:v>
                </c:pt>
                <c:pt idx="3">
                  <c:v>23962.010832309996</c:v>
                </c:pt>
                <c:pt idx="4">
                  <c:v>24494.55701004</c:v>
                </c:pt>
                <c:pt idx="5">
                  <c:v>26112.501618939998</c:v>
                </c:pt>
                <c:pt idx="6">
                  <c:v>28099.595988659996</c:v>
                </c:pt>
                <c:pt idx="7">
                  <c:v>28909.418401349998</c:v>
                </c:pt>
                <c:pt idx="8">
                  <c:v>30061.163411809997</c:v>
                </c:pt>
                <c:pt idx="9">
                  <c:v>28467.842500130002</c:v>
                </c:pt>
                <c:pt idx="10">
                  <c:v>36019.283114490005</c:v>
                </c:pt>
                <c:pt idx="11">
                  <c:v>42287.042708139998</c:v>
                </c:pt>
                <c:pt idx="12">
                  <c:v>46247.546114259996</c:v>
                </c:pt>
              </c:numCache>
            </c:numRef>
          </c:val>
          <c:extLst>
            <c:ext xmlns:c16="http://schemas.microsoft.com/office/drawing/2014/chart" uri="{C3380CC4-5D6E-409C-BE32-E72D297353CC}">
              <c16:uniqueId val="{00000010-8399-46FD-800C-CD5188D2236B}"/>
            </c:ext>
          </c:extLst>
        </c:ser>
        <c:dLbls>
          <c:showLegendKey val="0"/>
          <c:showVal val="0"/>
          <c:showCatName val="0"/>
          <c:showSerName val="0"/>
          <c:showPercent val="0"/>
          <c:showBubbleSize val="0"/>
        </c:dLbls>
        <c:gapWidth val="15"/>
        <c:axId val="103637760"/>
        <c:axId val="103639296"/>
      </c:barChart>
      <c:catAx>
        <c:axId val="103637760"/>
        <c:scaling>
          <c:orientation val="minMax"/>
        </c:scaling>
        <c:delete val="0"/>
        <c:axPos val="b"/>
        <c:numFmt formatCode="General" sourceLinked="1"/>
        <c:majorTickMark val="none"/>
        <c:minorTickMark val="none"/>
        <c:tickLblPos val="nextTo"/>
        <c:txPr>
          <a:bodyPr/>
          <a:lstStyle/>
          <a:p>
            <a:pPr>
              <a:defRPr sz="900" b="1"/>
            </a:pPr>
            <a:endParaRPr lang="es-GT"/>
          </a:p>
        </c:txPr>
        <c:crossAx val="103639296"/>
        <c:crosses val="autoZero"/>
        <c:auto val="1"/>
        <c:lblAlgn val="ctr"/>
        <c:lblOffset val="100"/>
        <c:noMultiLvlLbl val="0"/>
      </c:catAx>
      <c:valAx>
        <c:axId val="103639296"/>
        <c:scaling>
          <c:orientation val="minMax"/>
        </c:scaling>
        <c:delete val="0"/>
        <c:axPos val="l"/>
        <c:title>
          <c:tx>
            <c:rich>
              <a:bodyPr/>
              <a:lstStyle/>
              <a:p>
                <a:pPr>
                  <a:defRPr/>
                </a:pPr>
                <a:r>
                  <a:rPr lang="es-GT"/>
                  <a:t>Millones de Quetzales</a:t>
                </a:r>
              </a:p>
            </c:rich>
          </c:tx>
          <c:layout>
            <c:manualLayout>
              <c:xMode val="edge"/>
              <c:yMode val="edge"/>
              <c:x val="2.1639133849665057E-3"/>
              <c:y val="0.33860547253706996"/>
            </c:manualLayout>
          </c:layout>
          <c:overlay val="0"/>
        </c:title>
        <c:numFmt formatCode="_(* #,##0.0_);_(* \(#,##0.0\);_(* &quot;-&quot;??_);_(@_)" sourceLinked="1"/>
        <c:majorTickMark val="none"/>
        <c:minorTickMark val="none"/>
        <c:tickLblPos val="nextTo"/>
        <c:txPr>
          <a:bodyPr/>
          <a:lstStyle/>
          <a:p>
            <a:pPr>
              <a:defRPr sz="900" b="1"/>
            </a:pPr>
            <a:endParaRPr lang="es-GT"/>
          </a:p>
        </c:txPr>
        <c:crossAx val="103637760"/>
        <c:crosses val="autoZero"/>
        <c:crossBetween val="between"/>
      </c:valAx>
    </c:plotArea>
    <c:plotVisOnly val="1"/>
    <c:dispBlanksAs val="gap"/>
    <c:showDLblsOverMax val="0"/>
  </c:chart>
  <c:spPr>
    <a:solidFill>
      <a:sysClr val="window" lastClr="FFFFFF"/>
    </a:solidFill>
    <a:ln>
      <a:solidFill>
        <a:sysClr val="windowText" lastClr="000000"/>
      </a:solid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rPr>
              <a:t>2022</a:t>
            </a:r>
          </a:p>
        </c:rich>
      </c:tx>
      <c:overlay val="0"/>
      <c:spPr>
        <a:noFill/>
        <a:ln>
          <a:noFill/>
        </a:ln>
        <a:effectLst/>
      </c:spPr>
      <c:txPr>
        <a:bodyPr rot="0" spcFirstLastPara="1" vertOverflow="ellipsis" vert="horz" wrap="square" anchor="ctr" anchorCtr="1"/>
        <a:lstStyle/>
        <a:p>
          <a:pPr>
            <a:defRPr sz="12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Tributarios!$D$59</c:f>
              <c:strCache>
                <c:ptCount val="1"/>
                <c:pt idx="0">
                  <c:v>2020</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E30-4A1E-9924-1D203C83460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E30-4A1E-9924-1D203C83460A}"/>
              </c:ext>
            </c:extLst>
          </c:dPt>
          <c:dLbls>
            <c:dLbl>
              <c:idx val="0"/>
              <c:layout>
                <c:manualLayout>
                  <c:x val="0"/>
                  <c:y val="-4.5226130653266354E-2"/>
                </c:manualLayout>
              </c:layout>
              <c:tx>
                <c:rich>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fld id="{8C173042-FED0-4885-A41B-84F66BA1C9C2}" type="CATEGORYNAME">
                      <a:rPr lang="en-US"/>
                      <a:pPr>
                        <a:defRPr sz="800"/>
                      </a:pPr>
                      <a:t>[NOMBRE DE CATEGORÍA]</a:t>
                    </a:fld>
                    <a:r>
                      <a:rPr lang="en-US" baseline="0"/>
                      <a:t>
Q.13,569.2
32.0%</a:t>
                    </a:r>
                  </a:p>
                </c:rich>
              </c:tx>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E30-4A1E-9924-1D203C83460A}"/>
                </c:ext>
              </c:extLst>
            </c:dLbl>
            <c:dLbl>
              <c:idx val="1"/>
              <c:layout>
                <c:manualLayout>
                  <c:x val="-4.5756119881034093E-3"/>
                  <c:y val="5.5276381909547645E-2"/>
                </c:manualLayout>
              </c:layout>
              <c:tx>
                <c:rich>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fld id="{E0C57365-34FE-41C3-A735-73D10C3B8926}" type="CATEGORYNAME">
                      <a:rPr lang="en-US">
                        <a:solidFill>
                          <a:srgbClr val="C00000"/>
                        </a:solidFill>
                      </a:rPr>
                      <a:pPr>
                        <a:defRPr sz="800">
                          <a:solidFill>
                            <a:schemeClr val="accent1"/>
                          </a:solidFill>
                        </a:defRPr>
                      </a:pPr>
                      <a:t>[NOMBRE DE CATEGORÍA]</a:t>
                    </a:fld>
                    <a:r>
                      <a:rPr lang="en-US" baseline="0">
                        <a:solidFill>
                          <a:srgbClr val="C00000"/>
                        </a:solidFill>
                      </a:rPr>
                      <a:t>
Q.28,717.8
68.0%</a:t>
                    </a:r>
                  </a:p>
                </c:rich>
              </c:tx>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E30-4A1E-9924-1D203C83460A}"/>
                </c:ext>
              </c:extLst>
            </c:dLbl>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Tributarios!$C$30:$C$31</c:f>
              <c:strCache>
                <c:ptCount val="2"/>
                <c:pt idx="0">
                  <c:v>Comercio Exterior</c:v>
                </c:pt>
                <c:pt idx="1">
                  <c:v>Internos</c:v>
                </c:pt>
              </c:strCache>
            </c:strRef>
          </c:cat>
          <c:val>
            <c:numRef>
              <c:f>Tributarios!$E$30:$E$31</c:f>
              <c:numCache>
                <c:formatCode>#,##0.0</c:formatCode>
                <c:ptCount val="2"/>
                <c:pt idx="0">
                  <c:v>10581.3401622</c:v>
                </c:pt>
                <c:pt idx="1">
                  <c:v>25437.942952290003</c:v>
                </c:pt>
              </c:numCache>
            </c:numRef>
          </c:val>
          <c:extLst>
            <c:ext xmlns:c16="http://schemas.microsoft.com/office/drawing/2014/chart" uri="{C3380CC4-5D6E-409C-BE32-E72D297353CC}">
              <c16:uniqueId val="{00000004-6E30-4A1E-9924-1D203C83460A}"/>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drawings/drawing2.xml><?xml version="1.0" encoding="utf-8"?>
<c:userShapes xmlns:c="http://schemas.openxmlformats.org/drawingml/2006/chart">
  <cdr:relSizeAnchor xmlns:cdr="http://schemas.openxmlformats.org/drawingml/2006/chartDrawing">
    <cdr:from>
      <cdr:x>0.86398</cdr:x>
      <cdr:y>0.02087</cdr:y>
    </cdr:from>
    <cdr:to>
      <cdr:x>0.99461</cdr:x>
      <cdr:y>0.2543</cdr:y>
    </cdr:to>
    <cdr:sp macro="" textlink="">
      <cdr:nvSpPr>
        <cdr:cNvPr id="2" name="1 Cuadro de texto"/>
        <cdr:cNvSpPr txBox="1"/>
      </cdr:nvSpPr>
      <cdr:spPr>
        <a:xfrm xmlns:a="http://schemas.openxmlformats.org/drawingml/2006/main">
          <a:off x="4889941" y="43934"/>
          <a:ext cx="739334" cy="4913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GT" sz="800" b="1">
              <a:solidFill>
                <a:srgbClr val="0070C0"/>
              </a:solidFill>
              <a:latin typeface="Times New Roman" panose="02020603050405020304" pitchFamily="18" charset="0"/>
              <a:cs typeface="Times New Roman" panose="02020603050405020304" pitchFamily="18" charset="0"/>
            </a:rPr>
            <a:t>*/Cierre estimado</a:t>
          </a:r>
        </a:p>
        <a:p xmlns:a="http://schemas.openxmlformats.org/drawingml/2006/main">
          <a:pPr algn="ctr"/>
          <a:r>
            <a:rPr lang="es-GT" sz="800" b="1">
              <a:solidFill>
                <a:srgbClr val="0070C0"/>
              </a:solidFill>
              <a:latin typeface="Times New Roman" panose="02020603050405020304" pitchFamily="18" charset="0"/>
              <a:cs typeface="Times New Roman" panose="02020603050405020304" pitchFamily="18" charset="0"/>
            </a:rPr>
            <a:t>Q83,407.6 millones</a:t>
          </a:r>
        </a:p>
      </cdr:txBody>
    </cdr:sp>
  </cdr:relSizeAnchor>
  <cdr:relSizeAnchor xmlns:cdr="http://schemas.openxmlformats.org/drawingml/2006/chartDrawing">
    <cdr:from>
      <cdr:x>0.85013</cdr:x>
      <cdr:y>0.66013</cdr:y>
    </cdr:from>
    <cdr:to>
      <cdr:x>1</cdr:x>
      <cdr:y>0.88869</cdr:y>
    </cdr:to>
    <cdr:sp macro="" textlink="">
      <cdr:nvSpPr>
        <cdr:cNvPr id="4" name="3 Cuadro de texto"/>
        <cdr:cNvSpPr txBox="1"/>
      </cdr:nvSpPr>
      <cdr:spPr>
        <a:xfrm xmlns:a="http://schemas.openxmlformats.org/drawingml/2006/main">
          <a:off x="4811527" y="1389587"/>
          <a:ext cx="848228" cy="4811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GT" sz="800" b="1">
              <a:solidFill>
                <a:srgbClr val="FF0000"/>
              </a:solidFill>
              <a:latin typeface="Times New Roman" panose="02020603050405020304" pitchFamily="18" charset="0"/>
              <a:cs typeface="Times New Roman" panose="02020603050405020304" pitchFamily="18" charset="0"/>
            </a:rPr>
            <a:t>Presupuesto</a:t>
          </a:r>
          <a:r>
            <a:rPr lang="es-GT" sz="800" b="1" baseline="0">
              <a:solidFill>
                <a:srgbClr val="FF0000"/>
              </a:solidFill>
              <a:latin typeface="Times New Roman" panose="02020603050405020304" pitchFamily="18" charset="0"/>
              <a:cs typeface="Times New Roman" panose="02020603050405020304" pitchFamily="18" charset="0"/>
            </a:rPr>
            <a:t> Aprobado</a:t>
          </a:r>
          <a:r>
            <a:rPr lang="es-GT" sz="800" b="1">
              <a:solidFill>
                <a:srgbClr val="FF0000"/>
              </a:solidFill>
              <a:latin typeface="Times New Roman" panose="02020603050405020304" pitchFamily="18" charset="0"/>
              <a:cs typeface="Times New Roman" panose="02020603050405020304" pitchFamily="18" charset="0"/>
            </a:rPr>
            <a:t> Q86,247.6 millones</a:t>
          </a:r>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74740E-8FB9-4A30-A91B-182CD5F437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23327</Words>
  <Characters>128301</Characters>
  <Application>Microsoft Office Word</Application>
  <DocSecurity>0</DocSecurity>
  <Lines>1069</Lines>
  <Paragraphs>302</Paragraphs>
  <ScaleCrop>false</ScaleCrop>
  <HeadingPairs>
    <vt:vector size="4" baseType="variant">
      <vt:variant>
        <vt:lpstr>Título</vt:lpstr>
      </vt:variant>
      <vt:variant>
        <vt:i4>1</vt:i4>
      </vt:variant>
      <vt:variant>
        <vt:lpstr>Títulos</vt:lpstr>
      </vt:variant>
      <vt:variant>
        <vt:i4>34</vt:i4>
      </vt:variant>
    </vt:vector>
  </HeadingPairs>
  <TitlesOfParts>
    <vt:vector size="35" baseType="lpstr">
      <vt:lpstr/>
      <vt:lpstr>Entorno Macroeconómico</vt:lpstr>
      <vt:lpstr>    Entorno Macroeconómico Internacional</vt:lpstr>
      <vt:lpstr/>
      <vt:lpstr>    Entorno Macroeconómico Nacional</vt:lpstr>
      <vt:lpstr>Situación Financiera de la Administración Central</vt:lpstr>
      <vt:lpstr>    Ingresos</vt:lpstr>
      <vt:lpstr>    Gastos</vt:lpstr>
      <vt:lpstr>        Destino del Gasto por Cuenta Económica</vt:lpstr>
      <vt:lpstr>        Ejecución Presupuestaria Institucional</vt:lpstr>
      <vt:lpstr>        Gasto Público por Fuente de Financiamiento</vt:lpstr>
      <vt:lpstr>        </vt:lpstr>
      <vt:lpstr>        Gasto Social y Acuerdos de Paz</vt:lpstr>
      <vt:lpstr>        Gasto Ejecutado a través de Fideicomisos</vt:lpstr>
      <vt:lpstr>        Gasto Ejecutado a través de Organizaciones No Gubernamentales</vt:lpstr>
      <vt:lpstr>        Gasto Ejecutado para atender Desastres Naturales y Calamidades Públicas</vt:lpstr>
      <vt:lpstr>        Déficit Fiscal</vt:lpstr>
      <vt:lpstr>        Servicios de la Deuda Pública</vt:lpstr>
      <vt:lpstr>        Préstamos Externos</vt:lpstr>
      <vt:lpstr>        Deuda Pública</vt:lpstr>
      <vt:lpstr>        Situación Financiera</vt:lpstr>
      <vt:lpstr>Perspectivas de Cierre del Ejercicio Fiscal 2023</vt:lpstr>
      <vt:lpstr>    Entorno Macroeconómico</vt:lpstr>
      <vt:lpstr>        Entorno Macroeconómico Internacional</vt:lpstr>
      <vt:lpstr>        Entorno Macroeconómico Nacional</vt:lpstr>
      <vt:lpstr>    Ingresos de la Administración Central</vt:lpstr>
      <vt:lpstr>        Ingresos</vt:lpstr>
      <vt:lpstr>        Desempeño del Impuesto Sobre la Renta y el ISO</vt:lpstr>
      <vt:lpstr>        El Impuesto al Valor Agregado</vt:lpstr>
      <vt:lpstr>        Estructura de la Recaudación Tributaria Acumulada</vt:lpstr>
      <vt:lpstr>        Recaudación Tributaria por Actividad Económica</vt:lpstr>
      <vt:lpstr>        Factores Externos que Afectan la Recaudación Tributaria.</vt:lpstr>
      <vt:lpstr>        Perspectivas de Cierre 2023</vt:lpstr>
      <vt:lpstr>    Gastos </vt:lpstr>
      <vt:lpstr>        Gasto Corriente y de Capital</vt:lpstr>
    </vt:vector>
  </TitlesOfParts>
  <Company>Microsoft</Company>
  <LinksUpToDate>false</LinksUpToDate>
  <CharactersWithSpaces>151326</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Saul Enrique De León Meneses</dc:creator>
  <cp:lastModifiedBy>José Antonio Menéndez Letona</cp:lastModifiedBy>
  <cp:revision>2</cp:revision>
  <cp:lastPrinted>2023-08-14T21:55:00Z</cp:lastPrinted>
  <dcterms:created xsi:type="dcterms:W3CDTF">2023-08-16T16:56:00Z</dcterms:created>
  <dcterms:modified xsi:type="dcterms:W3CDTF">2023-08-16T16:56:00Z</dcterms:modified>
</cp:coreProperties>
</file>